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64"/>
      </w:tblGrid>
      <w:tr>
        <w:tc>
          <w:tcPr>
            <w:tcW w:type="dxa" w:w="11664"/>
            <w:shd w:val="clear" w:color="auto" w:fill="1A3A5C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40"/>
              </w:rPr>
              <w:t>Beginner Japanese</w:t>
            </w:r>
            <w:r>
              <w:rPr>
                <w:rFonts w:ascii="Calibri" w:hAnsi="Calibri"/>
                <w:b w:val="0"/>
                <w:i w:val="0"/>
                <w:color w:val="E6A817"/>
                <w:sz w:val="26"/>
              </w:rPr>
              <w:br/>
              <w:t>Hiragana Set 3 — S Row</w:t>
            </w:r>
          </w:p>
        </w:tc>
      </w:tr>
      <w:tr>
        <w:tc>
          <w:tcPr>
            <w:tcW w:type="dxa" w:w="11664"/>
            <w:shd w:val="clear" w:color="auto" w:fill="007A87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Student Worksheet  ·  Page 1 of 2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6"/>
        <w:gridCol w:w="2916"/>
        <w:gridCol w:w="2916"/>
        <w:gridCol w:w="2916"/>
      </w:tblGrid>
      <w:tr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Name: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________________________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Class: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Date: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Period: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</w:t>
            </w:r>
          </w:p>
        </w:tc>
      </w:tr>
    </w:tbl>
    <w:p>
      <w:pPr>
        <w:spacing w:after="20"/>
      </w:pPr>
    </w:p>
    <w:p>
      <w:pPr>
        <w:spacing w:before="120" w:after="40"/>
      </w:pPr>
      <w:r>
        <w:rPr>
          <w:rFonts w:ascii="Calibri" w:hAnsi="Calibri"/>
          <w:b/>
          <w:i w:val="0"/>
          <w:color w:val="1A3A5C"/>
          <w:sz w:val="28"/>
        </w:rPr>
        <w:t>How this set works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This worksheet focuses on the set: さ し す せ そ.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Each hiragana letter stands for one sound chunk or beat. Read one kana smoothly instead of spelling it out like separate English letters.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The s row introduces し, which sounds like shi instead of si.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Most full hiragana rows follow the vowel order a, i, u, e, o. In this set that sounds like: sa, shi, su, se, so.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Watch the special reading in this set: し = shi.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You will do two activities: write the reading from memory, then use row-pattern practice to check if you really know the set.</w:t>
      </w:r>
    </w:p>
    <w:p>
      <w:pPr>
        <w:spacing w:after="20"/>
      </w:pPr>
    </w:p>
    <w:p>
      <w:pPr>
        <w:spacing w:before="60" w:after="40"/>
        <w:ind w:left="170"/>
        <w:shd w:val="clear" w:color="auto" w:fill="E6A817"/>
      </w:pPr>
      <w:r>
        <w:rPr>
          <w:rFonts w:ascii="Calibri" w:hAnsi="Calibri"/>
          <w:b/>
          <w:i w:val="0"/>
          <w:color w:val="FFFFFF"/>
          <w:sz w:val="24"/>
        </w:rPr>
        <w:t>Worked Examples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1A1A2E"/>
          <w:sz w:val="20"/>
        </w:rPr>
        <w:t xml:space="preserve">These examples show the </w:t>
      </w:r>
      <w:r>
        <w:rPr>
          <w:rFonts w:ascii="Calibri" w:hAnsi="Calibri"/>
          <w:b/>
          <w:i w:val="0"/>
          <w:color w:val="007A87"/>
          <w:sz w:val="20"/>
        </w:rPr>
        <w:t>format only</w:t>
      </w:r>
      <w:r>
        <w:rPr>
          <w:rFonts w:ascii="Calibri" w:hAnsi="Calibri"/>
          <w:b w:val="0"/>
          <w:i w:val="0"/>
          <w:color w:val="1A1A2E"/>
          <w:sz w:val="20"/>
        </w:rPr>
        <w:t xml:space="preserve">. They are </w:t>
      </w:r>
      <w:r>
        <w:rPr>
          <w:rFonts w:ascii="Calibri" w:hAnsi="Calibri"/>
          <w:b/>
          <w:i w:val="0"/>
          <w:color w:val="1A3A5C"/>
          <w:sz w:val="20"/>
        </w:rPr>
        <w:t>not</w:t>
      </w:r>
      <w:r>
        <w:rPr>
          <w:rFonts w:ascii="Calibri" w:hAnsi="Calibri"/>
          <w:b w:val="0"/>
          <w:i w:val="0"/>
          <w:color w:val="1A1A2E"/>
          <w:sz w:val="20"/>
        </w:rPr>
        <w:t xml:space="preserve"> answers to the real questions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88"/>
        <w:gridCol w:w="3888"/>
        <w:gridCol w:w="3888"/>
      </w:tblGrid>
      <w:tr>
        <w:tc>
          <w:tcPr>
            <w:tcW w:type="dxa" w:w="3888"/>
            <w:shd w:val="clear" w:color="auto" w:fill="F0F6FA"/>
            <w:vAlign w:val="top"/>
          </w:tcPr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>Example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か  -&gt;  ka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Answer: Example from a different row.</w:t>
            </w:r>
          </w:p>
        </w:tc>
        <w:tc>
          <w:tcPr>
            <w:tcW w:type="dxa" w:w="3888"/>
            <w:shd w:val="clear" w:color="auto" w:fill="F0F6FA"/>
            <w:vAlign w:val="top"/>
          </w:tcPr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>Example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かき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Answer: ka-ki</w:t>
            </w:r>
          </w:p>
        </w:tc>
        <w:tc>
          <w:tcPr>
            <w:tcW w:type="dxa" w:w="3888"/>
            <w:shd w:val="clear" w:color="auto" w:fill="F0F6FA"/>
            <w:vAlign w:val="top"/>
          </w:tcPr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>Example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か  __  く  __  こ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Answer: き, け</w:t>
            </w:r>
          </w:p>
        </w:tc>
      </w:tr>
    </w:tbl>
    <w:p>
      <w:pPr>
        <w:spacing w:after="20"/>
      </w:pPr>
    </w:p>
    <w:p>
      <w:pPr>
        <w:spacing w:before="60" w:after="40"/>
        <w:ind w:left="170"/>
        <w:shd w:val="clear" w:color="auto" w:fill="007A87"/>
      </w:pPr>
      <w:r>
        <w:rPr>
          <w:rFonts w:ascii="Calibri" w:hAnsi="Calibri"/>
          <w:b/>
          <w:i w:val="0"/>
          <w:color w:val="FFFFFF"/>
          <w:sz w:val="24"/>
        </w:rPr>
        <w:t>Activity 1 — Write the Reading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1A1A2E"/>
          <w:sz w:val="20"/>
        </w:rPr>
        <w:t xml:space="preserve">Look at each kana and </w:t>
      </w:r>
      <w:r>
        <w:rPr>
          <w:rFonts w:ascii="Calibri" w:hAnsi="Calibri"/>
          <w:b/>
          <w:i w:val="0"/>
          <w:color w:val="007A87"/>
          <w:sz w:val="20"/>
        </w:rPr>
        <w:t>write its reading in romaji</w:t>
      </w:r>
      <w:r>
        <w:rPr>
          <w:rFonts w:ascii="Calibri" w:hAnsi="Calibri"/>
          <w:b w:val="0"/>
          <w:i w:val="0"/>
          <w:color w:val="1A1A2E"/>
          <w:sz w:val="20"/>
        </w:rPr>
        <w:t xml:space="preserve">. Write the sound from memory. </w:t>
      </w:r>
      <w:r>
        <w:rPr>
          <w:rFonts w:ascii="Calibri" w:hAnsi="Calibri"/>
          <w:b/>
          <w:i w:val="0"/>
          <w:color w:val="E6A817"/>
          <w:sz w:val="20"/>
        </w:rPr>
        <w:t xml:space="preserve">Example from another row: </w:t>
      </w:r>
      <w:r>
        <w:rPr>
          <w:rFonts w:ascii="Calibri" w:hAnsi="Calibri"/>
          <w:b w:val="0"/>
          <w:i/>
          <w:color w:val="6B7B8D"/>
          <w:sz w:val="20"/>
        </w:rPr>
        <w:t xml:space="preserve">か = ka. </w:t>
      </w:r>
      <w:r>
        <w:rPr>
          <w:rFonts w:ascii="Calibri" w:hAnsi="Calibri"/>
          <w:b/>
          <w:i w:val="0"/>
          <w:color w:val="1A3A5C"/>
          <w:sz w:val="20"/>
        </w:rPr>
        <w:t>Do not use the examples as answers</w:t>
      </w:r>
      <w:r>
        <w:rPr>
          <w:rFonts w:ascii="Calibri" w:hAnsi="Calibri"/>
          <w:b w:val="0"/>
          <w:i w:val="0"/>
          <w:color w:val="1A1A2E"/>
          <w:sz w:val="20"/>
        </w:rPr>
        <w:t xml:space="preserve"> because they only show how the activity works.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88"/>
        <w:gridCol w:w="3888"/>
        <w:gridCol w:w="3888"/>
      </w:tblGrid>
      <w:tr>
        <w:tc>
          <w:tcPr>
            <w:tcW w:type="dxa" w:w="3888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888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Kana</w:t>
            </w:r>
          </w:p>
        </w:tc>
        <w:tc>
          <w:tcPr>
            <w:tcW w:type="dxa" w:w="3888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Your reading</w:t>
            </w:r>
          </w:p>
        </w:tc>
      </w:tr>
      <w:tr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1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さ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</w:t>
            </w:r>
          </w:p>
        </w:tc>
      </w:tr>
      <w:tr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2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し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</w:t>
            </w:r>
          </w:p>
        </w:tc>
      </w:tr>
      <w:tr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3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す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</w:t>
            </w:r>
          </w:p>
        </w:tc>
      </w:tr>
      <w:tr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4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せ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</w:t>
            </w:r>
          </w:p>
        </w:tc>
      </w:tr>
      <w:tr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5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そ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</w:t>
            </w:r>
          </w:p>
        </w:tc>
      </w:tr>
    </w:tbl>
    <w:p>
      <w:pPr>
        <w:spacing w:after="20"/>
      </w:pPr>
    </w:p>
    <w:p>
      <w:pPr>
        <w:spacing w:before="60" w:after="40"/>
        <w:ind w:left="170"/>
        <w:shd w:val="clear" w:color="auto" w:fill="1A3A5C"/>
      </w:pPr>
      <w:r>
        <w:rPr>
          <w:rFonts w:ascii="Calibri" w:hAnsi="Calibri"/>
          <w:b/>
          <w:i w:val="0"/>
          <w:color w:val="FFFFFF"/>
          <w:sz w:val="24"/>
        </w:rPr>
        <w:t>Activity 2 — Pattern Practice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1A1A2E"/>
          <w:sz w:val="20"/>
        </w:rPr>
        <w:t xml:space="preserve">Use the row pattern to help you. </w:t>
      </w:r>
      <w:r>
        <w:rPr>
          <w:rFonts w:ascii="Calibri" w:hAnsi="Calibri"/>
          <w:b/>
          <w:i w:val="0"/>
          <w:color w:val="007A87"/>
          <w:sz w:val="20"/>
        </w:rPr>
        <w:t>Fill in the missing kana</w:t>
      </w:r>
      <w:r>
        <w:rPr>
          <w:rFonts w:ascii="Calibri" w:hAnsi="Calibri"/>
          <w:b w:val="0"/>
          <w:i w:val="0"/>
          <w:color w:val="1A1A2E"/>
          <w:sz w:val="20"/>
        </w:rPr>
        <w:t xml:space="preserve"> and </w:t>
      </w:r>
      <w:r>
        <w:rPr>
          <w:rFonts w:ascii="Calibri" w:hAnsi="Calibri"/>
          <w:b/>
          <w:i w:val="0"/>
          <w:color w:val="1A3A5C"/>
          <w:sz w:val="20"/>
        </w:rPr>
        <w:t>circle the one that does not belong</w:t>
      </w:r>
      <w:r>
        <w:rPr>
          <w:rFonts w:ascii="Calibri" w:hAnsi="Calibri"/>
          <w:b w:val="0"/>
          <w:i w:val="0"/>
          <w:color w:val="1A1A2E"/>
          <w:sz w:val="2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Fill in the missing kana</w:t>
            </w:r>
          </w:p>
        </w:tc>
        <w:tc>
          <w:tcPr>
            <w:tcW w:type="dxa" w:w="5832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Your answer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さ  __  す  __  そ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__  し  __  せ  __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Circle the kana that does not belong</w:t>
            </w:r>
          </w:p>
        </w:tc>
        <w:tc>
          <w:tcPr>
            <w:tcW w:type="dxa" w:w="5832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Your answer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か   さ   し   す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し   き   す   せ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す   せ   く   そ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6B7B8D"/>
          <w:sz w:val="20"/>
        </w:rPr>
        <w:t>Reference &amp; Answer Key  ·  Page 2 of 2</w:t>
      </w:r>
    </w:p>
    <w:p>
      <w:pPr>
        <w:spacing w:before="60" w:after="40"/>
        <w:ind w:left="170"/>
        <w:shd w:val="clear" w:color="auto" w:fill="1A1A2E"/>
      </w:pPr>
      <w:r>
        <w:rPr>
          <w:rFonts w:ascii="Calibri" w:hAnsi="Calibri"/>
          <w:b/>
          <w:i w:val="0"/>
          <w:color w:val="FFFFFF"/>
          <w:sz w:val="24"/>
        </w:rPr>
        <w:t>Reference &amp; Answer Key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1A1A2E"/>
          <w:sz w:val="20"/>
        </w:rPr>
        <w:t>Use this page as a reference after students finish page 1. Read each kana left to right and treat each one as one clean sound beat.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Practice pair</w:t>
            </w:r>
          </w:p>
        </w:tc>
        <w:tc>
          <w:tcPr>
            <w:tcW w:type="dxa" w:w="5832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Reading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さし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sa-shi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すし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su-shi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せそ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se-so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そさ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so-sa</w:t>
            </w:r>
          </w:p>
        </w:tc>
      </w:tr>
    </w:tbl>
    <w:p>
      <w:pPr>
        <w:spacing w:after="20"/>
      </w:pPr>
    </w:p>
    <w:p>
      <w:pPr>
        <w:spacing w:before="60" w:after="40"/>
        <w:ind w:left="170"/>
        <w:shd w:val="clear" w:color="auto" w:fill="007A87"/>
      </w:pPr>
      <w:r>
        <w:rPr>
          <w:rFonts w:ascii="Calibri" w:hAnsi="Calibri"/>
          <w:b/>
          <w:i w:val="0"/>
          <w:color w:val="FFFFFF"/>
          <w:sz w:val="24"/>
        </w:rPr>
        <w:t>Activity 1 Answers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Kana</w:t>
            </w:r>
          </w:p>
        </w:tc>
        <w:tc>
          <w:tcPr>
            <w:tcW w:type="dxa" w:w="5832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Reading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6"/>
              </w:rPr>
              <w:t>さ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sa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6"/>
              </w:rPr>
              <w:t>し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shi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6"/>
              </w:rPr>
              <w:t>す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su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6"/>
              </w:rPr>
              <w:t>せ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se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6"/>
              </w:rPr>
              <w:t>そ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so</w:t>
            </w:r>
          </w:p>
        </w:tc>
      </w:tr>
    </w:tbl>
    <w:p>
      <w:pPr>
        <w:spacing w:after="20"/>
      </w:pPr>
    </w:p>
    <w:p>
      <w:pPr>
        <w:spacing w:before="60" w:after="40"/>
        <w:ind w:left="170"/>
        <w:shd w:val="clear" w:color="auto" w:fill="1A3A5C"/>
      </w:pPr>
      <w:r>
        <w:rPr>
          <w:rFonts w:ascii="Calibri" w:hAnsi="Calibri"/>
          <w:b/>
          <w:i w:val="0"/>
          <w:color w:val="FFFFFF"/>
          <w:sz w:val="24"/>
        </w:rPr>
        <w:t>Activity 2 Answers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Fill in the missing kana</w:t>
            </w:r>
          </w:p>
        </w:tc>
        <w:tc>
          <w:tcPr>
            <w:tcW w:type="dxa" w:w="5832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さ  __  す  __  そ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し, せ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__  し  __  せ  __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さ, す, そ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Circle the kana that does not belong</w:t>
            </w:r>
          </w:p>
        </w:tc>
        <w:tc>
          <w:tcPr>
            <w:tcW w:type="dxa" w:w="5832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か   さ   し   す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か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し   き   す   せ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き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す   せ   く   そ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く</w:t>
            </w:r>
          </w:p>
        </w:tc>
      </w:tr>
    </w:tbl>
    <w:p>
      <w:pPr>
        <w:spacing w:after="20"/>
      </w:pPr>
    </w:p>
    <w:p>
      <w:pPr>
        <w:spacing w:before="80" w:after="40"/>
      </w:pPr>
      <w:r>
        <w:rPr>
          <w:rFonts w:ascii="Calibri" w:hAnsi="Calibri"/>
          <w:b/>
          <w:i w:val="0"/>
          <w:color w:val="007A87"/>
          <w:sz w:val="24"/>
        </w:rPr>
        <w:t>Important reminders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One hiragana usually represents one sound beat.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Most rows follow the vowel order a, i, u, e, o, even when one sound is slightly irregular.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If a row has a special reading, say it slowly first and then return to the full row pattern.</w:t>
      </w:r>
    </w:p>
    <w:p>
      <w:pPr>
        <w:spacing w:after="20"/>
      </w:pPr>
    </w:p>
    <w:p>
      <w:pPr>
        <w:spacing w:before="80" w:after="40"/>
      </w:pPr>
      <w:r>
        <w:rPr>
          <w:rFonts w:ascii="Calibri" w:hAnsi="Calibri"/>
          <w:b/>
          <w:i w:val="0"/>
          <w:color w:val="007A87"/>
          <w:sz w:val="24"/>
        </w:rPr>
        <w:t>How to study this set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Point to one letter at a time and say the full sound in one step, such as ka or shi.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When you read a practice pair, do not stop too long between the two kana.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After checking the answer key, cover the sound column and quiz yourself again from memory.</w:t>
      </w:r>
    </w:p>
    <w:p>
      <w:pPr>
        <w:spacing w:after="20"/>
      </w:pPr>
    </w:p>
    <w:p>
      <w:pPr>
        <w:spacing w:before="120" w:after="40"/>
      </w:pPr>
      <w:r>
        <w:rPr>
          <w:rFonts w:ascii="Calibri" w:hAnsi="Calibri"/>
          <w:b/>
          <w:i w:val="0"/>
          <w:color w:val="1A3A5C"/>
          <w:sz w:val="28"/>
        </w:rPr>
        <w:t>Beginner notes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し is one of the first kana that does not match a simple consonant + vowel pattern.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Students often remember すし because sushi is already familiar in English.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Keep the vowel steady even when the spelling changes.</w:t>
      </w:r>
    </w:p>
    <w:sectPr w:rsidR="00FC693F" w:rsidRPr="0006063C" w:rsidSect="00034616">
      <w:footerReference w:type="default" r:id="rId9"/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b w:val="0"/>
        <w:i w:val="0"/>
        <w:color w:val="6B7B8D"/>
        <w:sz w:val="14"/>
      </w:rPr>
      <w:t>neuralforge.cc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