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620C8" w14:textId="14F78844" w:rsidR="00CB7956" w:rsidRDefault="00CB7956" w:rsidP="00CB7956">
      <w:pPr>
        <w:pStyle w:val="Title"/>
        <w:rPr>
          <w:rFonts w:ascii="Palatino Linotype" w:eastAsia="Times New Roman" w:hAnsi="Palatino Linotype" w:cs="Times New Roman"/>
          <w:color w:val="000000"/>
          <w:kern w:val="0"/>
          <w:sz w:val="22"/>
          <w:szCs w:val="22"/>
          <w:lang w:eastAsia="de-DE" w:bidi="en-US"/>
          <w14:ligatures w14:val="none"/>
        </w:rPr>
      </w:pPr>
      <w:r w:rsidRPr="00CB7956">
        <w:rPr>
          <w:rFonts w:ascii="Palatino Linotype" w:hAnsi="Palatino Linotype"/>
          <w:sz w:val="22"/>
          <w:szCs w:val="22"/>
        </w:rPr>
        <w:t xml:space="preserve">S1 Text. </w:t>
      </w:r>
      <w:r w:rsidR="00B808F8" w:rsidRPr="00B808F8">
        <w:rPr>
          <w:rFonts w:ascii="Palatino Linotype" w:hAnsi="Palatino Linotype"/>
          <w:sz w:val="22"/>
          <w:szCs w:val="22"/>
        </w:rPr>
        <w:t>V‑Cornea Supplemental Mathematical Formulation for Growth and Mitosis.</w:t>
      </w:r>
      <w:r w:rsidRPr="00CB7956">
        <w:rPr>
          <w:rStyle w:val="Emphasis"/>
          <w:rFonts w:eastAsiaTheme="minorHAnsi" w:cstheme="minorBidi"/>
          <w:spacing w:val="0"/>
          <w:kern w:val="2"/>
          <w:sz w:val="22"/>
          <w:szCs w:val="22"/>
        </w:rPr>
        <w:br/>
      </w:r>
      <w:r w:rsidRPr="00CB7956">
        <w:rPr>
          <w:rFonts w:ascii="Palatino Linotype" w:eastAsiaTheme="minorHAnsi" w:hAnsi="Palatino Linotype" w:cstheme="minorBidi"/>
          <w:spacing w:val="0"/>
          <w:kern w:val="2"/>
          <w:sz w:val="22"/>
          <w:szCs w:val="22"/>
        </w:rPr>
        <w:t xml:space="preserve">Manuscript Title: </w:t>
      </w:r>
      <w:r w:rsidRPr="00CB7956">
        <w:rPr>
          <w:rFonts w:ascii="Palatino Linotype" w:hAnsi="Palatino Linotype"/>
          <w:sz w:val="22"/>
          <w:szCs w:val="22"/>
        </w:rPr>
        <w:t>V-Cornea: A computational model of corneal epithelium homeostasis, injury, and recovery</w:t>
      </w:r>
      <w:r w:rsidRPr="00CB7956">
        <w:rPr>
          <w:rFonts w:ascii="Palatino Linotype" w:hAnsi="Palatino Linotype"/>
          <w:sz w:val="22"/>
          <w:szCs w:val="22"/>
        </w:rPr>
        <w:br/>
        <w:t xml:space="preserve">Authors: </w:t>
      </w:r>
      <w:r w:rsidRPr="00CB7956">
        <w:rPr>
          <w:rStyle w:val="Emphasis"/>
          <w:rFonts w:ascii="Palatino Linotype" w:hAnsi="Palatino Linotype"/>
          <w:sz w:val="22"/>
          <w:szCs w:val="22"/>
        </w:rPr>
        <w:t xml:space="preserve">Joel Vanin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Michael Getz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Catherine Mahony </w:t>
      </w:r>
      <w:r w:rsidRPr="00CB7956">
        <w:rPr>
          <w:rStyle w:val="Emphasis"/>
          <w:rFonts w:ascii="Palatino Linotype" w:hAnsi="Palatino Linotype"/>
          <w:sz w:val="22"/>
          <w:szCs w:val="22"/>
          <w:vertAlign w:val="superscript"/>
        </w:rPr>
        <w:t>b</w:t>
      </w:r>
      <w:r w:rsidRPr="00CB7956">
        <w:rPr>
          <w:rStyle w:val="Emphasis"/>
          <w:rFonts w:ascii="Palatino Linotype" w:hAnsi="Palatino Linotype"/>
          <w:sz w:val="22"/>
          <w:szCs w:val="22"/>
        </w:rPr>
        <w:t xml:space="preserve">, Thomas B. Knudsen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&amp; James A. Glazier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w:t>
      </w:r>
      <w:r w:rsidRPr="00CB7956">
        <w:rPr>
          <w:rStyle w:val="Emphasis"/>
          <w:rFonts w:ascii="Palatino Linotype" w:hAnsi="Palatino Linotype"/>
          <w:sz w:val="22"/>
          <w:szCs w:val="22"/>
        </w:rPr>
        <w:br/>
      </w:r>
      <w:r w:rsidRPr="00CB7956">
        <w:rPr>
          <w:rStyle w:val="Emphasis"/>
          <w:rFonts w:ascii="Palatino Linotype" w:hAnsi="Palatino Linotype"/>
          <w:i w:val="0"/>
          <w:iCs w:val="0"/>
          <w:sz w:val="22"/>
          <w:szCs w:val="22"/>
        </w:rPr>
        <w:t>Affiliations:</w:t>
      </w:r>
      <w:r w:rsidRPr="00CB7956">
        <w:rPr>
          <w:rStyle w:val="Emphasis"/>
          <w:rFonts w:ascii="Palatino Linotype" w:hAnsi="Palatino Linotype"/>
          <w:sz w:val="22"/>
          <w:szCs w:val="22"/>
        </w:rPr>
        <w:t xml:space="preserve"> </w:t>
      </w:r>
      <w:r w:rsidRPr="00CB7956">
        <w:rPr>
          <w:rFonts w:ascii="Palatino Linotype" w:eastAsia="Times New Roman" w:hAnsi="Palatino Linotype" w:cs="Times New Roman"/>
          <w:color w:val="000000"/>
          <w:kern w:val="0"/>
          <w:sz w:val="22"/>
          <w:szCs w:val="22"/>
          <w:vertAlign w:val="superscript"/>
          <w:lang w:eastAsia="de-DE" w:bidi="en-US"/>
          <w14:ligatures w14:val="none"/>
        </w:rPr>
        <w:t>a</w:t>
      </w:r>
      <w:r w:rsidRPr="00CB7956">
        <w:rPr>
          <w:rFonts w:ascii="Palatino Linotype" w:eastAsia="Times New Roman" w:hAnsi="Palatino Linotype" w:cs="Times New Roman"/>
          <w:color w:val="000000"/>
          <w:kern w:val="0"/>
          <w:sz w:val="22"/>
          <w:szCs w:val="22"/>
          <w:lang w:eastAsia="de-DE" w:bidi="en-US"/>
          <w14:ligatures w14:val="none"/>
        </w:rPr>
        <w:t xml:space="preserve"> Department of Intelligent Systems Engineering and Biocomplexity Institute, Indiana University, Bloomington, Indiana, United States of America;</w:t>
      </w:r>
      <w:r w:rsidRPr="00CB7956">
        <w:rPr>
          <w:rFonts w:ascii="Palatino Linotype" w:eastAsia="Times New Roman" w:hAnsi="Palatino Linotype" w:cs="Times New Roman"/>
          <w:color w:val="000000"/>
          <w:kern w:val="0"/>
          <w:sz w:val="16"/>
          <w:szCs w:val="16"/>
          <w:lang w:eastAsia="de-DE" w:bidi="en-US"/>
          <w14:ligatures w14:val="none"/>
        </w:rPr>
        <w:t xml:space="preserve">  </w:t>
      </w:r>
      <w:r w:rsidRPr="00CB7956">
        <w:rPr>
          <w:rFonts w:ascii="Palatino Linotype" w:eastAsia="Times New Roman" w:hAnsi="Palatino Linotype" w:cs="Times New Roman"/>
          <w:color w:val="000000"/>
          <w:kern w:val="0"/>
          <w:sz w:val="22"/>
          <w:szCs w:val="24"/>
          <w:vertAlign w:val="superscript"/>
          <w:lang w:eastAsia="de-DE" w:bidi="en-US"/>
          <w14:ligatures w14:val="none"/>
        </w:rPr>
        <w:t>b</w:t>
      </w:r>
      <w:r w:rsidRPr="00CB7956">
        <w:rPr>
          <w:rFonts w:ascii="Palatino Linotype" w:eastAsia="Times New Roman" w:hAnsi="Palatino Linotype" w:cs="Times New Roman"/>
          <w:color w:val="000000"/>
          <w:kern w:val="0"/>
          <w:sz w:val="22"/>
          <w:szCs w:val="22"/>
          <w:lang w:eastAsia="de-DE" w:bidi="en-US"/>
          <w14:ligatures w14:val="none"/>
        </w:rPr>
        <w:t xml:space="preserve"> Procter &amp; Gamble Technical Centre, Reading, United Kingdom;</w:t>
      </w:r>
    </w:p>
    <w:p w14:paraId="7002BD7B" w14:textId="1A2E0D6F" w:rsidR="00741DFE" w:rsidRPr="00F10E35" w:rsidRDefault="00741DFE" w:rsidP="00741DFE">
      <w:pPr>
        <w:pStyle w:val="Heading1"/>
        <w:rPr>
          <w:rFonts w:ascii="Palatino Linotype" w:hAnsi="Palatino Linotype"/>
        </w:rPr>
      </w:pPr>
      <w:r>
        <w:rPr>
          <w:rFonts w:ascii="Palatino Linotype" w:hAnsi="Palatino Linotype"/>
        </w:rPr>
        <w:t>S1</w:t>
      </w:r>
      <w:r w:rsidRPr="00F10E35">
        <w:rPr>
          <w:rFonts w:ascii="Palatino Linotype" w:hAnsi="Palatino Linotype"/>
        </w:rPr>
        <w:t>. Growth Dynamics Mathematical Formulation</w:t>
      </w:r>
    </w:p>
    <w:p w14:paraId="342C181D" w14:textId="77777777" w:rsidR="00741DFE" w:rsidRPr="00EE2F3E" w:rsidRDefault="00741DFE" w:rsidP="00741DFE">
      <w:pPr>
        <w:pStyle w:val="Heading2"/>
        <w:rPr>
          <w:rFonts w:ascii="Palatino Linotype" w:hAnsi="Palatino Linotype"/>
        </w:rPr>
      </w:pPr>
      <w:r>
        <w:rPr>
          <w:rFonts w:ascii="Palatino Linotype" w:hAnsi="Palatino Linotype"/>
        </w:rPr>
        <w:t>S1.</w:t>
      </w:r>
      <w:r w:rsidRPr="00EE2F3E">
        <w:rPr>
          <w:rFonts w:ascii="Palatino Linotype" w:hAnsi="Palatino Linotype"/>
        </w:rPr>
        <w:t>1 EGF-Dependent Growth (Hill Function)</w:t>
      </w:r>
    </w:p>
    <w:p w14:paraId="1AA5D0E7" w14:textId="77777777" w:rsidR="00741DFE" w:rsidRPr="00CC5CFE" w:rsidRDefault="00741DFE" w:rsidP="00741DFE">
      <w:pPr>
        <w:rPr>
          <w:rFonts w:ascii="Palatino Linotype" w:eastAsiaTheme="minorEastAsia" w:hAnsi="Palatino Linotype"/>
          <w:lang w:bidi="en-US"/>
        </w:rPr>
      </w:pPr>
      <w:r w:rsidRPr="00CC5CFE">
        <w:rPr>
          <w:rFonts w:ascii="Palatino Linotype" w:hAnsi="Palatino Linotype"/>
        </w:rPr>
        <w:t>For basal and stem cell types, the growth factor due to EGF concentration is defined as:</w:t>
      </w:r>
    </w:p>
    <w:p w14:paraId="664BE284" w14:textId="77777777" w:rsidR="00741DFE" w:rsidRPr="00CC5CFE" w:rsidRDefault="00000000" w:rsidP="00741DFE">
      <w:pPr>
        <w:jc w:val="center"/>
        <w:rPr>
          <w:rFonts w:ascii="Palatino Linotype" w:eastAsiaTheme="minorEastAsia" w:hAnsi="Palatino Linotype"/>
          <w:lang w:bidi="en-US"/>
        </w:rPr>
      </w:pPr>
      <m:oMathPara>
        <m:oMathParaPr>
          <m:jc m:val="center"/>
        </m:oMathParaPr>
        <m:oMath>
          <m:eqArr>
            <m:eqArrPr>
              <m:maxDist m:val="1"/>
              <m:ctrlPr>
                <w:rPr>
                  <w:rFonts w:ascii="Cambria Math" w:hAnsi="Cambria Math"/>
                  <w:i/>
                  <w:lang w:bidi="en-US"/>
                </w:rPr>
              </m:ctrlPr>
            </m:eqArrPr>
            <m:e>
              <m:sSub>
                <m:sSubPr>
                  <m:ctrlPr>
                    <w:rPr>
                      <w:rFonts w:ascii="Cambria Math" w:hAnsi="Cambria Math"/>
                      <w:bCs/>
                      <w:i/>
                      <w:lang w:bidi="en-US"/>
                    </w:rPr>
                  </m:ctrlPr>
                </m:sSubPr>
                <m:e>
                  <m:sSub>
                    <m:sSubPr>
                      <m:ctrlPr>
                        <w:rPr>
                          <w:rFonts w:ascii="Cambria Math" w:hAnsi="Cambria Math"/>
                          <w:bCs/>
                          <w:i/>
                          <w:lang w:bidi="en-US"/>
                        </w:rPr>
                      </m:ctrlPr>
                    </m:sSubPr>
                    <m:e>
                      <m:r>
                        <w:rPr>
                          <w:rFonts w:ascii="Cambria Math" w:hAnsi="Cambria Math"/>
                          <w:lang w:bidi="en-US"/>
                        </w:rPr>
                        <m:t>G</m:t>
                      </m:r>
                    </m:e>
                    <m:sub>
                      <m:r>
                        <w:rPr>
                          <w:rFonts w:ascii="Cambria Math" w:hAnsi="Cambria Math"/>
                          <w:lang w:bidi="en-US"/>
                        </w:rPr>
                        <m:t>n</m:t>
                      </m:r>
                    </m:sub>
                  </m:sSub>
                </m:e>
                <m:sub>
                  <m:r>
                    <w:rPr>
                      <w:rFonts w:ascii="Cambria Math" w:hAnsi="Cambria Math"/>
                      <w:lang w:bidi="en-US"/>
                    </w:rPr>
                    <m:t>EGF,i</m:t>
                  </m:r>
                </m:sub>
              </m:sSub>
              <m:r>
                <w:rPr>
                  <w:rFonts w:ascii="Cambria Math" w:hAnsi="Cambria Math"/>
                  <w:lang w:bidi="en-US"/>
                </w:rPr>
                <m:t>​=​​</m:t>
              </m:r>
              <m:d>
                <m:dPr>
                  <m:ctrlPr>
                    <w:rPr>
                      <w:rFonts w:ascii="Cambria Math" w:hAnsi="Cambria Math"/>
                      <w:bCs/>
                      <w:i/>
                      <w:lang w:bidi="en-US"/>
                    </w:rPr>
                  </m:ctrlPr>
                </m:dPr>
                <m:e>
                  <m:f>
                    <m:fPr>
                      <m:ctrlPr>
                        <w:rPr>
                          <w:rFonts w:ascii="Cambria Math" w:hAnsi="Cambria Math"/>
                          <w:bCs/>
                          <w:i/>
                          <w:lang w:bidi="en-US"/>
                        </w:rPr>
                      </m:ctrlPr>
                    </m:fPr>
                    <m:num>
                      <m:sSup>
                        <m:sSupPr>
                          <m:ctrlPr>
                            <w:rPr>
                              <w:rFonts w:ascii="Cambria Math" w:hAnsi="Cambria Math"/>
                              <w:bCs/>
                              <w:i/>
                              <w:lang w:bidi="en-US"/>
                            </w:rPr>
                          </m:ctrlPr>
                        </m:sSupPr>
                        <m:e>
                          <m:r>
                            <w:rPr>
                              <w:rFonts w:ascii="Cambria Math" w:hAnsi="Cambria Math"/>
                              <w:lang w:bidi="en-US"/>
                            </w:rPr>
                            <m:t>EG</m:t>
                          </m:r>
                          <m:sSub>
                            <m:sSubPr>
                              <m:ctrlPr>
                                <w:rPr>
                                  <w:rFonts w:ascii="Cambria Math" w:hAnsi="Cambria Math"/>
                                  <w:bCs/>
                                  <w:i/>
                                  <w:lang w:bidi="en-US"/>
                                </w:rPr>
                              </m:ctrlPr>
                            </m:sSubPr>
                            <m:e>
                              <m:sSub>
                                <m:sSubPr>
                                  <m:ctrlPr>
                                    <w:rPr>
                                      <w:rFonts w:ascii="Cambria Math" w:hAnsi="Cambria Math"/>
                                      <w:bCs/>
                                      <w:i/>
                                      <w:lang w:bidi="en-US"/>
                                    </w:rPr>
                                  </m:ctrlPr>
                                </m:sSubPr>
                                <m:e>
                                  <m:r>
                                    <w:rPr>
                                      <w:rFonts w:ascii="Cambria Math" w:hAnsi="Cambria Math"/>
                                      <w:lang w:bidi="en-US"/>
                                    </w:rPr>
                                    <m:t>F</m:t>
                                  </m:r>
                                </m:e>
                                <m:sub>
                                  <m:r>
                                    <w:rPr>
                                      <w:rFonts w:ascii="Cambria Math" w:hAnsi="Cambria Math"/>
                                      <w:lang w:bidi="en-US"/>
                                    </w:rPr>
                                    <m:t>n</m:t>
                                  </m:r>
                                </m:sub>
                              </m:sSub>
                            </m:e>
                            <m:sub>
                              <m:r>
                                <w:rPr>
                                  <w:rFonts w:ascii="Cambria Math" w:hAnsi="Cambria Math"/>
                                  <w:lang w:bidi="en-US"/>
                                </w:rPr>
                                <m:t>,i</m:t>
                              </m:r>
                            </m:sub>
                          </m:sSub>
                        </m:e>
                        <m:sup>
                          <m:r>
                            <w:rPr>
                              <w:rFonts w:ascii="Cambria Math" w:hAnsi="Cambria Math"/>
                              <w:lang w:bidi="en-US"/>
                            </w:rPr>
                            <m:t>4</m:t>
                          </m:r>
                        </m:sup>
                      </m:sSup>
                      <m:r>
                        <w:rPr>
                          <w:rFonts w:ascii="Cambria Math" w:hAnsi="Cambria Math"/>
                          <w:lang w:bidi="en-US"/>
                        </w:rPr>
                        <m:t xml:space="preserve"> ​​​</m:t>
                      </m:r>
                    </m:num>
                    <m:den>
                      <m:sSup>
                        <m:sSupPr>
                          <m:ctrlPr>
                            <w:rPr>
                              <w:rFonts w:ascii="Cambria Math" w:hAnsi="Cambria Math"/>
                              <w:bCs/>
                              <w:i/>
                              <w:lang w:bidi="en-US"/>
                            </w:rPr>
                          </m:ctrlPr>
                        </m:sSupPr>
                        <m:e>
                          <m:sSub>
                            <m:sSubPr>
                              <m:ctrlPr>
                                <w:rPr>
                                  <w:rFonts w:ascii="Cambria Math" w:hAnsi="Cambria Math"/>
                                  <w:bCs/>
                                  <w:i/>
                                  <w:lang w:bidi="en-US"/>
                                </w:rPr>
                              </m:ctrlPr>
                            </m:sSubPr>
                            <m:e>
                              <m:sSub>
                                <m:sSubPr>
                                  <m:ctrlPr>
                                    <w:rPr>
                                      <w:rFonts w:ascii="Cambria Math" w:hAnsi="Cambria Math"/>
                                      <w:bCs/>
                                      <w:i/>
                                      <w:lang w:bidi="en-US"/>
                                    </w:rPr>
                                  </m:ctrlPr>
                                </m:sSubPr>
                                <m:e>
                                  <m:r>
                                    <w:rPr>
                                      <w:rFonts w:ascii="Cambria Math" w:hAnsi="Cambria Math"/>
                                      <w:lang w:bidi="en-US"/>
                                    </w:rPr>
                                    <m:t>k</m:t>
                                  </m:r>
                                </m:e>
                                <m:sub>
                                  <m:r>
                                    <w:rPr>
                                      <w:rFonts w:ascii="Cambria Math" w:hAnsi="Cambria Math"/>
                                      <w:lang w:bidi="en-US"/>
                                    </w:rPr>
                                    <m:t>m</m:t>
                                  </m:r>
                                </m:sub>
                              </m:sSub>
                            </m:e>
                            <m:sub>
                              <m:r>
                                <w:rPr>
                                  <w:rFonts w:ascii="Cambria Math" w:hAnsi="Cambria Math"/>
                                  <w:lang w:bidi="en-US"/>
                                </w:rPr>
                                <m:t>EGF,i</m:t>
                              </m:r>
                            </m:sub>
                          </m:sSub>
                        </m:e>
                        <m:sup>
                          <m:r>
                            <w:rPr>
                              <w:rFonts w:ascii="Cambria Math" w:hAnsi="Cambria Math"/>
                              <w:lang w:bidi="en-US"/>
                            </w:rPr>
                            <m:t>4</m:t>
                          </m:r>
                        </m:sup>
                      </m:sSup>
                      <m:r>
                        <w:rPr>
                          <w:rFonts w:ascii="Cambria Math" w:hAnsi="Cambria Math"/>
                          <w:lang w:bidi="en-US"/>
                        </w:rPr>
                        <m:t>+</m:t>
                      </m:r>
                      <m:sSup>
                        <m:sSupPr>
                          <m:ctrlPr>
                            <w:rPr>
                              <w:rFonts w:ascii="Cambria Math" w:hAnsi="Cambria Math"/>
                              <w:bCs/>
                              <w:i/>
                              <w:lang w:bidi="en-US"/>
                            </w:rPr>
                          </m:ctrlPr>
                        </m:sSupPr>
                        <m:e>
                          <m:r>
                            <w:rPr>
                              <w:rFonts w:ascii="Cambria Math" w:hAnsi="Cambria Math"/>
                              <w:lang w:bidi="en-US"/>
                            </w:rPr>
                            <m:t>EG</m:t>
                          </m:r>
                          <m:sSub>
                            <m:sSubPr>
                              <m:ctrlPr>
                                <w:rPr>
                                  <w:rFonts w:ascii="Cambria Math" w:hAnsi="Cambria Math"/>
                                  <w:bCs/>
                                  <w:i/>
                                  <w:lang w:bidi="en-US"/>
                                </w:rPr>
                              </m:ctrlPr>
                            </m:sSubPr>
                            <m:e>
                              <m:sSub>
                                <m:sSubPr>
                                  <m:ctrlPr>
                                    <w:rPr>
                                      <w:rFonts w:ascii="Cambria Math" w:hAnsi="Cambria Math"/>
                                      <w:bCs/>
                                      <w:i/>
                                      <w:lang w:bidi="en-US"/>
                                    </w:rPr>
                                  </m:ctrlPr>
                                </m:sSubPr>
                                <m:e>
                                  <m:r>
                                    <w:rPr>
                                      <w:rFonts w:ascii="Cambria Math" w:hAnsi="Cambria Math"/>
                                      <w:lang w:bidi="en-US"/>
                                    </w:rPr>
                                    <m:t>F</m:t>
                                  </m:r>
                                </m:e>
                                <m:sub>
                                  <m:r>
                                    <w:rPr>
                                      <w:rFonts w:ascii="Cambria Math" w:hAnsi="Cambria Math"/>
                                      <w:lang w:bidi="en-US"/>
                                    </w:rPr>
                                    <m:t>n</m:t>
                                  </m:r>
                                </m:sub>
                              </m:sSub>
                            </m:e>
                            <m:sub>
                              <m:r>
                                <w:rPr>
                                  <w:rFonts w:ascii="Cambria Math" w:hAnsi="Cambria Math"/>
                                  <w:lang w:bidi="en-US"/>
                                </w:rPr>
                                <m:t>i</m:t>
                              </m:r>
                            </m:sub>
                          </m:sSub>
                        </m:e>
                        <m:sup>
                          <m:r>
                            <w:rPr>
                              <w:rFonts w:ascii="Cambria Math" w:hAnsi="Cambria Math"/>
                              <w:lang w:bidi="en-US"/>
                            </w:rPr>
                            <m:t>4</m:t>
                          </m:r>
                        </m:sup>
                      </m:sSup>
                      <m:r>
                        <w:rPr>
                          <w:rFonts w:ascii="Cambria Math" w:hAnsi="Cambria Math"/>
                          <w:lang w:bidi="en-US"/>
                        </w:rPr>
                        <m:t xml:space="preserve"> </m:t>
                      </m:r>
                    </m:den>
                  </m:f>
                  <m:r>
                    <w:rPr>
                      <w:rFonts w:ascii="Cambria Math" w:hAnsi="Cambria Math"/>
                      <w:lang w:bidi="en-US"/>
                    </w:rPr>
                    <m:t>​</m:t>
                  </m:r>
                </m:e>
              </m:d>
              <m:r>
                <w:rPr>
                  <w:rFonts w:ascii="Cambria Math" w:hAnsi="Cambria Math"/>
                  <w:lang w:bidi="en-US"/>
                </w:rPr>
                <m:t>,#</m:t>
              </m:r>
              <w:bookmarkStart w:id="0" w:name="E1"/>
              <w:bookmarkEnd w:id="0"/>
              <m:d>
                <m:dPr>
                  <m:ctrlPr>
                    <w:rPr>
                      <w:rFonts w:ascii="Cambria Math" w:hAnsi="Cambria Math"/>
                      <w:bCs/>
                      <w:i/>
                      <w:lang w:bidi="en-US"/>
                    </w:rPr>
                  </m:ctrlPr>
                </m:dPr>
                <m:e>
                  <m:r>
                    <w:rPr>
                      <w:rFonts w:ascii="Cambria Math" w:hAnsi="Cambria Math"/>
                      <w:lang w:bidi="en-US"/>
                    </w:rPr>
                    <m:t>S1</m:t>
                  </m:r>
                </m:e>
              </m:d>
              <m:ctrlPr>
                <w:rPr>
                  <w:rFonts w:ascii="Cambria Math" w:hAnsi="Cambria Math"/>
                  <w:bCs/>
                  <w:i/>
                  <w:lang w:bidi="en-US"/>
                </w:rPr>
              </m:ctrlPr>
            </m:e>
          </m:eqArr>
        </m:oMath>
      </m:oMathPara>
    </w:p>
    <w:p w14:paraId="083DCF6D" w14:textId="77777777" w:rsidR="00741DFE" w:rsidRPr="00A96499" w:rsidRDefault="00741DFE" w:rsidP="00741DFE">
      <w:pPr>
        <w:rPr>
          <w:rFonts w:ascii="Palatino Linotype" w:eastAsiaTheme="minorEastAsia" w:hAnsi="Palatino Linotype"/>
          <w:lang w:bidi="en-US"/>
        </w:rPr>
      </w:pPr>
      <w:r>
        <w:rPr>
          <w:rFonts w:ascii="Palatino Linotype" w:eastAsiaTheme="minorEastAsia" w:hAnsi="Palatino Linotype"/>
          <w:lang w:bidi="en-US"/>
        </w:rPr>
        <w:t>w</w:t>
      </w:r>
      <w:r w:rsidRPr="00CC5CFE">
        <w:rPr>
          <w:rFonts w:ascii="Palatino Linotype" w:eastAsiaTheme="minorEastAsia" w:hAnsi="Palatino Linotype"/>
          <w:lang w:bidi="en-US"/>
        </w:rPr>
        <w:t>here</w:t>
      </w:r>
      <w:r>
        <w:rPr>
          <w:rFonts w:ascii="Palatino Linotype" w:eastAsiaTheme="minorEastAsia" w:hAnsi="Palatino Linotype"/>
          <w:lang w:bidi="en-US"/>
        </w:rPr>
        <w:t xml:space="preserve"> </w:t>
      </w:r>
      <m:oMath>
        <m:r>
          <w:rPr>
            <w:rFonts w:ascii="Cambria Math" w:hAnsi="Cambria Math"/>
          </w:rPr>
          <m:t>EG</m:t>
        </m:r>
        <m:sSub>
          <m:sSubPr>
            <m:ctrlPr>
              <w:rPr>
                <w:rFonts w:ascii="Cambria Math" w:hAnsi="Cambria Math"/>
                <w:bCs/>
                <w:i/>
              </w:rPr>
            </m:ctrlPr>
          </m:sSubPr>
          <m:e>
            <m:sSub>
              <m:sSubPr>
                <m:ctrlPr>
                  <w:rPr>
                    <w:rFonts w:ascii="Cambria Math" w:hAnsi="Cambria Math"/>
                    <w:bCs/>
                    <w:i/>
                  </w:rPr>
                </m:ctrlPr>
              </m:sSubPr>
              <m:e>
                <m:r>
                  <w:rPr>
                    <w:rFonts w:ascii="Cambria Math" w:hAnsi="Cambria Math"/>
                  </w:rPr>
                  <m:t>F</m:t>
                </m:r>
              </m:e>
              <m:sub>
                <m:r>
                  <w:rPr>
                    <w:rFonts w:ascii="Cambria Math" w:hAnsi="Cambria Math"/>
                  </w:rPr>
                  <m:t>n</m:t>
                </m:r>
              </m:sub>
            </m:sSub>
          </m:e>
          <m:sub>
            <m:r>
              <w:rPr>
                <w:rFonts w:ascii="Cambria Math" w:hAnsi="Cambria Math"/>
              </w:rPr>
              <m:t>i</m:t>
            </m:r>
          </m:sub>
        </m:sSub>
      </m:oMath>
      <w:r>
        <w:rPr>
          <w:rFonts w:ascii="Palatino Linotype" w:eastAsiaTheme="minorEastAsia" w:hAnsi="Palatino Linotype"/>
          <w:bCs/>
        </w:rPr>
        <w:t xml:space="preserve"> is the average EGF concentration in cell </w:t>
      </w:r>
      <w:proofErr w:type="spellStart"/>
      <w:r>
        <w:rPr>
          <w:rFonts w:ascii="Palatino Linotype" w:eastAsiaTheme="minorEastAsia" w:hAnsi="Palatino Linotype"/>
          <w:bCs/>
          <w:i/>
          <w:iCs/>
        </w:rPr>
        <w:t>i</w:t>
      </w:r>
      <w:proofErr w:type="spellEnd"/>
      <w:r>
        <w:rPr>
          <w:rFonts w:ascii="Palatino Linotype" w:eastAsiaTheme="minorEastAsia" w:hAnsi="Palatino Linotype"/>
          <w:bCs/>
          <w:i/>
          <w:iCs/>
        </w:rPr>
        <w:t xml:space="preserve"> </w:t>
      </w:r>
      <w:r>
        <w:rPr>
          <w:rFonts w:ascii="Palatino Linotype" w:eastAsiaTheme="minorEastAsia" w:hAnsi="Palatino Linotype"/>
          <w:bCs/>
        </w:rPr>
        <w:t xml:space="preserve">at time </w:t>
      </w:r>
      <w:r w:rsidRPr="00CD2F72">
        <w:rPr>
          <w:rFonts w:ascii="Palatino Linotype" w:eastAsiaTheme="minorEastAsia" w:hAnsi="Palatino Linotype"/>
          <w:bCs/>
          <w:i/>
          <w:iCs/>
        </w:rPr>
        <w:t>n</w:t>
      </w:r>
      <w:r>
        <w:rPr>
          <w:rFonts w:ascii="Palatino Linotype" w:eastAsiaTheme="minorEastAsia" w:hAnsi="Palatino Linotype"/>
          <w:bCs/>
        </w:rPr>
        <w:t>. We define:</w:t>
      </w:r>
    </w:p>
    <w:p w14:paraId="464B4A89" w14:textId="77777777" w:rsidR="00741DFE" w:rsidRPr="00CD2F72" w:rsidRDefault="00000000" w:rsidP="00741DFE">
      <w:pPr>
        <w:jc w:val="center"/>
        <w:rPr>
          <w:rFonts w:ascii="Palatino Linotype" w:eastAsiaTheme="minorEastAsia" w:hAnsi="Palatino Linotype"/>
        </w:rPr>
      </w:pPr>
      <m:oMathPara>
        <m:oMath>
          <m:eqArr>
            <m:eqArrPr>
              <m:maxDist m:val="1"/>
              <m:ctrlPr>
                <w:rPr>
                  <w:rFonts w:ascii="Cambria Math" w:hAnsi="Cambria Math"/>
                  <w:i/>
                </w:rPr>
              </m:ctrlPr>
            </m:eqArrPr>
            <m:e>
              <m:r>
                <w:rPr>
                  <w:rFonts w:ascii="Cambria Math" w:hAnsi="Cambria Math"/>
                </w:rPr>
                <m:t>EG</m:t>
              </m:r>
              <m:sSub>
                <m:sSubPr>
                  <m:ctrlPr>
                    <w:rPr>
                      <w:rFonts w:ascii="Cambria Math" w:hAnsi="Cambria Math"/>
                      <w:bCs/>
                      <w:i/>
                    </w:rPr>
                  </m:ctrlPr>
                </m:sSubPr>
                <m:e>
                  <m:sSub>
                    <m:sSubPr>
                      <m:ctrlPr>
                        <w:rPr>
                          <w:rFonts w:ascii="Cambria Math" w:hAnsi="Cambria Math"/>
                          <w:bCs/>
                          <w:i/>
                        </w:rPr>
                      </m:ctrlPr>
                    </m:sSubPr>
                    <m:e>
                      <m:r>
                        <w:rPr>
                          <w:rFonts w:ascii="Cambria Math" w:hAnsi="Cambria Math"/>
                        </w:rPr>
                        <m:t>F</m:t>
                      </m:r>
                    </m:e>
                    <m:sub>
                      <m:r>
                        <w:rPr>
                          <w:rFonts w:ascii="Cambria Math" w:hAnsi="Cambria Math"/>
                        </w:rPr>
                        <m:t>n</m:t>
                      </m:r>
                    </m:sub>
                  </m:sSub>
                </m:e>
                <m:sub>
                  <m:r>
                    <w:rPr>
                      <w:rFonts w:ascii="Cambria Math" w:hAnsi="Cambria Math"/>
                    </w:rPr>
                    <m:t>i</m:t>
                  </m:r>
                </m:sub>
              </m:sSub>
              <m:r>
                <w:rPr>
                  <w:rFonts w:ascii="Cambria Math" w:hAnsi="Cambria Math"/>
                </w:rPr>
                <m:t xml:space="preserve"> = </m:t>
              </m:r>
              <m:f>
                <m:fPr>
                  <m:ctrlPr>
                    <w:rPr>
                      <w:rFonts w:ascii="Cambria Math" w:hAnsi="Cambria Math"/>
                      <w:bCs/>
                      <w:i/>
                    </w:rPr>
                  </m:ctrlPr>
                </m:fPr>
                <m:num>
                  <m:sSub>
                    <m:sSubPr>
                      <m:ctrlPr>
                        <w:rPr>
                          <w:rFonts w:ascii="Cambria Math" w:hAnsi="Cambria Math"/>
                          <w:bCs/>
                          <w:i/>
                        </w:rPr>
                      </m:ctrlPr>
                    </m:sSubPr>
                    <m:e>
                      <m:sSub>
                        <m:sSubPr>
                          <m:ctrlPr>
                            <w:rPr>
                              <w:rFonts w:ascii="Cambria Math" w:hAnsi="Cambria Math"/>
                              <w:bCs/>
                              <w:i/>
                            </w:rPr>
                          </m:ctrlPr>
                        </m:sSubPr>
                        <m:e>
                          <m:r>
                            <w:rPr>
                              <w:rFonts w:ascii="Cambria Math" w:hAnsi="Cambria Math"/>
                            </w:rPr>
                            <m:t>ϑ</m:t>
                          </m:r>
                        </m:e>
                        <m:sub>
                          <m:r>
                            <w:rPr>
                              <w:rFonts w:ascii="Cambria Math" w:hAnsi="Cambria Math"/>
                            </w:rPr>
                            <m:t>n</m:t>
                          </m:r>
                        </m:sub>
                      </m:sSub>
                    </m:e>
                    <m:sub>
                      <m:r>
                        <w:rPr>
                          <w:rFonts w:ascii="Cambria Math" w:hAnsi="Cambria Math"/>
                        </w:rPr>
                        <m:t>EGF,i</m:t>
                      </m:r>
                    </m:sub>
                  </m:sSub>
                </m:num>
                <m:den>
                  <m:sSub>
                    <m:sSubPr>
                      <m:ctrlPr>
                        <w:rPr>
                          <w:rFonts w:ascii="Cambria Math" w:hAnsi="Cambria Math"/>
                          <w:bCs/>
                          <w:i/>
                        </w:rPr>
                      </m:ctrlPr>
                    </m:sSubPr>
                    <m:e>
                      <m:sSub>
                        <m:sSubPr>
                          <m:ctrlPr>
                            <w:rPr>
                              <w:rFonts w:ascii="Cambria Math" w:hAnsi="Cambria Math"/>
                              <w:bCs/>
                              <w:i/>
                            </w:rPr>
                          </m:ctrlPr>
                        </m:sSubPr>
                        <m:e>
                          <m:r>
                            <w:rPr>
                              <w:rFonts w:ascii="Cambria Math" w:hAnsi="Cambria Math"/>
                            </w:rPr>
                            <m:t>V</m:t>
                          </m:r>
                        </m:e>
                        <m:sub>
                          <m:r>
                            <w:rPr>
                              <w:rFonts w:ascii="Cambria Math" w:hAnsi="Cambria Math"/>
                            </w:rPr>
                            <m:t>n</m:t>
                          </m:r>
                        </m:sub>
                      </m:sSub>
                    </m:e>
                    <m:sub>
                      <m:r>
                        <w:rPr>
                          <w:rFonts w:ascii="Cambria Math" w:hAnsi="Cambria Math"/>
                        </w:rPr>
                        <m:t>i</m:t>
                      </m:r>
                    </m:sub>
                  </m:sSub>
                </m:den>
              </m:f>
              <m:r>
                <w:rPr>
                  <w:rFonts w:ascii="Cambria Math" w:hAnsi="Cambria Math"/>
                </w:rPr>
                <m:t xml:space="preserve"> ,#</m:t>
              </m:r>
              <w:bookmarkStart w:id="1" w:name="E2"/>
              <w:bookmarkEnd w:id="1"/>
              <m:d>
                <m:dPr>
                  <m:ctrlPr>
                    <w:rPr>
                      <w:rFonts w:ascii="Cambria Math" w:hAnsi="Cambria Math"/>
                      <w:bCs/>
                      <w:i/>
                    </w:rPr>
                  </m:ctrlPr>
                </m:dPr>
                <m:e>
                  <m:r>
                    <w:rPr>
                      <w:rFonts w:ascii="Cambria Math" w:hAnsi="Cambria Math"/>
                    </w:rPr>
                    <m:t>S2</m:t>
                  </m:r>
                </m:e>
              </m:d>
            </m:e>
          </m:eqArr>
        </m:oMath>
      </m:oMathPara>
    </w:p>
    <w:p w14:paraId="51773D9D" w14:textId="77777777" w:rsidR="00741DFE" w:rsidRPr="00CC5CFE" w:rsidRDefault="00741DFE" w:rsidP="00741DFE">
      <w:pPr>
        <w:rPr>
          <w:rFonts w:ascii="Palatino Linotype" w:eastAsiaTheme="minorEastAsia" w:hAnsi="Palatino Linotype"/>
        </w:rPr>
      </w:pPr>
      <w:proofErr w:type="gramStart"/>
      <w:r w:rsidRPr="00CD2F72">
        <w:rPr>
          <w:rFonts w:ascii="Palatino Linotype" w:eastAsiaTheme="minorEastAsia" w:hAnsi="Palatino Linotype"/>
        </w:rPr>
        <w:t>w</w:t>
      </w:r>
      <w:r>
        <w:rPr>
          <w:rFonts w:ascii="Palatino Linotype" w:eastAsiaTheme="minorEastAsia" w:hAnsi="Palatino Linotype"/>
        </w:rPr>
        <w:t>here</w:t>
      </w:r>
      <w:proofErr w:type="gramEnd"/>
    </w:p>
    <w:p w14:paraId="668393B0" w14:textId="77777777" w:rsidR="00741DFE" w:rsidRPr="00CC5CFE" w:rsidRDefault="00000000" w:rsidP="00741DFE">
      <w:pPr>
        <w:jc w:val="center"/>
        <w:rPr>
          <w:rFonts w:ascii="Palatino Linotype" w:eastAsiaTheme="minorEastAsia" w:hAnsi="Palatino Linotype"/>
          <w:lang w:bidi="en-US"/>
        </w:rPr>
      </w:pPr>
      <m:oMathPara>
        <m:oMath>
          <m:eqArr>
            <m:eqArrPr>
              <m:maxDist m:val="1"/>
              <m:ctrlPr>
                <w:rPr>
                  <w:rFonts w:ascii="Cambria Math" w:hAnsi="Cambria Math"/>
                  <w:bCs/>
                  <w:i/>
                </w:rPr>
              </m:ctrlPr>
            </m:eqArrPr>
            <m:e>
              <m:sSub>
                <m:sSubPr>
                  <m:ctrlPr>
                    <w:rPr>
                      <w:rFonts w:ascii="Cambria Math" w:hAnsi="Cambria Math"/>
                      <w:bCs/>
                      <w:i/>
                    </w:rPr>
                  </m:ctrlPr>
                </m:sSubPr>
                <m:e>
                  <m:sSub>
                    <m:sSubPr>
                      <m:ctrlPr>
                        <w:rPr>
                          <w:rFonts w:ascii="Cambria Math" w:hAnsi="Cambria Math"/>
                          <w:bCs/>
                          <w:i/>
                        </w:rPr>
                      </m:ctrlPr>
                    </m:sSubPr>
                    <m:e>
                      <m:r>
                        <w:rPr>
                          <w:rFonts w:ascii="Cambria Math" w:hAnsi="Cambria Math"/>
                        </w:rPr>
                        <m:t>ϑ</m:t>
                      </m:r>
                    </m:e>
                    <m:sub>
                      <m:r>
                        <w:rPr>
                          <w:rFonts w:ascii="Cambria Math" w:hAnsi="Cambria Math"/>
                        </w:rPr>
                        <m:t>n</m:t>
                      </m:r>
                    </m:sub>
                  </m:sSub>
                </m:e>
                <m:sub>
                  <m:r>
                    <w:rPr>
                      <w:rFonts w:ascii="Cambria Math" w:hAnsi="Cambria Math"/>
                    </w:rPr>
                    <m:t>EGF,i</m:t>
                  </m:r>
                </m:sub>
              </m:sSub>
              <m:r>
                <w:rPr>
                  <w:rFonts w:ascii="Cambria Math" w:hAnsi="Cambria Math"/>
                </w:rPr>
                <m:t xml:space="preserve"> = </m:t>
              </m:r>
              <m:nary>
                <m:naryPr>
                  <m:chr m:val="∑"/>
                  <m:supHide m:val="1"/>
                  <m:ctrlPr>
                    <w:rPr>
                      <w:rFonts w:ascii="Cambria Math" w:hAnsi="Cambria Math"/>
                      <w:bCs/>
                      <w:i/>
                    </w:rPr>
                  </m:ctrlPr>
                </m:naryPr>
                <m:sub>
                  <m:r>
                    <w:rPr>
                      <w:rFonts w:ascii="Cambria Math" w:hAnsi="Cambria Math"/>
                    </w:rPr>
                    <m:t>p∈i</m:t>
                  </m:r>
                </m:sub>
                <m:sup/>
                <m:e>
                  <m:sSub>
                    <m:sSubPr>
                      <m:ctrlPr>
                        <w:rPr>
                          <w:rFonts w:ascii="Cambria Math" w:hAnsi="Cambria Math"/>
                          <w:bCs/>
                          <w:i/>
                        </w:rPr>
                      </m:ctrlPr>
                    </m:sSubPr>
                    <m:e>
                      <m:r>
                        <w:rPr>
                          <w:rFonts w:ascii="Cambria Math" w:hAnsi="Cambria Math"/>
                        </w:rPr>
                        <m:t>F</m:t>
                      </m:r>
                    </m:e>
                    <m:sub>
                      <m:r>
                        <w:rPr>
                          <w:rFonts w:ascii="Cambria Math" w:hAnsi="Cambria Math"/>
                        </w:rPr>
                        <m:t>EGF</m:t>
                      </m:r>
                    </m:sub>
                  </m:sSub>
                  <m:d>
                    <m:dPr>
                      <m:ctrlPr>
                        <w:rPr>
                          <w:rFonts w:ascii="Cambria Math" w:hAnsi="Cambria Math"/>
                          <w:bCs/>
                          <w:i/>
                        </w:rPr>
                      </m:ctrlPr>
                    </m:dPr>
                    <m:e>
                      <m:r>
                        <w:rPr>
                          <w:rFonts w:ascii="Cambria Math" w:hAnsi="Cambria Math"/>
                        </w:rPr>
                        <m:t>p</m:t>
                      </m:r>
                    </m:e>
                  </m:d>
                </m:e>
              </m:nary>
              <m:r>
                <w:rPr>
                  <w:rFonts w:ascii="Cambria Math" w:hAnsi="Cambria Math"/>
                </w:rPr>
                <m:t>,#</m:t>
              </m:r>
              <m:d>
                <m:dPr>
                  <m:ctrlPr>
                    <w:rPr>
                      <w:rFonts w:ascii="Cambria Math" w:hAnsi="Cambria Math"/>
                      <w:bCs/>
                      <w:i/>
                    </w:rPr>
                  </m:ctrlPr>
                </m:dPr>
                <m:e>
                  <m:r>
                    <w:rPr>
                      <w:rFonts w:ascii="Cambria Math" w:hAnsi="Cambria Math"/>
                    </w:rPr>
                    <m:t>S3</m:t>
                  </m:r>
                </m:e>
              </m:d>
            </m:e>
          </m:eqArr>
        </m:oMath>
      </m:oMathPara>
      <w:bookmarkStart w:id="2" w:name="E3"/>
      <w:bookmarkEnd w:id="2"/>
    </w:p>
    <w:p w14:paraId="60C5B71A" w14:textId="77777777" w:rsidR="00741DFE" w:rsidRPr="00CC5CFE" w:rsidRDefault="00741DFE" w:rsidP="00741DFE">
      <w:pPr>
        <w:rPr>
          <w:rFonts w:ascii="Palatino Linotype" w:eastAsiaTheme="minorEastAsia" w:hAnsi="Palatino Linotype"/>
        </w:rPr>
      </w:pPr>
      <w:r w:rsidRPr="00270E78">
        <w:rPr>
          <w:rFonts w:ascii="Palatino Linotype" w:eastAsiaTheme="minorEastAsia" w:hAnsi="Palatino Linotype"/>
          <w:lang w:bidi="en-US"/>
        </w:rPr>
        <w:t>i.e.,</w:t>
      </w:r>
      <m:oMath>
        <m:sSub>
          <m:sSubPr>
            <m:ctrlPr>
              <w:rPr>
                <w:rFonts w:ascii="Cambria Math" w:hAnsi="Cambria Math"/>
                <w:bCs/>
                <w:i/>
              </w:rPr>
            </m:ctrlPr>
          </m:sSubPr>
          <m:e>
            <m:sSub>
              <m:sSubPr>
                <m:ctrlPr>
                  <w:rPr>
                    <w:rFonts w:ascii="Cambria Math" w:hAnsi="Cambria Math"/>
                    <w:bCs/>
                    <w:i/>
                  </w:rPr>
                </m:ctrlPr>
              </m:sSubPr>
              <m:e>
                <m:r>
                  <w:rPr>
                    <w:rFonts w:ascii="Cambria Math" w:hAnsi="Cambria Math"/>
                  </w:rPr>
                  <m:t>ϑ</m:t>
                </m:r>
              </m:e>
              <m:sub>
                <m:r>
                  <w:rPr>
                    <w:rFonts w:ascii="Cambria Math" w:hAnsi="Cambria Math"/>
                  </w:rPr>
                  <m:t>n</m:t>
                </m:r>
              </m:sub>
            </m:sSub>
          </m:e>
          <m:sub>
            <m:r>
              <w:rPr>
                <w:rFonts w:ascii="Cambria Math" w:hAnsi="Cambria Math"/>
              </w:rPr>
              <m:t>EGF,i</m:t>
            </m:r>
          </m:sub>
        </m:sSub>
      </m:oMath>
      <w:r w:rsidRPr="00270E78">
        <w:rPr>
          <w:rFonts w:ascii="Palatino Linotype" w:eastAsiaTheme="minorEastAsia" w:hAnsi="Palatino Linotype"/>
          <w:lang w:bidi="en-US"/>
        </w:rPr>
        <w:t xml:space="preserve">​ is the total EGF amount inside cell </w:t>
      </w:r>
      <w:proofErr w:type="spellStart"/>
      <w:r w:rsidRPr="007C16DA">
        <w:rPr>
          <w:rFonts w:ascii="Palatino Linotype" w:eastAsiaTheme="minorEastAsia" w:hAnsi="Palatino Linotype"/>
          <w:i/>
          <w:iCs/>
          <w:lang w:bidi="en-US"/>
        </w:rPr>
        <w:t>i</w:t>
      </w:r>
      <w:proofErr w:type="spellEnd"/>
      <w:r w:rsidRPr="00270E78">
        <w:rPr>
          <w:rFonts w:ascii="Palatino Linotype" w:eastAsiaTheme="minorEastAsia" w:hAnsi="Palatino Linotype"/>
          <w:lang w:bidi="en-US"/>
        </w:rPr>
        <w:t xml:space="preserve">, obtained by summing the EGF field </w:t>
      </w:r>
      <m:oMath>
        <m:sSub>
          <m:sSubPr>
            <m:ctrlPr>
              <w:rPr>
                <w:rFonts w:ascii="Cambria Math" w:eastAsiaTheme="minorEastAsia" w:hAnsi="Cambria Math"/>
                <w:bCs/>
                <w:i/>
                <w:lang w:bidi="en-US"/>
              </w:rPr>
            </m:ctrlPr>
          </m:sSubPr>
          <m:e>
            <m:r>
              <w:rPr>
                <w:rFonts w:ascii="Cambria Math" w:eastAsiaTheme="minorEastAsia" w:hAnsi="Cambria Math"/>
                <w:lang w:bidi="en-US"/>
              </w:rPr>
              <m:t>F</m:t>
            </m:r>
          </m:e>
          <m:sub>
            <m:r>
              <w:rPr>
                <w:rFonts w:ascii="Cambria Math" w:eastAsiaTheme="minorEastAsia" w:hAnsi="Cambria Math"/>
                <w:lang w:bidi="en-US"/>
              </w:rPr>
              <m:t>EGF</m:t>
            </m:r>
          </m:sub>
        </m:sSub>
      </m:oMath>
      <w:r w:rsidRPr="00270E78">
        <w:rPr>
          <w:rFonts w:ascii="Palatino Linotype" w:eastAsiaTheme="minorEastAsia" w:hAnsi="Palatino Linotype"/>
          <w:lang w:bidi="en-US"/>
        </w:rPr>
        <w:t xml:space="preserve"> over all lattice pixels </w:t>
      </w:r>
      <w:r>
        <w:rPr>
          <w:rFonts w:ascii="Palatino Linotype" w:eastAsiaTheme="minorEastAsia" w:hAnsi="Palatino Linotype"/>
          <w:lang w:bidi="en-US"/>
        </w:rPr>
        <w:t xml:space="preserve">p </w:t>
      </w:r>
      <w:r w:rsidRPr="00270E78">
        <w:rPr>
          <w:rFonts w:ascii="Palatino Linotype" w:eastAsiaTheme="minorEastAsia" w:hAnsi="Palatino Linotype"/>
          <w:lang w:bidi="en-US"/>
        </w:rPr>
        <w:t xml:space="preserve">belonging to cell </w:t>
      </w:r>
      <w:proofErr w:type="spellStart"/>
      <w:r w:rsidRPr="00312055">
        <w:rPr>
          <w:rFonts w:ascii="Palatino Linotype" w:eastAsiaTheme="minorEastAsia" w:hAnsi="Palatino Linotype"/>
          <w:i/>
          <w:iCs/>
          <w:lang w:bidi="en-US"/>
        </w:rPr>
        <w:t>i</w:t>
      </w:r>
      <w:proofErr w:type="spellEnd"/>
      <w:r w:rsidRPr="00270E78">
        <w:rPr>
          <w:rFonts w:ascii="Palatino Linotype" w:eastAsiaTheme="minorEastAsia" w:hAnsi="Palatino Linotype"/>
          <w:lang w:bidi="en-US"/>
        </w:rPr>
        <w:t xml:space="preserve">. </w:t>
      </w:r>
      <m:oMath>
        <m:sSub>
          <m:sSubPr>
            <m:ctrlPr>
              <w:rPr>
                <w:rFonts w:ascii="Cambria Math" w:hAnsi="Cambria Math"/>
                <w:bCs/>
                <w:i/>
              </w:rPr>
            </m:ctrlPr>
          </m:sSubPr>
          <m:e>
            <m:sSub>
              <m:sSubPr>
                <m:ctrlPr>
                  <w:rPr>
                    <w:rFonts w:ascii="Cambria Math" w:hAnsi="Cambria Math"/>
                    <w:bCs/>
                    <w:i/>
                  </w:rPr>
                </m:ctrlPr>
              </m:sSubPr>
              <m:e>
                <m:r>
                  <w:rPr>
                    <w:rFonts w:ascii="Cambria Math" w:hAnsi="Cambria Math"/>
                  </w:rPr>
                  <m:t>V</m:t>
                </m:r>
              </m:e>
              <m:sub>
                <m:r>
                  <w:rPr>
                    <w:rFonts w:ascii="Cambria Math" w:hAnsi="Cambria Math"/>
                  </w:rPr>
                  <m:t>n</m:t>
                </m:r>
              </m:sub>
            </m:sSub>
          </m:e>
          <m:sub>
            <m:r>
              <w:rPr>
                <w:rFonts w:ascii="Cambria Math" w:hAnsi="Cambria Math"/>
              </w:rPr>
              <m:t>i</m:t>
            </m:r>
          </m:sub>
        </m:sSub>
      </m:oMath>
      <w:r w:rsidRPr="00270E78">
        <w:rPr>
          <w:rFonts w:ascii="Palatino Linotype" w:eastAsiaTheme="minorEastAsia" w:hAnsi="Palatino Linotype"/>
          <w:lang w:bidi="en-US"/>
        </w:rPr>
        <w:t xml:space="preserve">​ is the cell’s volume (in number of pixels or voxels) at time </w:t>
      </w:r>
      <w:r w:rsidRPr="00535421">
        <w:rPr>
          <w:rFonts w:ascii="Palatino Linotype" w:eastAsiaTheme="minorEastAsia" w:hAnsi="Palatino Linotype"/>
          <w:i/>
          <w:iCs/>
          <w:lang w:bidi="en-US"/>
        </w:rPr>
        <w:t>n</w:t>
      </w:r>
      <w:r w:rsidRPr="00270E78">
        <w:rPr>
          <w:rFonts w:ascii="Palatino Linotype" w:eastAsiaTheme="minorEastAsia" w:hAnsi="Palatino Linotype"/>
          <w:lang w:bidi="en-US"/>
        </w:rPr>
        <w:t>. The parameter</w:t>
      </w:r>
      <w:r>
        <w:rPr>
          <w:rFonts w:ascii="Palatino Linotype" w:eastAsiaTheme="minorEastAsia" w:hAnsi="Palatino Linotype"/>
          <w:lang w:bidi="en-US"/>
        </w:rPr>
        <w:t xml:space="preserve"> </w:t>
      </w:r>
      <m:oMath>
        <m:sSub>
          <m:sSubPr>
            <m:ctrlPr>
              <w:rPr>
                <w:rFonts w:ascii="Cambria Math" w:hAnsi="Cambria Math"/>
                <w:bCs/>
                <w:i/>
                <w:lang w:bidi="en-US"/>
              </w:rPr>
            </m:ctrlPr>
          </m:sSubPr>
          <m:e>
            <m:sSub>
              <m:sSubPr>
                <m:ctrlPr>
                  <w:rPr>
                    <w:rFonts w:ascii="Cambria Math" w:hAnsi="Cambria Math"/>
                    <w:bCs/>
                    <w:i/>
                    <w:lang w:bidi="en-US"/>
                  </w:rPr>
                </m:ctrlPr>
              </m:sSubPr>
              <m:e>
                <m:r>
                  <w:rPr>
                    <w:rFonts w:ascii="Cambria Math" w:hAnsi="Cambria Math"/>
                    <w:lang w:bidi="en-US"/>
                  </w:rPr>
                  <m:t>k</m:t>
                </m:r>
              </m:e>
              <m:sub>
                <m:r>
                  <w:rPr>
                    <w:rFonts w:ascii="Cambria Math" w:hAnsi="Cambria Math"/>
                    <w:lang w:bidi="en-US"/>
                  </w:rPr>
                  <m:t>m</m:t>
                </m:r>
              </m:sub>
            </m:sSub>
          </m:e>
          <m:sub>
            <m:r>
              <w:rPr>
                <w:rFonts w:ascii="Cambria Math" w:hAnsi="Cambria Math"/>
                <w:lang w:bidi="en-US"/>
              </w:rPr>
              <m:t>EGF,i</m:t>
            </m:r>
          </m:sub>
        </m:sSub>
      </m:oMath>
      <w:r w:rsidRPr="00270E78">
        <w:rPr>
          <w:rFonts w:ascii="Palatino Linotype" w:eastAsiaTheme="minorEastAsia" w:hAnsi="Palatino Linotype"/>
          <w:lang w:bidi="en-US"/>
        </w:rPr>
        <w:t xml:space="preserve"> is the half‐maximal EGF concentration for cell </w:t>
      </w:r>
      <w:proofErr w:type="spellStart"/>
      <w:r w:rsidRPr="00535421">
        <w:rPr>
          <w:rFonts w:ascii="Palatino Linotype" w:eastAsiaTheme="minorEastAsia" w:hAnsi="Palatino Linotype"/>
          <w:i/>
          <w:iCs/>
          <w:lang w:bidi="en-US"/>
        </w:rPr>
        <w:t>i</w:t>
      </w:r>
      <w:proofErr w:type="spellEnd"/>
      <w:r w:rsidRPr="00270E78">
        <w:rPr>
          <w:rFonts w:ascii="Palatino Linotype" w:eastAsiaTheme="minorEastAsia" w:hAnsi="Palatino Linotype"/>
          <w:lang w:bidi="en-US"/>
        </w:rPr>
        <w:t>.</w:t>
      </w:r>
    </w:p>
    <w:p w14:paraId="1C0E5D6E" w14:textId="77777777" w:rsidR="00741DFE" w:rsidRDefault="00741DFE" w:rsidP="00741DFE">
      <w:pPr>
        <w:rPr>
          <w:rFonts w:ascii="Palatino Linotype" w:eastAsiaTheme="minorEastAsia" w:hAnsi="Palatino Linotype"/>
          <w:i/>
        </w:rPr>
      </w:pPr>
    </w:p>
    <w:p w14:paraId="6E22F789" w14:textId="77777777" w:rsidR="00741DFE" w:rsidRPr="00EE2F3E" w:rsidRDefault="00741DFE" w:rsidP="00741DFE">
      <w:pPr>
        <w:pStyle w:val="Heading2"/>
        <w:rPr>
          <w:rFonts w:ascii="Palatino Linotype" w:hAnsi="Palatino Linotype"/>
        </w:rPr>
      </w:pPr>
      <w:r>
        <w:rPr>
          <w:rFonts w:ascii="Palatino Linotype" w:hAnsi="Palatino Linotype"/>
        </w:rPr>
        <w:t>S1</w:t>
      </w:r>
      <w:r w:rsidRPr="00EE2F3E">
        <w:rPr>
          <w:rFonts w:ascii="Palatino Linotype" w:hAnsi="Palatino Linotype"/>
        </w:rPr>
        <w:t>.2 Density-Dependent Growth Inhibition (Hill Function)</w:t>
      </w:r>
    </w:p>
    <w:p w14:paraId="4E7F33E9" w14:textId="77777777" w:rsidR="00741DFE" w:rsidRPr="00CC5CFE" w:rsidRDefault="00741DFE" w:rsidP="00741DFE">
      <w:pPr>
        <w:rPr>
          <w:rFonts w:ascii="Palatino Linotype" w:eastAsiaTheme="minorEastAsia" w:hAnsi="Palatino Linotype"/>
        </w:rPr>
      </w:pPr>
      <w:r w:rsidRPr="00CC5CFE">
        <w:rPr>
          <w:rFonts w:ascii="Palatino Linotype" w:eastAsiaTheme="minorEastAsia" w:hAnsi="Palatino Linotype"/>
        </w:rPr>
        <w:t>Cells experience density-dependent</w:t>
      </w:r>
      <w:r>
        <w:rPr>
          <w:rFonts w:ascii="Palatino Linotype" w:eastAsiaTheme="minorEastAsia" w:hAnsi="Palatino Linotype"/>
        </w:rPr>
        <w:t xml:space="preserve"> growth</w:t>
      </w:r>
      <w:r w:rsidRPr="00CC5CFE">
        <w:rPr>
          <w:rFonts w:ascii="Palatino Linotype" w:eastAsiaTheme="minorEastAsia" w:hAnsi="Palatino Linotype"/>
        </w:rPr>
        <w:t xml:space="preserve"> inhibition </w:t>
      </w:r>
      <w:r w:rsidRPr="00BD1541">
        <w:rPr>
          <w:rFonts w:ascii="Palatino Linotype" w:eastAsiaTheme="minorEastAsia" w:hAnsi="Palatino Linotype"/>
        </w:rPr>
        <w:t>described by another Hill‐type function</w:t>
      </w:r>
      <w:r w:rsidRPr="00CC5CFE">
        <w:rPr>
          <w:rFonts w:ascii="Palatino Linotype" w:eastAsiaTheme="minorEastAsia" w:hAnsi="Palatino Linotype"/>
        </w:rPr>
        <w:t>:</w:t>
      </w:r>
    </w:p>
    <w:p w14:paraId="00F75647" w14:textId="77777777" w:rsidR="00741DFE" w:rsidRPr="00CC5CFE" w:rsidRDefault="00000000" w:rsidP="00741DFE">
      <w:pPr>
        <w:jc w:val="center"/>
        <w:rPr>
          <w:rFonts w:ascii="Palatino Linotype" w:eastAsiaTheme="minorEastAsia" w:hAnsi="Palatino Linotype"/>
        </w:rPr>
      </w:pPr>
      <m:oMathPara>
        <m:oMath>
          <m:eqArr>
            <m:eqArrPr>
              <m:maxDist m:val="1"/>
              <m:ctrlPr>
                <w:rPr>
                  <w:rFonts w:ascii="Cambria Math" w:eastAsiaTheme="minorEastAsia" w:hAnsi="Cambria Math"/>
                  <w:bCs/>
                  <w:i/>
                </w:rPr>
              </m:ctrlPr>
            </m:eqArrPr>
            <m:e>
              <w:bookmarkStart w:id="3" w:name="E4"/>
              <m:sSub>
                <m:sSubPr>
                  <m:ctrlPr>
                    <w:rPr>
                      <w:rFonts w:ascii="Cambria Math" w:eastAsiaTheme="minorEastAsia" w:hAnsi="Cambria Math"/>
                      <w:bCs/>
                      <w:i/>
                    </w:rPr>
                  </m:ctrlPr>
                </m:sSubPr>
                <m:e>
                  <m:sSub>
                    <m:sSubPr>
                      <m:ctrlPr>
                        <w:rPr>
                          <w:rFonts w:ascii="Cambria Math" w:eastAsiaTheme="minorEastAsia" w:hAnsi="Cambria Math"/>
                          <w:bCs/>
                          <w:i/>
                        </w:rPr>
                      </m:ctrlPr>
                    </m:sSubPr>
                    <m:e>
                      <m:r>
                        <w:rPr>
                          <w:rFonts w:ascii="Cambria Math" w:eastAsiaTheme="minorEastAsia" w:hAnsi="Cambria Math"/>
                        </w:rPr>
                        <m:t>G</m:t>
                      </m:r>
                    </m:e>
                    <m:sub>
                      <m:r>
                        <w:rPr>
                          <w:rFonts w:ascii="Cambria Math" w:eastAsiaTheme="minorEastAsia" w:hAnsi="Cambria Math"/>
                        </w:rPr>
                        <m:t>n</m:t>
                      </m:r>
                    </m:sub>
                  </m:sSub>
                </m:e>
                <m:sub>
                  <m:r>
                    <w:rPr>
                      <w:rFonts w:ascii="Cambria Math" w:eastAsiaTheme="minorEastAsia" w:hAnsi="Cambria Math"/>
                    </w:rPr>
                    <m:t>density,i</m:t>
                  </m:r>
                </m:sub>
              </m:sSub>
              <m:r>
                <w:rPr>
                  <w:rFonts w:ascii="Cambria Math" w:eastAsiaTheme="minorEastAsia" w:hAnsi="Cambria Math"/>
                </w:rPr>
                <m:t>​=​​</m:t>
              </m:r>
              <m:d>
                <m:dPr>
                  <m:ctrlPr>
                    <w:rPr>
                      <w:rFonts w:ascii="Cambria Math" w:eastAsiaTheme="minorEastAsia" w:hAnsi="Cambria Math"/>
                      <w:bCs/>
                      <w:i/>
                    </w:rPr>
                  </m:ctrlPr>
                </m:dPr>
                <m:e>
                  <m:f>
                    <m:fPr>
                      <m:ctrlPr>
                        <w:rPr>
                          <w:rFonts w:ascii="Cambria Math" w:eastAsiaTheme="minorEastAsia" w:hAnsi="Cambria Math"/>
                          <w:bCs/>
                          <w:i/>
                        </w:rPr>
                      </m:ctrlPr>
                    </m:fPr>
                    <m:num>
                      <m:sSub>
                        <m:sSubPr>
                          <m:ctrlPr>
                            <w:rPr>
                              <w:rFonts w:ascii="Cambria Math" w:eastAsiaTheme="minorEastAsia" w:hAnsi="Cambria Math"/>
                              <w:bCs/>
                              <w:i/>
                            </w:rPr>
                          </m:ctrlPr>
                        </m:sSubPr>
                        <m:e>
                          <m:sSub>
                            <m:sSubPr>
                              <m:ctrlPr>
                                <w:rPr>
                                  <w:rFonts w:ascii="Cambria Math" w:eastAsiaTheme="minorEastAsia" w:hAnsi="Cambria Math"/>
                                  <w:bCs/>
                                  <w:i/>
                                </w:rPr>
                              </m:ctrlPr>
                            </m:sSubPr>
                            <m:e>
                              <m:r>
                                <w:rPr>
                                  <w:rFonts w:ascii="Cambria Math" w:eastAsiaTheme="minorEastAsia" w:hAnsi="Cambria Math"/>
                                </w:rPr>
                                <m:t>k</m:t>
                              </m:r>
                            </m:e>
                            <m:sub>
                              <m:r>
                                <w:rPr>
                                  <w:rFonts w:ascii="Cambria Math" w:eastAsiaTheme="minorEastAsia" w:hAnsi="Cambria Math"/>
                                </w:rPr>
                                <m:t>m</m:t>
                              </m:r>
                            </m:sub>
                          </m:sSub>
                        </m:e>
                        <m:sub>
                          <m:r>
                            <w:rPr>
                              <w:rFonts w:ascii="Cambria Math" w:eastAsiaTheme="minorEastAsia" w:hAnsi="Cambria Math"/>
                            </w:rPr>
                            <m:t>density,i</m:t>
                          </m:r>
                        </m:sub>
                      </m:sSub>
                      <m:r>
                        <w:rPr>
                          <w:rFonts w:ascii="Cambria Math" w:eastAsiaTheme="minorEastAsia" w:hAnsi="Cambria Math"/>
                        </w:rPr>
                        <m:t>​</m:t>
                      </m:r>
                      <m:sSup>
                        <m:sSupPr>
                          <m:ctrlPr>
                            <w:rPr>
                              <w:rFonts w:ascii="Cambria Math" w:eastAsiaTheme="minorEastAsia" w:hAnsi="Cambria Math"/>
                              <w:bCs/>
                              <w:i/>
                            </w:rPr>
                          </m:ctrlPr>
                        </m:sSupPr>
                        <m:e>
                          <m:r>
                            <w:rPr>
                              <w:rFonts w:ascii="Cambria Math" w:eastAsiaTheme="minorEastAsia" w:hAnsi="Cambria Math"/>
                            </w:rPr>
                            <m:t>​</m:t>
                          </m:r>
                        </m:e>
                        <m:sup>
                          <m:r>
                            <w:rPr>
                              <w:rFonts w:ascii="Cambria Math" w:eastAsiaTheme="minorEastAsia" w:hAnsi="Cambria Math"/>
                            </w:rPr>
                            <m:t>4</m:t>
                          </m:r>
                        </m:sup>
                      </m:sSup>
                      <m:r>
                        <w:rPr>
                          <w:rFonts w:ascii="Cambria Math" w:eastAsiaTheme="minorEastAsia" w:hAnsi="Cambria Math"/>
                        </w:rPr>
                        <m:t>​</m:t>
                      </m:r>
                    </m:num>
                    <m:den>
                      <m:sSub>
                        <m:sSubPr>
                          <m:ctrlPr>
                            <w:rPr>
                              <w:rFonts w:ascii="Cambria Math" w:eastAsiaTheme="minorEastAsia" w:hAnsi="Cambria Math"/>
                              <w:bCs/>
                              <w:i/>
                            </w:rPr>
                          </m:ctrlPr>
                        </m:sSubPr>
                        <m:e>
                          <m:sSub>
                            <m:sSubPr>
                              <m:ctrlPr>
                                <w:rPr>
                                  <w:rFonts w:ascii="Cambria Math" w:eastAsiaTheme="minorEastAsia" w:hAnsi="Cambria Math"/>
                                  <w:bCs/>
                                  <w:i/>
                                </w:rPr>
                              </m:ctrlPr>
                            </m:sSubPr>
                            <m:e>
                              <m:r>
                                <w:rPr>
                                  <w:rFonts w:ascii="Cambria Math" w:eastAsiaTheme="minorEastAsia" w:hAnsi="Cambria Math"/>
                                </w:rPr>
                                <m:t>k</m:t>
                              </m:r>
                            </m:e>
                            <m:sub>
                              <m:r>
                                <w:rPr>
                                  <w:rFonts w:ascii="Cambria Math" w:eastAsiaTheme="minorEastAsia" w:hAnsi="Cambria Math"/>
                                </w:rPr>
                                <m:t>m</m:t>
                              </m:r>
                            </m:sub>
                          </m:sSub>
                        </m:e>
                        <m:sub>
                          <m:r>
                            <w:rPr>
                              <w:rFonts w:ascii="Cambria Math" w:eastAsiaTheme="minorEastAsia" w:hAnsi="Cambria Math"/>
                            </w:rPr>
                            <m:t>density,i</m:t>
                          </m:r>
                        </m:sub>
                      </m:sSub>
                      <m:r>
                        <w:rPr>
                          <w:rFonts w:ascii="Cambria Math" w:eastAsiaTheme="minorEastAsia" w:hAnsi="Cambria Math"/>
                        </w:rPr>
                        <m:t>​</m:t>
                      </m:r>
                      <m:sSup>
                        <m:sSupPr>
                          <m:ctrlPr>
                            <w:rPr>
                              <w:rFonts w:ascii="Cambria Math" w:eastAsiaTheme="minorEastAsia" w:hAnsi="Cambria Math"/>
                              <w:bCs/>
                              <w:i/>
                            </w:rPr>
                          </m:ctrlPr>
                        </m:sSupPr>
                        <m:e>
                          <m:r>
                            <w:rPr>
                              <w:rFonts w:ascii="Cambria Math" w:eastAsiaTheme="minorEastAsia" w:hAnsi="Cambria Math"/>
                            </w:rPr>
                            <m:t>​</m:t>
                          </m:r>
                        </m:e>
                        <m:sup>
                          <m:r>
                            <w:rPr>
                              <w:rFonts w:ascii="Cambria Math" w:eastAsiaTheme="minorEastAsia" w:hAnsi="Cambria Math"/>
                            </w:rPr>
                            <m:t>4</m:t>
                          </m:r>
                        </m:sup>
                      </m:sSup>
                      <m:r>
                        <w:rPr>
                          <w:rFonts w:ascii="Cambria Math" w:eastAsiaTheme="minorEastAsia" w:hAnsi="Cambria Math"/>
                        </w:rPr>
                        <m:t>+</m:t>
                      </m:r>
                      <m:sSup>
                        <m:sSupPr>
                          <m:ctrlPr>
                            <w:rPr>
                              <w:rFonts w:ascii="Cambria Math" w:eastAsiaTheme="minorEastAsia" w:hAnsi="Cambria Math"/>
                              <w:bCs/>
                              <w:i/>
                            </w:rPr>
                          </m:ctrlPr>
                        </m:sSupPr>
                        <m:e>
                          <m:sSub>
                            <m:sSubPr>
                              <m:ctrlPr>
                                <w:rPr>
                                  <w:rFonts w:ascii="Cambria Math" w:eastAsiaTheme="minorEastAsia" w:hAnsi="Cambria Math"/>
                                  <w:bCs/>
                                  <w:i/>
                                </w:rPr>
                              </m:ctrlPr>
                            </m:sSubPr>
                            <m:e>
                              <m:sSub>
                                <m:sSubPr>
                                  <m:ctrlPr>
                                    <w:rPr>
                                      <w:rFonts w:ascii="Cambria Math" w:eastAsiaTheme="minorEastAsia" w:hAnsi="Cambria Math"/>
                                      <w:bCs/>
                                      <w:i/>
                                    </w:rPr>
                                  </m:ctrlPr>
                                </m:sSubPr>
                                <m:e>
                                  <m:r>
                                    <w:rPr>
                                      <w:rFonts w:ascii="Cambria Math" w:eastAsiaTheme="minorEastAsia" w:hAnsi="Cambria Math"/>
                                    </w:rPr>
                                    <m:t>P</m:t>
                                  </m:r>
                                </m:e>
                                <m:sub>
                                  <m:r>
                                    <w:rPr>
                                      <w:rFonts w:ascii="Cambria Math" w:eastAsiaTheme="minorEastAsia" w:hAnsi="Cambria Math"/>
                                    </w:rPr>
                                    <m:t>n</m:t>
                                  </m:r>
                                </m:sub>
                              </m:sSub>
                            </m:e>
                            <m:sub>
                              <m:r>
                                <w:rPr>
                                  <w:rFonts w:ascii="Cambria Math" w:eastAsiaTheme="minorEastAsia" w:hAnsi="Cambria Math"/>
                                </w:rPr>
                                <m:t>i</m:t>
                              </m:r>
                            </m:sub>
                          </m:sSub>
                        </m:e>
                        <m:sup>
                          <m:r>
                            <w:rPr>
                              <w:rFonts w:ascii="Cambria Math" w:eastAsiaTheme="minorEastAsia" w:hAnsi="Cambria Math"/>
                            </w:rPr>
                            <m:t>4</m:t>
                          </m:r>
                        </m:sup>
                      </m:sSup>
                      <m:r>
                        <w:rPr>
                          <w:rFonts w:ascii="Cambria Math" w:eastAsiaTheme="minorEastAsia" w:hAnsi="Cambria Math"/>
                        </w:rPr>
                        <m:t xml:space="preserve"> </m:t>
                      </m:r>
                    </m:den>
                  </m:f>
                  <m:r>
                    <w:rPr>
                      <w:rFonts w:ascii="Cambria Math" w:eastAsiaTheme="minorEastAsia" w:hAnsi="Cambria Math"/>
                    </w:rPr>
                    <m:t>​</m:t>
                  </m:r>
                </m:e>
              </m:d>
              <w:bookmarkEnd w:id="3"/>
              <m:r>
                <w:rPr>
                  <w:rFonts w:ascii="Cambria Math" w:eastAsiaTheme="minorEastAsia" w:hAnsi="Cambria Math"/>
                </w:rPr>
                <m:t xml:space="preserve"> #</m:t>
              </m:r>
            </m:e>
          </m:eqArr>
          <m:d>
            <m:dPr>
              <m:ctrlPr>
                <w:rPr>
                  <w:rFonts w:ascii="Cambria Math" w:eastAsiaTheme="minorEastAsia" w:hAnsi="Cambria Math"/>
                  <w:bCs/>
                  <w:i/>
                </w:rPr>
              </m:ctrlPr>
            </m:dPr>
            <m:e>
              <m:r>
                <w:rPr>
                  <w:rFonts w:ascii="Cambria Math" w:eastAsiaTheme="minorEastAsia" w:hAnsi="Cambria Math"/>
                </w:rPr>
                <m:t>S4</m:t>
              </m:r>
            </m:e>
          </m:d>
        </m:oMath>
      </m:oMathPara>
    </w:p>
    <w:p w14:paraId="2BB59319" w14:textId="77777777" w:rsidR="00741DFE" w:rsidRPr="00CC5CFE" w:rsidRDefault="00741DFE" w:rsidP="00741DFE">
      <w:pPr>
        <w:rPr>
          <w:rFonts w:ascii="Palatino Linotype" w:eastAsiaTheme="minorEastAsia" w:hAnsi="Palatino Linotype"/>
        </w:rPr>
      </w:pPr>
      <w:r>
        <w:rPr>
          <w:rFonts w:ascii="Palatino Linotype" w:eastAsiaTheme="minorEastAsia" w:hAnsi="Palatino Linotype"/>
        </w:rPr>
        <w:t>w</w:t>
      </w:r>
      <w:r w:rsidRPr="00C455EA">
        <w:rPr>
          <w:rFonts w:ascii="Palatino Linotype" w:eastAsiaTheme="minorEastAsia" w:hAnsi="Palatino Linotype"/>
        </w:rPr>
        <w:t>here</w:t>
      </w:r>
      <w:r>
        <w:rPr>
          <w:rFonts w:ascii="Palatino Linotype" w:eastAsiaTheme="minorEastAsia" w:hAnsi="Palatino Linotype"/>
        </w:rPr>
        <w:t xml:space="preserve"> </w:t>
      </w:r>
      <m:oMath>
        <m:sSub>
          <m:sSubPr>
            <m:ctrlPr>
              <w:rPr>
                <w:rFonts w:ascii="Cambria Math" w:eastAsiaTheme="minorEastAsia" w:hAnsi="Cambria Math"/>
                <w:bCs/>
                <w:i/>
              </w:rPr>
            </m:ctrlPr>
          </m:sSubPr>
          <m:e>
            <m:sSub>
              <m:sSubPr>
                <m:ctrlPr>
                  <w:rPr>
                    <w:rFonts w:ascii="Cambria Math" w:eastAsiaTheme="minorEastAsia" w:hAnsi="Cambria Math"/>
                    <w:bCs/>
                    <w:i/>
                  </w:rPr>
                </m:ctrlPr>
              </m:sSubPr>
              <m:e>
                <m:r>
                  <w:rPr>
                    <w:rFonts w:ascii="Cambria Math" w:eastAsiaTheme="minorEastAsia" w:hAnsi="Cambria Math"/>
                  </w:rPr>
                  <m:t>P</m:t>
                </m:r>
              </m:e>
              <m:sub>
                <m:r>
                  <w:rPr>
                    <w:rFonts w:ascii="Cambria Math" w:eastAsiaTheme="minorEastAsia" w:hAnsi="Cambria Math"/>
                  </w:rPr>
                  <m:t>n</m:t>
                </m:r>
              </m:sub>
            </m:sSub>
          </m:e>
          <m:sub>
            <m:r>
              <w:rPr>
                <w:rFonts w:ascii="Cambria Math" w:eastAsiaTheme="minorEastAsia" w:hAnsi="Cambria Math"/>
              </w:rPr>
              <m:t>i</m:t>
            </m:r>
          </m:sub>
        </m:sSub>
      </m:oMath>
      <w:r w:rsidRPr="00C455EA">
        <w:rPr>
          <w:rFonts w:ascii="Palatino Linotype" w:eastAsiaTheme="minorEastAsia" w:hAnsi="Palatino Linotype"/>
        </w:rPr>
        <w:t xml:space="preserve">​ is the effective “pressure” inside cell </w:t>
      </w:r>
      <w:proofErr w:type="spellStart"/>
      <w:r w:rsidRPr="00C455EA">
        <w:rPr>
          <w:rFonts w:ascii="Palatino Linotype" w:eastAsiaTheme="minorEastAsia" w:hAnsi="Palatino Linotype"/>
          <w:i/>
          <w:iCs/>
        </w:rPr>
        <w:t>i</w:t>
      </w:r>
      <w:proofErr w:type="spellEnd"/>
      <w:r w:rsidRPr="00C455EA">
        <w:rPr>
          <w:rFonts w:ascii="Palatino Linotype" w:eastAsiaTheme="minorEastAsia" w:hAnsi="Palatino Linotype"/>
        </w:rPr>
        <w:t xml:space="preserve"> at time </w:t>
      </w:r>
      <w:r w:rsidRPr="00C455EA">
        <w:rPr>
          <w:rFonts w:ascii="Palatino Linotype" w:eastAsiaTheme="minorEastAsia" w:hAnsi="Palatino Linotype"/>
          <w:i/>
          <w:iCs/>
        </w:rPr>
        <w:t>n</w:t>
      </w:r>
      <w:r w:rsidRPr="00C455EA">
        <w:rPr>
          <w:rFonts w:ascii="Palatino Linotype" w:eastAsiaTheme="minorEastAsia" w:hAnsi="Palatino Linotype"/>
        </w:rPr>
        <w:t xml:space="preserve">, derived from its volume deviation (see below). The parameter </w:t>
      </w:r>
      <m:oMath>
        <m:sSub>
          <m:sSubPr>
            <m:ctrlPr>
              <w:rPr>
                <w:rFonts w:ascii="Cambria Math" w:eastAsiaTheme="minorEastAsia" w:hAnsi="Cambria Math"/>
                <w:bCs/>
                <w:i/>
              </w:rPr>
            </m:ctrlPr>
          </m:sSubPr>
          <m:e>
            <m:sSub>
              <m:sSubPr>
                <m:ctrlPr>
                  <w:rPr>
                    <w:rFonts w:ascii="Cambria Math" w:eastAsiaTheme="minorEastAsia" w:hAnsi="Cambria Math"/>
                    <w:bCs/>
                    <w:i/>
                  </w:rPr>
                </m:ctrlPr>
              </m:sSubPr>
              <m:e>
                <m:r>
                  <w:rPr>
                    <w:rFonts w:ascii="Cambria Math" w:eastAsiaTheme="minorEastAsia" w:hAnsi="Cambria Math"/>
                  </w:rPr>
                  <m:t>k</m:t>
                </m:r>
              </m:e>
              <m:sub>
                <m:r>
                  <w:rPr>
                    <w:rFonts w:ascii="Cambria Math" w:eastAsiaTheme="minorEastAsia" w:hAnsi="Cambria Math"/>
                  </w:rPr>
                  <m:t>m</m:t>
                </m:r>
              </m:sub>
            </m:sSub>
          </m:e>
          <m:sub>
            <m:r>
              <w:rPr>
                <w:rFonts w:ascii="Cambria Math" w:eastAsiaTheme="minorEastAsia" w:hAnsi="Cambria Math"/>
              </w:rPr>
              <m:t>density,i</m:t>
            </m:r>
          </m:sub>
        </m:sSub>
      </m:oMath>
      <w:r w:rsidRPr="00C455EA">
        <w:rPr>
          <w:rFonts w:ascii="Palatino Linotype" w:eastAsiaTheme="minorEastAsia" w:hAnsi="Palatino Linotype"/>
        </w:rPr>
        <w:t xml:space="preserve"> is the half‐maximal pressure for growth inhibition.</w:t>
      </w:r>
    </w:p>
    <w:p w14:paraId="6FD8ED7D" w14:textId="77777777" w:rsidR="00741DFE" w:rsidRDefault="00741DFE" w:rsidP="00741DFE">
      <w:pPr>
        <w:rPr>
          <w:rFonts w:ascii="Palatino Linotype" w:eastAsiaTheme="minorEastAsia" w:hAnsi="Palatino Linotype"/>
          <w:i/>
        </w:rPr>
      </w:pPr>
    </w:p>
    <w:p w14:paraId="701BBDB8" w14:textId="77777777" w:rsidR="00741DFE" w:rsidRPr="006E0CED" w:rsidRDefault="00741DFE" w:rsidP="00741DFE">
      <w:pPr>
        <w:pStyle w:val="Heading2"/>
        <w:rPr>
          <w:rFonts w:ascii="Palatino Linotype" w:hAnsi="Palatino Linotype"/>
        </w:rPr>
      </w:pPr>
      <w:r>
        <w:rPr>
          <w:rFonts w:ascii="Palatino Linotype" w:hAnsi="Palatino Linotype"/>
        </w:rPr>
        <w:lastRenderedPageBreak/>
        <w:t>S1</w:t>
      </w:r>
      <w:r w:rsidRPr="006E0CED">
        <w:rPr>
          <w:rFonts w:ascii="Palatino Linotype" w:hAnsi="Palatino Linotype"/>
        </w:rPr>
        <w:t>.3 Effective Pressure Calculation</w:t>
      </w:r>
    </w:p>
    <w:p w14:paraId="734A3440" w14:textId="77777777" w:rsidR="00741DFE" w:rsidRDefault="00741DFE" w:rsidP="00741DFE">
      <w:pPr>
        <w:rPr>
          <w:rFonts w:ascii="Palatino Linotype" w:eastAsiaTheme="minorEastAsia" w:hAnsi="Palatino Linotype"/>
        </w:rPr>
      </w:pPr>
      <w:r w:rsidRPr="00CC5CFE">
        <w:rPr>
          <w:rFonts w:ascii="Palatino Linotype" w:eastAsiaTheme="minorEastAsia" w:hAnsi="Palatino Linotype"/>
        </w:rPr>
        <w:t xml:space="preserve">The volume energy term in the Hamiltonian </w:t>
      </w:r>
      <w:r>
        <w:rPr>
          <w:rFonts w:ascii="Palatino Linotype" w:eastAsiaTheme="minorEastAsia" w:hAnsi="Palatino Linotype"/>
        </w:rPr>
        <w:t>i</w:t>
      </w:r>
      <w:r w:rsidRPr="00CC5CFE">
        <w:rPr>
          <w:rFonts w:ascii="Palatino Linotype" w:eastAsiaTheme="minorEastAsia" w:hAnsi="Palatino Linotype"/>
        </w:rPr>
        <w:t>s:</w:t>
      </w:r>
    </w:p>
    <w:p w14:paraId="00C3778F" w14:textId="77777777" w:rsidR="00741DFE" w:rsidRPr="00E36222" w:rsidRDefault="00000000" w:rsidP="00741DFE">
      <w:pPr>
        <w:rPr>
          <w:b/>
          <w:lang w:eastAsia="zh-CN"/>
        </w:rPr>
      </w:pPr>
      <m:oMathPara>
        <m:oMath>
          <m:eqArr>
            <m:eqArrPr>
              <m:maxDist m:val="1"/>
              <m:ctrlPr>
                <w:rPr>
                  <w:rFonts w:ascii="Cambria Math" w:hAnsi="Cambria Math"/>
                  <w:i/>
                  <w:lang w:eastAsia="zh-CN"/>
                </w:rPr>
              </m:ctrlPr>
            </m:eqArrPr>
            <m:e>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volume,i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λ</m:t>
                  </m:r>
                </m:e>
                <m:sub>
                  <m:r>
                    <w:rPr>
                      <w:rFonts w:ascii="Cambria Math" w:hAnsi="Cambria Math"/>
                      <w:lang w:eastAsia="zh-CN"/>
                    </w:rPr>
                    <m:t>v,i</m:t>
                  </m:r>
                </m:sub>
              </m:sSub>
              <m:sSup>
                <m:sSupPr>
                  <m:ctrlPr>
                    <w:rPr>
                      <w:rFonts w:ascii="Cambria Math" w:hAnsi="Cambria Math"/>
                      <w:i/>
                      <w:lang w:eastAsia="zh-CN"/>
                    </w:rPr>
                  </m:ctrlPr>
                </m:sSupPr>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target,i</m:t>
                          </m:r>
                        </m:sub>
                      </m:sSub>
                    </m:e>
                  </m:d>
                </m:e>
                <m:sup>
                  <m:r>
                    <w:rPr>
                      <w:rFonts w:ascii="Cambria Math" w:hAnsi="Cambria Math"/>
                      <w:lang w:eastAsia="zh-CN"/>
                    </w:rPr>
                    <m:t>2</m:t>
                  </m:r>
                </m:sup>
              </m:sSup>
              <m:r>
                <w:rPr>
                  <w:rFonts w:ascii="Cambria Math" w:hAnsi="Cambria Math"/>
                  <w:lang w:eastAsia="zh-CN"/>
                </w:rPr>
                <m:t xml:space="preserve"> #</m:t>
              </m:r>
              <w:bookmarkStart w:id="4" w:name="E5"/>
              <w:bookmarkEnd w:id="4"/>
              <m:d>
                <m:dPr>
                  <m:ctrlPr>
                    <w:rPr>
                      <w:rFonts w:ascii="Cambria Math" w:hAnsi="Cambria Math"/>
                      <w:i/>
                      <w:lang w:eastAsia="zh-CN"/>
                    </w:rPr>
                  </m:ctrlPr>
                </m:dPr>
                <m:e>
                  <m:r>
                    <w:rPr>
                      <w:rFonts w:ascii="Cambria Math" w:hAnsi="Cambria Math"/>
                      <w:lang w:eastAsia="zh-CN"/>
                    </w:rPr>
                    <m:t>S5</m:t>
                  </m:r>
                </m:e>
              </m:d>
            </m:e>
          </m:eqArr>
        </m:oMath>
      </m:oMathPara>
    </w:p>
    <w:p w14:paraId="65CE699C" w14:textId="77777777" w:rsidR="00741DFE" w:rsidRDefault="00741DFE" w:rsidP="00741DFE">
      <w:pPr>
        <w:rPr>
          <w:b/>
          <w:lang w:eastAsia="zh-CN"/>
        </w:rPr>
      </w:pPr>
      <w:r>
        <w:rPr>
          <w:rFonts w:ascii="Palatino Linotype" w:eastAsiaTheme="minorEastAsia" w:hAnsi="Palatino Linotype"/>
          <w:lang w:bidi="en-US"/>
        </w:rPr>
        <w:t>w</w:t>
      </w:r>
      <w:r w:rsidRPr="00CC5CFE">
        <w:rPr>
          <w:rFonts w:ascii="Palatino Linotype" w:eastAsiaTheme="minorEastAsia" w:hAnsi="Palatino Linotype"/>
          <w:lang w:bidi="en-US"/>
        </w:rPr>
        <w:t>here</w:t>
      </w:r>
      <w:r>
        <w:rPr>
          <w:rFonts w:ascii="Palatino Linotype" w:eastAsiaTheme="minorEastAsia" w:hAnsi="Palatino Linotype"/>
          <w:lang w:bidi="en-US"/>
        </w:rPr>
        <w:t xml:space="preserve"> </w:t>
      </w:r>
      <m:oMath>
        <m:sSub>
          <m:sSubPr>
            <m:ctrlPr>
              <w:rPr>
                <w:rFonts w:ascii="Cambria Math" w:hAnsi="Cambria Math"/>
                <w:b/>
                <w:i/>
                <w:lang w:eastAsia="zh-CN"/>
              </w:rPr>
            </m:ctrlPr>
          </m:sSubPr>
          <m:e>
            <m:r>
              <m:rPr>
                <m:sty m:val="bi"/>
              </m:rPr>
              <w:rPr>
                <w:rFonts w:ascii="Cambria Math" w:hAnsi="Cambria Math"/>
                <w:lang w:eastAsia="zh-CN"/>
              </w:rPr>
              <m:t>λ</m:t>
            </m:r>
          </m:e>
          <m:sub>
            <m:r>
              <m:rPr>
                <m:sty m:val="bi"/>
              </m:rPr>
              <w:rPr>
                <w:rFonts w:ascii="Cambria Math" w:hAnsi="Cambria Math"/>
                <w:lang w:eastAsia="zh-CN"/>
              </w:rPr>
              <m:t>v,i</m:t>
            </m:r>
          </m:sub>
        </m:sSub>
      </m:oMath>
      <w:r w:rsidRPr="006E2859">
        <w:rPr>
          <w:rFonts w:ascii="Arial" w:hAnsi="Arial" w:cs="Arial"/>
          <w:b/>
          <w:lang w:eastAsia="zh-CN"/>
        </w:rPr>
        <w:t>​</w:t>
      </w:r>
      <w:r w:rsidRPr="006E2859">
        <w:rPr>
          <w:b/>
          <w:lang w:eastAsia="zh-CN"/>
        </w:rPr>
        <w:t xml:space="preserve"> </w:t>
      </w:r>
      <w:r w:rsidRPr="00F93750">
        <w:rPr>
          <w:rFonts w:ascii="Palatino Linotype" w:eastAsiaTheme="minorEastAsia" w:hAnsi="Palatino Linotype"/>
        </w:rPr>
        <w:t>is the volume constraint parameter for cell</w:t>
      </w:r>
      <w:r w:rsidRPr="00FF392F">
        <w:rPr>
          <w:bCs/>
          <w:lang w:eastAsia="zh-CN"/>
        </w:rPr>
        <w:t xml:space="preserve"> </w:t>
      </w:r>
      <m:oMath>
        <m:r>
          <w:rPr>
            <w:rFonts w:ascii="Cambria Math" w:eastAsiaTheme="minorEastAsia" w:hAnsi="Cambria Math"/>
          </w:rPr>
          <m:t>i</m:t>
        </m:r>
      </m:oMath>
      <w:r>
        <w:rPr>
          <w:bCs/>
          <w:lang w:eastAsia="zh-CN"/>
        </w:rPr>
        <w:t xml:space="preserve">; </w:t>
      </w:r>
      <m:oMath>
        <m:sSub>
          <m:sSubPr>
            <m:ctrlPr>
              <w:rPr>
                <w:rFonts w:ascii="Cambria Math" w:hAnsi="Cambria Math"/>
                <w:b/>
                <w:i/>
                <w:lang w:eastAsia="zh-CN"/>
              </w:rPr>
            </m:ctrlPr>
          </m:sSubPr>
          <m:e>
            <m:r>
              <m:rPr>
                <m:sty m:val="bi"/>
              </m:rPr>
              <w:rPr>
                <w:rFonts w:ascii="Cambria Math" w:hAnsi="Cambria Math"/>
                <w:lang w:eastAsia="zh-CN"/>
              </w:rPr>
              <m:t>V</m:t>
            </m:r>
          </m:e>
          <m:sub>
            <m:r>
              <m:rPr>
                <m:sty m:val="bi"/>
              </m:rPr>
              <w:rPr>
                <w:rFonts w:ascii="Cambria Math" w:hAnsi="Cambria Math"/>
                <w:lang w:eastAsia="zh-CN"/>
              </w:rPr>
              <m:t>i</m:t>
            </m:r>
          </m:sub>
        </m:sSub>
      </m:oMath>
      <w:r w:rsidRPr="006E2859">
        <w:rPr>
          <w:rFonts w:ascii="Arial" w:hAnsi="Arial" w:cs="Arial"/>
          <w:b/>
          <w:lang w:eastAsia="zh-CN"/>
        </w:rPr>
        <w:t>​</w:t>
      </w:r>
      <w:r w:rsidRPr="006E2859">
        <w:rPr>
          <w:b/>
          <w:lang w:eastAsia="zh-CN"/>
        </w:rPr>
        <w:t xml:space="preserve"> </w:t>
      </w:r>
      <w:r w:rsidRPr="00F93750">
        <w:rPr>
          <w:rFonts w:ascii="Palatino Linotype" w:eastAsiaTheme="minorEastAsia" w:hAnsi="Palatino Linotype"/>
        </w:rPr>
        <w:t>is the actual</w:t>
      </w:r>
      <w:r>
        <w:rPr>
          <w:rFonts w:ascii="Palatino Linotype" w:eastAsiaTheme="minorEastAsia" w:hAnsi="Palatino Linotype"/>
        </w:rPr>
        <w:t xml:space="preserve"> (current)</w:t>
      </w:r>
      <w:r w:rsidRPr="00F93750">
        <w:rPr>
          <w:rFonts w:ascii="Palatino Linotype" w:eastAsiaTheme="minorEastAsia" w:hAnsi="Palatino Linotype"/>
        </w:rPr>
        <w:t xml:space="preserve"> volume of the cell</w:t>
      </w:r>
      <w:r w:rsidRPr="006E2859">
        <w:rPr>
          <w:b/>
          <w:lang w:eastAsia="zh-CN"/>
        </w:rPr>
        <w:t xml:space="preserve"> </w:t>
      </w:r>
      <m:oMath>
        <m:r>
          <m:rPr>
            <m:sty m:val="bi"/>
          </m:rPr>
          <w:rPr>
            <w:rFonts w:ascii="Cambria Math" w:eastAsiaTheme="minorEastAsia" w:hAnsi="Cambria Math"/>
          </w:rPr>
          <m:t>i</m:t>
        </m:r>
      </m:oMath>
      <w:r w:rsidRPr="00EC3D7A">
        <w:rPr>
          <w:rFonts w:ascii="Palatino Linotype" w:eastAsiaTheme="minorEastAsia" w:hAnsi="Palatino Linotype"/>
          <w:b/>
        </w:rPr>
        <w:t>,</w:t>
      </w:r>
      <w:r w:rsidRPr="00EC3D7A">
        <w:rPr>
          <w:rFonts w:ascii="Palatino Linotype" w:hAnsi="Palatino Linotype"/>
          <w:bCs/>
          <w:lang w:eastAsia="zh-CN"/>
        </w:rPr>
        <w:t xml:space="preserve"> and</w:t>
      </w:r>
      <w:r>
        <w:rPr>
          <w:bCs/>
          <w:lang w:eastAsia="zh-CN"/>
        </w:rPr>
        <w:t xml:space="preserve"> </w:t>
      </w:r>
      <m:oMath>
        <m:sSub>
          <m:sSubPr>
            <m:ctrlPr>
              <w:rPr>
                <w:rStyle w:val="mord"/>
                <w:rFonts w:ascii="Cambria Math" w:eastAsiaTheme="majorEastAsia" w:hAnsi="Cambria Math"/>
                <w:b/>
                <w:i/>
              </w:rPr>
            </m:ctrlPr>
          </m:sSubPr>
          <m:e>
            <m:r>
              <m:rPr>
                <m:sty m:val="bi"/>
              </m:rPr>
              <w:rPr>
                <w:rStyle w:val="mord"/>
                <w:rFonts w:ascii="Cambria Math" w:eastAsiaTheme="majorEastAsia" w:hAnsi="Cambria Math"/>
              </w:rPr>
              <m:t>V</m:t>
            </m:r>
          </m:e>
          <m:sub>
            <m:r>
              <w:rPr>
                <w:rStyle w:val="mord"/>
                <w:rFonts w:ascii="Cambria Math" w:eastAsiaTheme="majorEastAsia" w:hAnsi="Cambria Math"/>
              </w:rPr>
              <m:t>target</m:t>
            </m:r>
            <m:r>
              <m:rPr>
                <m:sty m:val="bi"/>
              </m:rPr>
              <w:rPr>
                <w:rStyle w:val="mord"/>
                <w:rFonts w:ascii="Cambria Math" w:eastAsiaTheme="majorEastAsia" w:hAnsi="Cambria Math"/>
              </w:rPr>
              <m:t>,i</m:t>
            </m:r>
          </m:sub>
        </m:sSub>
      </m:oMath>
      <w:r w:rsidRPr="006E2859">
        <w:rPr>
          <w:b/>
          <w:lang w:eastAsia="zh-CN"/>
        </w:rPr>
        <w:t xml:space="preserve"> </w:t>
      </w:r>
      <w:r w:rsidRPr="00F93750">
        <w:rPr>
          <w:rFonts w:ascii="Palatino Linotype" w:eastAsiaTheme="minorEastAsia" w:hAnsi="Palatino Linotype"/>
        </w:rPr>
        <w:t>is the target volume of the cell</w:t>
      </w:r>
      <w:r w:rsidRPr="006E2859">
        <w:rPr>
          <w:b/>
          <w:lang w:eastAsia="zh-CN"/>
        </w:rPr>
        <w:t xml:space="preserve"> </w:t>
      </w:r>
      <m:oMath>
        <m:r>
          <m:rPr>
            <m:sty m:val="bi"/>
          </m:rPr>
          <w:rPr>
            <w:rFonts w:ascii="Cambria Math" w:eastAsiaTheme="minorEastAsia" w:hAnsi="Cambria Math"/>
          </w:rPr>
          <m:t>i</m:t>
        </m:r>
      </m:oMath>
      <w:r w:rsidRPr="00F93750">
        <w:rPr>
          <w:bCs/>
          <w:lang w:eastAsia="zh-CN"/>
        </w:rPr>
        <w:t>.</w:t>
      </w:r>
    </w:p>
    <w:p w14:paraId="3AB67C83" w14:textId="77777777" w:rsidR="00741DFE" w:rsidRDefault="00741DFE" w:rsidP="00741DFE">
      <w:pPr>
        <w:rPr>
          <w:rFonts w:ascii="Palatino Linotype" w:eastAsiaTheme="minorEastAsia" w:hAnsi="Palatino Linotype"/>
        </w:rPr>
      </w:pPr>
      <w:r w:rsidRPr="00CC5CFE">
        <w:rPr>
          <w:rFonts w:ascii="Palatino Linotype" w:eastAsiaTheme="minorEastAsia" w:hAnsi="Palatino Linotype"/>
        </w:rPr>
        <w:t xml:space="preserve">The effective pressure </w:t>
      </w:r>
      <w:r>
        <w:rPr>
          <w:rFonts w:ascii="Palatino Linotype" w:eastAsiaTheme="minorEastAsia" w:hAnsi="Palatino Linotype"/>
        </w:rPr>
        <w:t xml:space="preserve">inside cell </w:t>
      </w:r>
      <w:proofErr w:type="spellStart"/>
      <w:r w:rsidRPr="00E42946">
        <w:rPr>
          <w:rFonts w:ascii="Palatino Linotype" w:eastAsiaTheme="minorEastAsia" w:hAnsi="Palatino Linotype"/>
          <w:i/>
          <w:iCs/>
        </w:rPr>
        <w:t>i</w:t>
      </w:r>
      <w:proofErr w:type="spellEnd"/>
      <w:r>
        <w:rPr>
          <w:rFonts w:ascii="Palatino Linotype" w:eastAsiaTheme="minorEastAsia" w:hAnsi="Palatino Linotype"/>
        </w:rPr>
        <w:t xml:space="preserve"> is then</w:t>
      </w:r>
      <w:r w:rsidRPr="00CC5CFE">
        <w:rPr>
          <w:rFonts w:ascii="Palatino Linotype" w:eastAsiaTheme="minorEastAsia" w:hAnsi="Palatino Linotype"/>
        </w:rPr>
        <w:t>:</w:t>
      </w:r>
    </w:p>
    <w:p w14:paraId="05D36FAE" w14:textId="77777777" w:rsidR="00741DFE" w:rsidRPr="00CC5CFE" w:rsidRDefault="00000000" w:rsidP="00741DFE">
      <w:pPr>
        <w:rPr>
          <w:rFonts w:ascii="Palatino Linotype" w:eastAsiaTheme="minorEastAsia" w:hAnsi="Palatino Linotype"/>
        </w:rPr>
      </w:pPr>
      <m:oMathPara>
        <m:oMath>
          <m:eqArr>
            <m:eqArrPr>
              <m:maxDist m:val="1"/>
              <m:ctrlPr>
                <w:rPr>
                  <w:rFonts w:ascii="Cambria Math" w:eastAsiaTheme="minorEastAsia" w:hAnsi="Cambria Math"/>
                  <w:bCs/>
                  <w:i/>
                </w:rPr>
              </m:ctrlPr>
            </m:eqArrPr>
            <m:e>
              <m:sSub>
                <m:sSubPr>
                  <m:ctrlPr>
                    <w:rPr>
                      <w:rFonts w:ascii="Cambria Math" w:eastAsiaTheme="minorEastAsia" w:hAnsi="Cambria Math"/>
                      <w:bCs/>
                      <w:i/>
                    </w:rPr>
                  </m:ctrlPr>
                </m:sSubPr>
                <m:e>
                  <m:sSub>
                    <m:sSubPr>
                      <m:ctrlPr>
                        <w:rPr>
                          <w:rFonts w:ascii="Cambria Math" w:eastAsiaTheme="minorEastAsia" w:hAnsi="Cambria Math"/>
                          <w:bCs/>
                          <w:i/>
                        </w:rPr>
                      </m:ctrlPr>
                    </m:sSubPr>
                    <m:e>
                      <m:r>
                        <w:rPr>
                          <w:rFonts w:ascii="Cambria Math" w:eastAsiaTheme="minorEastAsia" w:hAnsi="Cambria Math"/>
                        </w:rPr>
                        <m:t>P</m:t>
                      </m:r>
                    </m:e>
                    <m:sub>
                      <m:r>
                        <w:rPr>
                          <w:rFonts w:ascii="Cambria Math" w:eastAsiaTheme="minorEastAsia" w:hAnsi="Cambria Math"/>
                        </w:rPr>
                        <m:t>n</m:t>
                      </m:r>
                    </m:sub>
                  </m:sSub>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H</m:t>
                      </m:r>
                    </m:e>
                    <m:sub>
                      <m:r>
                        <w:rPr>
                          <w:rFonts w:ascii="Cambria Math" w:eastAsiaTheme="minorEastAsia" w:hAnsi="Cambria Math"/>
                        </w:rPr>
                        <m:t>volume,i</m:t>
                      </m:r>
                    </m:sub>
                  </m:sSub>
                </m:num>
                <m:den>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V</m:t>
                      </m:r>
                    </m:e>
                    <m:sub>
                      <m:r>
                        <w:rPr>
                          <w:rFonts w:ascii="Cambria Math" w:eastAsiaTheme="minorEastAsia" w:hAnsi="Cambria Math"/>
                        </w:rPr>
                        <m:t>i</m:t>
                      </m:r>
                    </m:sub>
                  </m:sSub>
                </m:den>
              </m:f>
              <m:r>
                <w:rPr>
                  <w:rFonts w:ascii="Cambria Math" w:eastAsiaTheme="minorEastAsia" w:hAnsi="Cambria Math"/>
                </w:rPr>
                <m:t>​​=2</m:t>
              </m:r>
              <m:sSub>
                <m:sSubPr>
                  <m:ctrlPr>
                    <w:rPr>
                      <w:rFonts w:ascii="Cambria Math" w:eastAsiaTheme="minorEastAsia" w:hAnsi="Cambria Math"/>
                      <w:bCs/>
                      <w:i/>
                    </w:rPr>
                  </m:ctrlPr>
                </m:sSubPr>
                <m:e>
                  <m:r>
                    <w:rPr>
                      <w:rFonts w:ascii="Cambria Math" w:eastAsiaTheme="minorEastAsia" w:hAnsi="Cambria Math"/>
                    </w:rPr>
                    <m:t>λ</m:t>
                  </m:r>
                </m:e>
                <m:sub>
                  <m:r>
                    <w:rPr>
                      <w:rFonts w:ascii="Cambria Math" w:eastAsiaTheme="minorEastAsia" w:hAnsi="Cambria Math"/>
                    </w:rPr>
                    <m:t>v,i</m:t>
                  </m:r>
                </m:sub>
              </m:sSub>
              <m:r>
                <w:rPr>
                  <w:rFonts w:ascii="Cambria Math" w:eastAsiaTheme="minorEastAsia" w:hAnsi="Cambria Math"/>
                </w:rPr>
                <m:t>​</m:t>
              </m:r>
              <m:d>
                <m:dPr>
                  <m:ctrlPr>
                    <w:rPr>
                      <w:rFonts w:ascii="Cambria Math" w:eastAsiaTheme="minorEastAsia" w:hAnsi="Cambria Math"/>
                      <w:bCs/>
                      <w:i/>
                    </w:rPr>
                  </m:ctrlPr>
                </m:dPr>
                <m:e>
                  <m:r>
                    <w:rPr>
                      <w:rFonts w:ascii="Cambria Math" w:eastAsiaTheme="minorEastAsia" w:hAnsi="Cambria Math"/>
                    </w:rPr>
                    <m:t>c​-</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target,i</m:t>
                      </m:r>
                    </m:sub>
                  </m:sSub>
                  <m:r>
                    <w:rPr>
                      <w:rFonts w:ascii="Cambria Math" w:eastAsiaTheme="minorEastAsia" w:hAnsi="Cambria Math"/>
                    </w:rPr>
                    <m:t>​</m:t>
                  </m:r>
                </m:e>
              </m:d>
              <m:r>
                <w:rPr>
                  <w:rFonts w:ascii="Cambria Math" w:eastAsiaTheme="minorEastAsia" w:hAnsi="Cambria Math"/>
                </w:rPr>
                <m:t>#</m:t>
              </m:r>
              <m:d>
                <m:dPr>
                  <m:ctrlPr>
                    <w:rPr>
                      <w:rFonts w:ascii="Cambria Math" w:eastAsiaTheme="minorEastAsia" w:hAnsi="Cambria Math"/>
                      <w:bCs/>
                      <w:i/>
                    </w:rPr>
                  </m:ctrlPr>
                </m:dPr>
                <m:e>
                  <m:r>
                    <w:rPr>
                      <w:rFonts w:ascii="Cambria Math" w:eastAsiaTheme="minorEastAsia" w:hAnsi="Cambria Math"/>
                    </w:rPr>
                    <m:t>S6</m:t>
                  </m:r>
                </m:e>
              </m:d>
            </m:e>
          </m:eqArr>
        </m:oMath>
      </m:oMathPara>
    </w:p>
    <w:p w14:paraId="1B7021A2" w14:textId="77777777" w:rsidR="00741DFE" w:rsidRPr="00CC5CFE" w:rsidRDefault="00741DFE" w:rsidP="00741DFE">
      <w:pPr>
        <w:rPr>
          <w:rFonts w:ascii="Palatino Linotype" w:eastAsiaTheme="minorEastAsia" w:hAnsi="Palatino Linotype"/>
        </w:rPr>
      </w:pPr>
      <w:proofErr w:type="gramStart"/>
      <w:r>
        <w:rPr>
          <w:rFonts w:ascii="Palatino Linotype" w:eastAsiaTheme="minorEastAsia" w:hAnsi="Palatino Linotype"/>
        </w:rPr>
        <w:t>t</w:t>
      </w:r>
      <w:r w:rsidRPr="003A5061">
        <w:rPr>
          <w:rFonts w:ascii="Palatino Linotype" w:eastAsiaTheme="minorEastAsia" w:hAnsi="Palatino Linotype"/>
        </w:rPr>
        <w:t>his</w:t>
      </w:r>
      <w:proofErr w:type="gramEnd"/>
      <w:r w:rsidRPr="003A5061">
        <w:rPr>
          <w:rFonts w:ascii="Palatino Linotype" w:eastAsiaTheme="minorEastAsia" w:hAnsi="Palatino Linotype"/>
        </w:rPr>
        <w:t xml:space="preserve"> pressure term reflects how far the cell’s volume is from its target</w:t>
      </w:r>
      <w:r w:rsidRPr="00CC5CFE">
        <w:rPr>
          <w:rFonts w:ascii="Palatino Linotype" w:eastAsiaTheme="minorEastAsia" w:hAnsi="Palatino Linotype"/>
        </w:rPr>
        <w:t>.</w:t>
      </w:r>
    </w:p>
    <w:p w14:paraId="37C6F8E7" w14:textId="77777777" w:rsidR="00741DFE" w:rsidRDefault="00741DFE" w:rsidP="00741DFE">
      <w:pPr>
        <w:rPr>
          <w:rFonts w:ascii="Palatino Linotype" w:eastAsiaTheme="minorEastAsia" w:hAnsi="Palatino Linotype"/>
          <w:i/>
        </w:rPr>
      </w:pPr>
    </w:p>
    <w:p w14:paraId="67478078" w14:textId="77777777" w:rsidR="00741DFE" w:rsidRPr="00754FA0" w:rsidRDefault="00741DFE" w:rsidP="00741DFE">
      <w:pPr>
        <w:pStyle w:val="Heading2"/>
        <w:rPr>
          <w:rFonts w:ascii="Palatino Linotype" w:hAnsi="Palatino Linotype"/>
        </w:rPr>
      </w:pPr>
      <w:r>
        <w:rPr>
          <w:rFonts w:ascii="Palatino Linotype" w:hAnsi="Palatino Linotype"/>
        </w:rPr>
        <w:t>S1</w:t>
      </w:r>
      <w:r w:rsidRPr="00754FA0">
        <w:rPr>
          <w:rFonts w:ascii="Palatino Linotype" w:hAnsi="Palatino Linotype"/>
        </w:rPr>
        <w:t>.4 Total Growth Rate</w:t>
      </w:r>
    </w:p>
    <w:p w14:paraId="3D187188" w14:textId="77777777" w:rsidR="00741DFE" w:rsidRPr="00CC5CFE" w:rsidRDefault="00741DFE" w:rsidP="00741DFE">
      <w:pPr>
        <w:rPr>
          <w:rFonts w:ascii="Palatino Linotype" w:eastAsiaTheme="minorEastAsia" w:hAnsi="Palatino Linotype"/>
        </w:rPr>
      </w:pPr>
      <w:r w:rsidRPr="00C71B54">
        <w:rPr>
          <w:rFonts w:ascii="Palatino Linotype" w:eastAsiaTheme="minorEastAsia" w:hAnsi="Palatino Linotype"/>
        </w:rPr>
        <w:t>Combining the EGF‐dependent growth and density‐dependent inhibition terms, each cell’s net growth rate is</w:t>
      </w:r>
      <w:r w:rsidRPr="00CC5CFE">
        <w:rPr>
          <w:rFonts w:ascii="Palatino Linotype" w:eastAsiaTheme="minorEastAsia" w:hAnsi="Palatino Linotype"/>
        </w:rPr>
        <w:t>:</w:t>
      </w:r>
    </w:p>
    <w:p w14:paraId="6DC8447F" w14:textId="77777777" w:rsidR="00741DFE" w:rsidRPr="00CC5CFE" w:rsidRDefault="00000000" w:rsidP="00741DFE">
      <w:pPr>
        <w:jc w:val="center"/>
        <w:rPr>
          <w:rFonts w:ascii="Palatino Linotype" w:eastAsiaTheme="minorEastAsia" w:hAnsi="Palatino Linotype"/>
          <w:lang w:bidi="en-US"/>
        </w:rPr>
      </w:pPr>
      <m:oMathPara>
        <m:oMath>
          <m:eqArr>
            <m:eqArrPr>
              <m:maxDist m:val="1"/>
              <m:ctrlPr>
                <w:rPr>
                  <w:rFonts w:ascii="Cambria Math" w:eastAsiaTheme="minorEastAsia" w:hAnsi="Cambria Math"/>
                  <w:i/>
                  <w:lang w:bidi="en-US"/>
                </w:rPr>
              </m:ctrlPr>
            </m:eqArrPr>
            <m:e>
              <m:sSub>
                <m:sSubPr>
                  <m:ctrlPr>
                    <w:rPr>
                      <w:rFonts w:ascii="Cambria Math" w:eastAsiaTheme="minorEastAsia" w:hAnsi="Cambria Math"/>
                      <w:i/>
                      <w:lang w:bidi="en-US"/>
                    </w:rPr>
                  </m:ctrlPr>
                </m:sSubPr>
                <m:e>
                  <m:sSub>
                    <m:sSubPr>
                      <m:ctrlPr>
                        <w:rPr>
                          <w:rFonts w:ascii="Cambria Math" w:eastAsiaTheme="minorEastAsia" w:hAnsi="Cambria Math"/>
                          <w:i/>
                          <w:lang w:bidi="en-US"/>
                        </w:rPr>
                      </m:ctrlPr>
                    </m:sSubPr>
                    <m:e>
                      <m:r>
                        <w:rPr>
                          <w:rFonts w:ascii="Cambria Math" w:eastAsiaTheme="minorEastAsia" w:hAnsi="Cambria Math"/>
                          <w:lang w:bidi="en-US"/>
                        </w:rPr>
                        <m:t>G</m:t>
                      </m:r>
                    </m:e>
                    <m:sub>
                      <m:r>
                        <w:rPr>
                          <w:rFonts w:ascii="Cambria Math" w:eastAsiaTheme="minorEastAsia" w:hAnsi="Cambria Math"/>
                          <w:lang w:bidi="en-US"/>
                        </w:rPr>
                        <m:t>n</m:t>
                      </m:r>
                    </m:sub>
                  </m:sSub>
                </m:e>
                <m:sub>
                  <m:r>
                    <w:rPr>
                      <w:rFonts w:ascii="Cambria Math" w:eastAsiaTheme="minorEastAsia" w:hAnsi="Cambria Math"/>
                      <w:lang w:bidi="en-US"/>
                    </w:rPr>
                    <m:t>total,i</m:t>
                  </m:r>
                </m:sub>
              </m:sSub>
              <m:r>
                <w:rPr>
                  <w:rFonts w:ascii="Cambria Math" w:eastAsiaTheme="minorEastAsia" w:hAnsi="Cambria Math"/>
                  <w:lang w:bidi="en-US"/>
                </w:rPr>
                <m:t>=</m:t>
              </m:r>
              <m:sSub>
                <m:sSubPr>
                  <m:ctrlPr>
                    <w:rPr>
                      <w:rFonts w:ascii="Cambria Math" w:eastAsiaTheme="minorEastAsia" w:hAnsi="Cambria Math"/>
                      <w:i/>
                      <w:lang w:bidi="en-US"/>
                    </w:rPr>
                  </m:ctrlPr>
                </m:sSubPr>
                <m:e>
                  <m:r>
                    <w:rPr>
                      <w:rFonts w:ascii="Cambria Math" w:eastAsiaTheme="minorEastAsia" w:hAnsi="Cambria Math"/>
                      <w:lang w:bidi="en-US"/>
                    </w:rPr>
                    <m:t>δ</m:t>
                  </m:r>
                </m:e>
                <m:sub>
                  <m:r>
                    <w:rPr>
                      <w:rFonts w:ascii="Cambria Math" w:eastAsiaTheme="minorEastAsia" w:hAnsi="Cambria Math"/>
                      <w:lang w:bidi="en-US"/>
                    </w:rPr>
                    <m:t>i</m:t>
                  </m:r>
                </m:sub>
              </m:sSub>
              <m:r>
                <w:rPr>
                  <w:rFonts w:ascii="Cambria Math" w:eastAsiaTheme="minorEastAsia" w:hAnsi="Cambria Math"/>
                  <w:lang w:bidi="en-US"/>
                </w:rPr>
                <m:t>×</m:t>
              </m:r>
              <m:sSub>
                <m:sSubPr>
                  <m:ctrlPr>
                    <w:rPr>
                      <w:rFonts w:ascii="Cambria Math" w:eastAsiaTheme="minorEastAsia" w:hAnsi="Cambria Math"/>
                      <w:i/>
                      <w:lang w:bidi="en-US"/>
                    </w:rPr>
                  </m:ctrlPr>
                </m:sSubPr>
                <m:e>
                  <m:sSub>
                    <m:sSubPr>
                      <m:ctrlPr>
                        <w:rPr>
                          <w:rFonts w:ascii="Cambria Math" w:eastAsiaTheme="minorEastAsia" w:hAnsi="Cambria Math"/>
                          <w:i/>
                          <w:lang w:bidi="en-US"/>
                        </w:rPr>
                      </m:ctrlPr>
                    </m:sSubPr>
                    <m:e>
                      <m:r>
                        <w:rPr>
                          <w:rFonts w:ascii="Cambria Math" w:eastAsiaTheme="minorEastAsia" w:hAnsi="Cambria Math"/>
                          <w:lang w:bidi="en-US"/>
                        </w:rPr>
                        <m:t>G</m:t>
                      </m:r>
                    </m:e>
                    <m:sub>
                      <m:r>
                        <w:rPr>
                          <w:rFonts w:ascii="Cambria Math" w:eastAsiaTheme="minorEastAsia" w:hAnsi="Cambria Math"/>
                          <w:lang w:bidi="en-US"/>
                        </w:rPr>
                        <m:t>n</m:t>
                      </m:r>
                    </m:sub>
                  </m:sSub>
                </m:e>
                <m:sub>
                  <m:r>
                    <w:rPr>
                      <w:rFonts w:ascii="Cambria Math" w:eastAsiaTheme="minorEastAsia" w:hAnsi="Cambria Math"/>
                      <w:lang w:bidi="en-US"/>
                    </w:rPr>
                    <m:t>density,i</m:t>
                  </m:r>
                </m:sub>
              </m:sSub>
              <m:r>
                <w:rPr>
                  <w:rFonts w:ascii="Cambria Math" w:eastAsiaTheme="minorEastAsia" w:hAnsi="Cambria Math"/>
                  <w:lang w:bidi="en-US"/>
                </w:rPr>
                <m:t>×</m:t>
              </m:r>
              <m:sSub>
                <m:sSubPr>
                  <m:ctrlPr>
                    <w:rPr>
                      <w:rFonts w:ascii="Cambria Math" w:eastAsiaTheme="minorEastAsia" w:hAnsi="Cambria Math"/>
                      <w:i/>
                      <w:lang w:bidi="en-US"/>
                    </w:rPr>
                  </m:ctrlPr>
                </m:sSubPr>
                <m:e>
                  <m:sSub>
                    <m:sSubPr>
                      <m:ctrlPr>
                        <w:rPr>
                          <w:rFonts w:ascii="Cambria Math" w:eastAsiaTheme="minorEastAsia" w:hAnsi="Cambria Math"/>
                          <w:i/>
                          <w:lang w:bidi="en-US"/>
                        </w:rPr>
                      </m:ctrlPr>
                    </m:sSubPr>
                    <m:e>
                      <m:r>
                        <w:rPr>
                          <w:rFonts w:ascii="Cambria Math" w:eastAsiaTheme="minorEastAsia" w:hAnsi="Cambria Math"/>
                          <w:lang w:bidi="en-US"/>
                        </w:rPr>
                        <m:t>G</m:t>
                      </m:r>
                    </m:e>
                    <m:sub>
                      <m:r>
                        <w:rPr>
                          <w:rFonts w:ascii="Cambria Math" w:eastAsiaTheme="minorEastAsia" w:hAnsi="Cambria Math"/>
                          <w:lang w:bidi="en-US"/>
                        </w:rPr>
                        <m:t>n</m:t>
                      </m:r>
                    </m:sub>
                  </m:sSub>
                </m:e>
                <m:sub>
                  <m:r>
                    <w:rPr>
                      <w:rFonts w:ascii="Cambria Math" w:eastAsiaTheme="minorEastAsia" w:hAnsi="Cambria Math"/>
                      <w:lang w:bidi="en-US"/>
                    </w:rPr>
                    <m:t>EGF,i</m:t>
                  </m:r>
                </m:sub>
              </m:sSub>
              <m:r>
                <w:rPr>
                  <w:rFonts w:ascii="Cambria Math" w:eastAsiaTheme="minorEastAsia" w:hAnsi="Cambria Math"/>
                  <w:lang w:bidi="en-US"/>
                </w:rPr>
                <m:t>​ #</m:t>
              </m:r>
              <w:bookmarkStart w:id="5" w:name="E7"/>
              <w:bookmarkEnd w:id="5"/>
              <m:d>
                <m:dPr>
                  <m:ctrlPr>
                    <w:rPr>
                      <w:rFonts w:ascii="Cambria Math" w:eastAsiaTheme="minorEastAsia" w:hAnsi="Cambria Math"/>
                      <w:i/>
                      <w:lang w:bidi="en-US"/>
                    </w:rPr>
                  </m:ctrlPr>
                </m:dPr>
                <m:e>
                  <m:r>
                    <w:rPr>
                      <w:rFonts w:ascii="Cambria Math" w:eastAsiaTheme="minorEastAsia" w:hAnsi="Cambria Math"/>
                      <w:lang w:bidi="en-US"/>
                    </w:rPr>
                    <m:t>S7</m:t>
                  </m:r>
                </m:e>
              </m:d>
            </m:e>
          </m:eqArr>
        </m:oMath>
      </m:oMathPara>
    </w:p>
    <w:p w14:paraId="36F8B107" w14:textId="77777777" w:rsidR="00741DFE" w:rsidRDefault="00741DFE" w:rsidP="00741DFE">
      <w:pPr>
        <w:rPr>
          <w:rFonts w:ascii="Palatino Linotype" w:eastAsiaTheme="minorEastAsia" w:hAnsi="Palatino Linotype"/>
          <w:i/>
        </w:rPr>
      </w:pPr>
      <w:r w:rsidRPr="00013390">
        <w:rPr>
          <w:rFonts w:ascii="Palatino Linotype" w:eastAsiaTheme="minorEastAsia" w:hAnsi="Palatino Linotype"/>
          <w:lang w:bidi="en-US"/>
        </w:rPr>
        <w:t xml:space="preserve">where </w:t>
      </w:r>
      <m:oMath>
        <m:sSub>
          <m:sSubPr>
            <m:ctrlPr>
              <w:rPr>
                <w:rFonts w:ascii="Cambria Math" w:eastAsiaTheme="minorEastAsia" w:hAnsi="Cambria Math"/>
                <w:i/>
                <w:lang w:bidi="en-US"/>
              </w:rPr>
            </m:ctrlPr>
          </m:sSubPr>
          <m:e>
            <m:r>
              <w:rPr>
                <w:rFonts w:ascii="Cambria Math" w:eastAsiaTheme="minorEastAsia" w:hAnsi="Cambria Math"/>
                <w:lang w:bidi="en-US"/>
              </w:rPr>
              <m:t>δ</m:t>
            </m:r>
          </m:e>
          <m:sub>
            <m:r>
              <w:rPr>
                <w:rFonts w:ascii="Cambria Math" w:eastAsiaTheme="minorEastAsia" w:hAnsi="Cambria Math"/>
                <w:lang w:bidi="en-US"/>
              </w:rPr>
              <m:t>i</m:t>
            </m:r>
          </m:sub>
        </m:sSub>
      </m:oMath>
      <w:r w:rsidRPr="00013390">
        <w:rPr>
          <w:rFonts w:ascii="Palatino Linotype" w:eastAsiaTheme="minorEastAsia" w:hAnsi="Palatino Linotype"/>
          <w:lang w:bidi="en-US"/>
        </w:rPr>
        <w:t xml:space="preserve">​ is the cell’s intrinsic maximal doubling rate (e.g., </w:t>
      </w:r>
      <m:oMath>
        <m:sSub>
          <m:sSubPr>
            <m:ctrlPr>
              <w:rPr>
                <w:rFonts w:ascii="Cambria Math" w:eastAsiaTheme="minorEastAsia" w:hAnsi="Cambria Math"/>
                <w:i/>
                <w:lang w:bidi="en-US"/>
              </w:rPr>
            </m:ctrlPr>
          </m:sSubPr>
          <m:e>
            <m:r>
              <w:rPr>
                <w:rFonts w:ascii="Cambria Math" w:eastAsiaTheme="minorEastAsia" w:hAnsi="Cambria Math"/>
                <w:lang w:bidi="en-US"/>
              </w:rPr>
              <m:t>δ</m:t>
            </m:r>
          </m:e>
          <m:sub>
            <m:r>
              <w:rPr>
                <w:rFonts w:ascii="Cambria Math" w:eastAsiaTheme="minorEastAsia" w:hAnsi="Cambria Math"/>
                <w:lang w:bidi="en-US"/>
              </w:rPr>
              <m:t>basal</m:t>
            </m:r>
          </m:sub>
        </m:sSub>
        <m:r>
          <w:rPr>
            <w:rFonts w:ascii="Cambria Math" w:eastAsiaTheme="minorEastAsia" w:hAnsi="Cambria Math"/>
            <w:lang w:bidi="en-US"/>
          </w:rPr>
          <m:t xml:space="preserve"> </m:t>
        </m:r>
      </m:oMath>
      <w:r>
        <w:rPr>
          <w:rFonts w:ascii="Palatino Linotype" w:eastAsiaTheme="minorEastAsia" w:hAnsi="Palatino Linotype"/>
        </w:rPr>
        <w:t>or</w:t>
      </w:r>
      <w:r w:rsidRPr="00CC5CFE">
        <w:rPr>
          <w:rFonts w:ascii="Palatino Linotype" w:eastAsiaTheme="minorEastAsia" w:hAnsi="Palatino Linotype"/>
        </w:rPr>
        <w:t xml:space="preserve"> </w:t>
      </w:r>
      <m:oMath>
        <m:sSub>
          <m:sSubPr>
            <m:ctrlPr>
              <w:rPr>
                <w:rFonts w:ascii="Cambria Math" w:eastAsiaTheme="minorEastAsia" w:hAnsi="Cambria Math"/>
                <w:i/>
                <w:lang w:bidi="en-US"/>
              </w:rPr>
            </m:ctrlPr>
          </m:sSubPr>
          <m:e>
            <m:r>
              <w:rPr>
                <w:rFonts w:ascii="Cambria Math" w:eastAsiaTheme="minorEastAsia" w:hAnsi="Cambria Math"/>
                <w:lang w:bidi="en-US"/>
              </w:rPr>
              <m:t>δ</m:t>
            </m:r>
          </m:e>
          <m:sub>
            <m:r>
              <w:rPr>
                <w:rFonts w:ascii="Cambria Math" w:eastAsiaTheme="minorEastAsia" w:hAnsi="Cambria Math"/>
                <w:lang w:bidi="en-US"/>
              </w:rPr>
              <m:t>stem</m:t>
            </m:r>
          </m:sub>
        </m:sSub>
      </m:oMath>
      <w:r>
        <w:rPr>
          <w:rFonts w:ascii="Palatino Linotype" w:eastAsiaTheme="minorEastAsia" w:hAnsi="Palatino Linotype"/>
          <w:lang w:bidi="en-US"/>
        </w:rPr>
        <w:t>) given in hours</w:t>
      </w:r>
      <w:r w:rsidRPr="00013390">
        <w:rPr>
          <w:rFonts w:ascii="Palatino Linotype" w:eastAsiaTheme="minorEastAsia" w:hAnsi="Palatino Linotype"/>
          <w:lang w:bidi="en-US"/>
        </w:rPr>
        <w:t xml:space="preserve">. Finally, cell </w:t>
      </w:r>
      <w:proofErr w:type="spellStart"/>
      <w:r w:rsidRPr="00C600A3">
        <w:rPr>
          <w:rFonts w:ascii="Palatino Linotype" w:eastAsiaTheme="minorEastAsia" w:hAnsi="Palatino Linotype"/>
          <w:i/>
          <w:iCs/>
          <w:lang w:bidi="en-US"/>
        </w:rPr>
        <w:t>i</w:t>
      </w:r>
      <w:proofErr w:type="spellEnd"/>
      <w:r w:rsidRPr="00013390">
        <w:rPr>
          <w:rFonts w:ascii="Palatino Linotype" w:eastAsiaTheme="minorEastAsia" w:hAnsi="Palatino Linotype"/>
          <w:lang w:bidi="en-US"/>
        </w:rPr>
        <w:t xml:space="preserve"> grows by updating its target volume:</w:t>
      </w:r>
    </w:p>
    <w:p w14:paraId="7DAC1ACD" w14:textId="77777777" w:rsidR="00741DFE" w:rsidRPr="009B6F28" w:rsidRDefault="00000000" w:rsidP="00741DFE">
      <w:pPr>
        <w:jc w:val="center"/>
        <w:rPr>
          <w:rFonts w:ascii="Palatino Linotype" w:eastAsiaTheme="minorEastAsia" w:hAnsi="Palatino Linotype"/>
          <w:b/>
          <w:lang w:bidi="en-US"/>
        </w:rPr>
      </w:pPr>
      <m:oMathPara>
        <m:oMath>
          <m:eqArr>
            <m:eqArrPr>
              <m:maxDist m:val="1"/>
              <m:ctrlPr>
                <w:rPr>
                  <w:rFonts w:ascii="Cambria Math" w:hAnsi="Cambria Math"/>
                  <w:b/>
                  <w:i/>
                  <w:lang w:bidi="en-US"/>
                </w:rPr>
              </m:ctrlPr>
            </m:eqArrPr>
            <m:e>
              <m:sSub>
                <m:sSubPr>
                  <m:ctrlPr>
                    <w:rPr>
                      <w:rFonts w:ascii="Cambria Math" w:hAnsi="Cambria Math"/>
                      <w:bCs/>
                      <w:i/>
                      <w:lang w:bidi="en-US"/>
                    </w:rPr>
                  </m:ctrlPr>
                </m:sSubPr>
                <m:e>
                  <m:sSub>
                    <m:sSubPr>
                      <m:ctrlPr>
                        <w:rPr>
                          <w:rFonts w:ascii="Cambria Math" w:hAnsi="Cambria Math"/>
                          <w:bCs/>
                          <w:i/>
                          <w:lang w:bidi="en-US"/>
                        </w:rPr>
                      </m:ctrlPr>
                    </m:sSubPr>
                    <m:e>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target</m:t>
                          </m:r>
                        </m:sub>
                      </m:sSub>
                    </m:e>
                    <m:sub>
                      <m:r>
                        <w:rPr>
                          <w:rFonts w:ascii="Cambria Math" w:hAnsi="Cambria Math"/>
                          <w:lang w:bidi="en-US"/>
                        </w:rPr>
                        <m:t>n+1</m:t>
                      </m:r>
                    </m:sub>
                  </m:sSub>
                </m:e>
                <m:sub>
                  <m:r>
                    <w:rPr>
                      <w:rFonts w:ascii="Cambria Math" w:hAnsi="Cambria Math"/>
                      <w:lang w:bidi="en-US"/>
                    </w:rPr>
                    <m:t>i</m:t>
                  </m:r>
                </m:sub>
              </m:sSub>
              <m:r>
                <m:rPr>
                  <m:sty m:val="bi"/>
                </m:rPr>
                <w:rPr>
                  <w:rFonts w:ascii="Cambria Math" w:hAnsi="Cambria Math"/>
                  <w:lang w:bidi="en-US"/>
                </w:rPr>
                <m:t xml:space="preserve"> </m:t>
              </m:r>
              <m:r>
                <w:rPr>
                  <w:rFonts w:ascii="Cambria Math" w:hAnsi="Cambria Math"/>
                  <w:lang w:bidi="en-US"/>
                </w:rPr>
                <m:t>=</m:t>
              </m:r>
              <m:sSub>
                <m:sSubPr>
                  <m:ctrlPr>
                    <w:rPr>
                      <w:rFonts w:ascii="Cambria Math" w:hAnsi="Cambria Math"/>
                      <w:bCs/>
                      <w:i/>
                      <w:lang w:bidi="en-US"/>
                    </w:rPr>
                  </m:ctrlPr>
                </m:sSubPr>
                <m:e>
                  <m:sSub>
                    <m:sSubPr>
                      <m:ctrlPr>
                        <w:rPr>
                          <w:rFonts w:ascii="Cambria Math" w:hAnsi="Cambria Math"/>
                          <w:bCs/>
                          <w:i/>
                          <w:lang w:bidi="en-US"/>
                        </w:rPr>
                      </m:ctrlPr>
                    </m:sSubPr>
                    <m:e>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target</m:t>
                          </m:r>
                        </m:sub>
                      </m:sSub>
                    </m:e>
                    <m:sub>
                      <m:r>
                        <w:rPr>
                          <w:rFonts w:ascii="Cambria Math" w:hAnsi="Cambria Math"/>
                          <w:lang w:bidi="en-US"/>
                        </w:rPr>
                        <m:t>n</m:t>
                      </m:r>
                    </m:sub>
                  </m:sSub>
                </m:e>
                <m:sub>
                  <m:r>
                    <w:rPr>
                      <w:rFonts w:ascii="Cambria Math" w:hAnsi="Cambria Math"/>
                      <w:lang w:bidi="en-US"/>
                    </w:rPr>
                    <m:t>i</m:t>
                  </m:r>
                </m:sub>
              </m:sSub>
              <m:r>
                <w:rPr>
                  <w:rFonts w:ascii="Cambria Math" w:hAnsi="Cambria Math"/>
                  <w:lang w:bidi="en-US"/>
                </w:rPr>
                <m:t xml:space="preserve">+ </m:t>
              </m:r>
              <m:sSub>
                <m:sSubPr>
                  <m:ctrlPr>
                    <w:rPr>
                      <w:rFonts w:ascii="Cambria Math" w:hAnsi="Cambria Math"/>
                      <w:bCs/>
                      <w:i/>
                      <w:lang w:bidi="en-US"/>
                    </w:rPr>
                  </m:ctrlPr>
                </m:sSubPr>
                <m:e>
                  <m:sSub>
                    <m:sSubPr>
                      <m:ctrlPr>
                        <w:rPr>
                          <w:rFonts w:ascii="Cambria Math" w:hAnsi="Cambria Math"/>
                          <w:bCs/>
                          <w:i/>
                          <w:lang w:bidi="en-US"/>
                        </w:rPr>
                      </m:ctrlPr>
                    </m:sSubPr>
                    <m:e>
                      <m:r>
                        <w:rPr>
                          <w:rFonts w:ascii="Cambria Math" w:hAnsi="Cambria Math"/>
                          <w:lang w:bidi="en-US"/>
                        </w:rPr>
                        <m:t>G</m:t>
                      </m:r>
                    </m:e>
                    <m:sub>
                      <m:r>
                        <w:rPr>
                          <w:rFonts w:ascii="Cambria Math" w:hAnsi="Cambria Math"/>
                          <w:lang w:bidi="en-US"/>
                        </w:rPr>
                        <m:t>n</m:t>
                      </m:r>
                    </m:sub>
                  </m:sSub>
                </m:e>
                <m:sub>
                  <m:r>
                    <w:rPr>
                      <w:rFonts w:ascii="Cambria Math" w:hAnsi="Cambria Math"/>
                      <w:lang w:bidi="en-US"/>
                    </w:rPr>
                    <m:t>total,i</m:t>
                  </m:r>
                </m:sub>
              </m:sSub>
              <m:r>
                <w:rPr>
                  <w:rFonts w:ascii="Cambria Math" w:hAnsi="Cambria Math"/>
                  <w:lang w:bidi="en-US"/>
                </w:rPr>
                <m:t xml:space="preserve"> #</m:t>
              </m:r>
              <m:d>
                <m:dPr>
                  <m:ctrlPr>
                    <w:rPr>
                      <w:rFonts w:ascii="Cambria Math" w:hAnsi="Cambria Math"/>
                      <w:bCs/>
                      <w:i/>
                      <w:lang w:bidi="en-US"/>
                    </w:rPr>
                  </m:ctrlPr>
                </m:dPr>
                <m:e>
                  <m:r>
                    <w:rPr>
                      <w:rFonts w:ascii="Cambria Math" w:hAnsi="Cambria Math"/>
                      <w:lang w:bidi="en-US"/>
                    </w:rPr>
                    <m:t>S8</m:t>
                  </m:r>
                </m:e>
              </m:d>
            </m:e>
          </m:eqArr>
        </m:oMath>
      </m:oMathPara>
      <w:bookmarkStart w:id="6" w:name="E8"/>
      <w:bookmarkEnd w:id="6"/>
    </w:p>
    <w:p w14:paraId="4E8D32B1" w14:textId="77777777" w:rsidR="00741DFE" w:rsidRPr="00CC5CFE" w:rsidRDefault="00741DFE" w:rsidP="00741DFE">
      <w:pPr>
        <w:jc w:val="center"/>
        <w:rPr>
          <w:rFonts w:ascii="Palatino Linotype" w:hAnsi="Palatino Linotype"/>
          <w:b/>
          <w:lang w:bidi="en-US"/>
        </w:rPr>
      </w:pPr>
    </w:p>
    <w:p w14:paraId="19DE92D6" w14:textId="77777777" w:rsidR="00741DFE" w:rsidRPr="00DC3151" w:rsidRDefault="00741DFE" w:rsidP="00741DFE">
      <w:pPr>
        <w:pStyle w:val="Heading2"/>
        <w:rPr>
          <w:rFonts w:ascii="Palatino Linotype" w:hAnsi="Palatino Linotype"/>
        </w:rPr>
      </w:pPr>
      <w:r>
        <w:rPr>
          <w:rFonts w:ascii="Palatino Linotype" w:hAnsi="Palatino Linotype"/>
        </w:rPr>
        <w:t>S1</w:t>
      </w:r>
      <w:r w:rsidRPr="00DC3151">
        <w:rPr>
          <w:rFonts w:ascii="Palatino Linotype" w:hAnsi="Palatino Linotype"/>
        </w:rPr>
        <w:t xml:space="preserve">.5 </w:t>
      </w:r>
      <w:r w:rsidRPr="008404EB">
        <w:rPr>
          <w:rFonts w:ascii="Palatino Linotype" w:hAnsi="Palatino Linotype"/>
        </w:rPr>
        <w:t>Parameter Fitting for Hill Function Coefficients</w:t>
      </w:r>
    </w:p>
    <w:p w14:paraId="0AB3C9C0" w14:textId="77777777" w:rsidR="00741DFE" w:rsidRPr="00012E5E" w:rsidRDefault="00741DFE" w:rsidP="00741DFE">
      <w:pPr>
        <w:rPr>
          <w:rFonts w:ascii="Palatino Linotype" w:eastAsiaTheme="minorEastAsia" w:hAnsi="Palatino Linotype"/>
        </w:rPr>
      </w:pPr>
      <w:r w:rsidRPr="00012E5E">
        <w:rPr>
          <w:rFonts w:ascii="Palatino Linotype" w:eastAsiaTheme="minorEastAsia" w:hAnsi="Palatino Linotype"/>
        </w:rPr>
        <w:t>The half-maximal concentration parameters (</w:t>
      </w:r>
      <m:oMath>
        <m:sSub>
          <m:sSubPr>
            <m:ctrlPr>
              <w:rPr>
                <w:rFonts w:ascii="Cambria Math" w:hAnsi="Cambria Math"/>
                <w:bCs/>
                <w:i/>
                <w:lang w:bidi="en-US"/>
              </w:rPr>
            </m:ctrlPr>
          </m:sSubPr>
          <m:e>
            <m:sSub>
              <m:sSubPr>
                <m:ctrlPr>
                  <w:rPr>
                    <w:rFonts w:ascii="Cambria Math" w:hAnsi="Cambria Math"/>
                    <w:bCs/>
                    <w:i/>
                    <w:lang w:bidi="en-US"/>
                  </w:rPr>
                </m:ctrlPr>
              </m:sSubPr>
              <m:e>
                <m:r>
                  <w:rPr>
                    <w:rFonts w:ascii="Cambria Math" w:hAnsi="Cambria Math"/>
                    <w:lang w:bidi="en-US"/>
                  </w:rPr>
                  <m:t>k</m:t>
                </m:r>
              </m:e>
              <m:sub>
                <m:r>
                  <w:rPr>
                    <w:rFonts w:ascii="Cambria Math" w:hAnsi="Cambria Math"/>
                    <w:lang w:bidi="en-US"/>
                  </w:rPr>
                  <m:t>m</m:t>
                </m:r>
              </m:sub>
            </m:sSub>
          </m:e>
          <m:sub>
            <m:r>
              <w:rPr>
                <w:rFonts w:ascii="Cambria Math" w:hAnsi="Cambria Math"/>
                <w:lang w:bidi="en-US"/>
              </w:rPr>
              <m:t>EGF</m:t>
            </m:r>
          </m:sub>
        </m:sSub>
      </m:oMath>
      <w:r w:rsidRPr="00012E5E">
        <w:rPr>
          <w:rFonts w:ascii="Palatino Linotype" w:eastAsiaTheme="minorEastAsia" w:hAnsi="Palatino Linotype"/>
        </w:rPr>
        <w:t xml:space="preserve"> and</w:t>
      </w:r>
      <m:oMath>
        <m:r>
          <w:rPr>
            <w:rFonts w:ascii="Cambria Math" w:eastAsiaTheme="minorEastAsia" w:hAnsi="Cambria Math"/>
          </w:rPr>
          <m:t xml:space="preserve"> </m:t>
        </m:r>
        <m:sSub>
          <m:sSubPr>
            <m:ctrlPr>
              <w:rPr>
                <w:rFonts w:ascii="Cambria Math" w:eastAsiaTheme="minorEastAsia" w:hAnsi="Cambria Math"/>
                <w:bCs/>
                <w:i/>
              </w:rPr>
            </m:ctrlPr>
          </m:sSubPr>
          <m:e>
            <m:sSub>
              <m:sSubPr>
                <m:ctrlPr>
                  <w:rPr>
                    <w:rFonts w:ascii="Cambria Math" w:eastAsiaTheme="minorEastAsia" w:hAnsi="Cambria Math"/>
                    <w:bCs/>
                    <w:i/>
                  </w:rPr>
                </m:ctrlPr>
              </m:sSubPr>
              <m:e>
                <m:r>
                  <w:rPr>
                    <w:rFonts w:ascii="Cambria Math" w:eastAsiaTheme="minorEastAsia" w:hAnsi="Cambria Math"/>
                  </w:rPr>
                  <m:t>k</m:t>
                </m:r>
              </m:e>
              <m:sub>
                <m:r>
                  <w:rPr>
                    <w:rFonts w:ascii="Cambria Math" w:eastAsiaTheme="minorEastAsia" w:hAnsi="Cambria Math"/>
                  </w:rPr>
                  <m:t>m</m:t>
                </m:r>
              </m:sub>
            </m:sSub>
          </m:e>
          <m:sub>
            <m:r>
              <w:rPr>
                <w:rFonts w:ascii="Cambria Math" w:eastAsiaTheme="minorEastAsia" w:hAnsi="Cambria Math"/>
              </w:rPr>
              <m:t>density</m:t>
            </m:r>
          </m:sub>
        </m:sSub>
      </m:oMath>
      <w:r w:rsidRPr="00012E5E">
        <w:rPr>
          <w:rFonts w:ascii="Palatino Linotype" w:eastAsiaTheme="minorEastAsia" w:hAnsi="Palatino Linotype"/>
        </w:rPr>
        <w:t>) are critical control points in our growth regulation model, directly influencing proliferation rates in response to both EGF signaling and contact inhibition. To determine appropriate values for these parameters, we employed a multi-objective optimization approach constrained by three key biological criteria:</w:t>
      </w:r>
    </w:p>
    <w:p w14:paraId="2E4F9275" w14:textId="77777777" w:rsidR="00741DFE" w:rsidRPr="00012E5E" w:rsidRDefault="00741DFE" w:rsidP="00741DFE">
      <w:pPr>
        <w:numPr>
          <w:ilvl w:val="0"/>
          <w:numId w:val="81"/>
        </w:numPr>
        <w:rPr>
          <w:rFonts w:ascii="Palatino Linotype" w:eastAsiaTheme="minorEastAsia" w:hAnsi="Palatino Linotype"/>
        </w:rPr>
      </w:pPr>
      <w:r w:rsidRPr="00012E5E">
        <w:rPr>
          <w:rFonts w:ascii="Palatino Linotype" w:eastAsiaTheme="minorEastAsia" w:hAnsi="Palatino Linotype"/>
          <w:b/>
          <w:bCs/>
        </w:rPr>
        <w:t xml:space="preserve">Epithelial </w:t>
      </w:r>
      <w:r>
        <w:rPr>
          <w:rFonts w:ascii="Palatino Linotype" w:eastAsiaTheme="minorEastAsia" w:hAnsi="Palatino Linotype"/>
          <w:b/>
          <w:bCs/>
        </w:rPr>
        <w:t>Turnover and Recovery</w:t>
      </w:r>
      <w:r w:rsidRPr="00012E5E">
        <w:rPr>
          <w:rFonts w:ascii="Palatino Linotype" w:eastAsiaTheme="minorEastAsia" w:hAnsi="Palatino Linotype"/>
          <w:b/>
          <w:bCs/>
        </w:rPr>
        <w:t xml:space="preserve"> Timeline</w:t>
      </w:r>
      <w:r w:rsidRPr="00012E5E">
        <w:rPr>
          <w:rFonts w:ascii="Palatino Linotype" w:eastAsiaTheme="minorEastAsia" w:hAnsi="Palatino Linotype"/>
        </w:rPr>
        <w:t xml:space="preserve">: Values were calibrated to ensure that </w:t>
      </w:r>
      <w:r>
        <w:rPr>
          <w:rFonts w:ascii="Palatino Linotype" w:eastAsiaTheme="minorEastAsia" w:hAnsi="Palatino Linotype"/>
        </w:rPr>
        <w:t>complete epithelium turnover time of</w:t>
      </w:r>
      <w:r w:rsidRPr="00012E5E">
        <w:rPr>
          <w:rFonts w:ascii="Palatino Linotype" w:eastAsiaTheme="minorEastAsia" w:hAnsi="Palatino Linotype"/>
        </w:rPr>
        <w:t xml:space="preserve"> </w:t>
      </w:r>
      <w:r>
        <w:rPr>
          <w:rFonts w:ascii="Palatino Linotype" w:eastAsiaTheme="minorEastAsia" w:hAnsi="Palatino Linotype"/>
        </w:rPr>
        <w:t>7</w:t>
      </w:r>
      <w:r w:rsidRPr="00012E5E">
        <w:rPr>
          <w:rFonts w:ascii="Palatino Linotype" w:eastAsiaTheme="minorEastAsia" w:hAnsi="Palatino Linotype"/>
        </w:rPr>
        <w:t>-</w:t>
      </w:r>
      <w:r>
        <w:rPr>
          <w:rFonts w:ascii="Palatino Linotype" w:eastAsiaTheme="minorEastAsia" w:hAnsi="Palatino Linotype"/>
        </w:rPr>
        <w:t>14</w:t>
      </w:r>
      <w:r w:rsidRPr="00012E5E">
        <w:rPr>
          <w:rFonts w:ascii="Palatino Linotype" w:eastAsiaTheme="minorEastAsia" w:hAnsi="Palatino Linotype"/>
        </w:rPr>
        <w:t xml:space="preserve"> days</w:t>
      </w:r>
      <w:r>
        <w:rPr>
          <w:rFonts w:ascii="Palatino Linotype" w:eastAsiaTheme="minorEastAsia" w:hAnsi="Palatino Linotype"/>
        </w:rPr>
        <w:t>, and the recovery of 3-5 days after injury</w:t>
      </w:r>
      <w:r w:rsidRPr="00012E5E">
        <w:rPr>
          <w:rFonts w:ascii="Palatino Linotype" w:eastAsiaTheme="minorEastAsia" w:hAnsi="Palatino Linotype"/>
        </w:rPr>
        <w:t>, match</w:t>
      </w:r>
      <w:r>
        <w:rPr>
          <w:rFonts w:ascii="Palatino Linotype" w:eastAsiaTheme="minorEastAsia" w:hAnsi="Palatino Linotype"/>
        </w:rPr>
        <w:t>ed the</w:t>
      </w:r>
      <w:r w:rsidRPr="00012E5E">
        <w:rPr>
          <w:rFonts w:ascii="Palatino Linotype" w:eastAsiaTheme="minorEastAsia" w:hAnsi="Palatino Linotype"/>
        </w:rPr>
        <w:t xml:space="preserve"> empirically observed times in healthy corneal epithelium </w:t>
      </w:r>
      <w:r>
        <w:rPr>
          <w:rFonts w:ascii="Palatino Linotype" w:eastAsiaTheme="minorEastAsia" w:hAnsi="Palatino Linotype"/>
        </w:rPr>
        <w:fldChar w:fldCharType="begin"/>
      </w:r>
      <w:r>
        <w:rPr>
          <w:rFonts w:ascii="Palatino Linotype" w:eastAsiaTheme="minorEastAsia" w:hAnsi="Palatino Linotype"/>
        </w:rPr>
        <w:instrText xml:space="preserve"> ADDIN ZOTERO_ITEM CSL_CITATION {"citationID":"a133ef72cm5","properties":{"formattedCitation":"(1,2)","plainCitation":"(1,2)","noteIndex":0},"citationItems":[{"id":1184,"uris":["http://zotero.org/users/10714330/items/UGWL4X4G"],"itemData":{"id":1184,"type":"article-journal","abstract":"PURPOSE. Aging is a risk factor for dry eye. We sought to identify changes in the aged mouse corneal epithelial transcriptome and determine how age affects corneal sensitivity, re-epithelialization, and barrier reformation after corneal debridement.\nMETHODS. Corneal epithelium of female C57BL/6J (B6) mice of different ages (2, 12, 18, and 24 months) was collected, RNA extracted, and bulk RNA sequencing performed. Cornea sensitivity was measured with an esthesiometer in 2- to 3-month-old, 12- to 13-month-old, 18- to 19-month-old, and 22- to 25-month-old female and male mice. The 2-month-old and 18-month-old female and male mice underwent unilateral corneal debridement using a blunt blade. Wound size and fluorescein staining were visualized and photographed at different time points, and a re-epithelialization rate curve was calculated.\nRESULTS. There were 157 differentially expressed genes in aged mice compared with young mice. Several pathways downregulated with age control cell migration, proteoglycan synthesis, and collagen trimerization, assembly, biosynthesis, and degradation. Male mice had decreased corneal sensitivity compared with female mice at 12 and 24 months of age. Aged mice, irrespective of sex, had delayed corneal re-epithelialization in the first 48 hours and worse corneal fluorescein staining intensity at day 14 than young mice.\nCONCLUSIONS. Aged corneal epithelium has an altered transcriptome. Aged mice regardless of sex heal more slowly and displayed more signs of corneal epithelial defects after wounding than young mice. These results indicate that aging significantly alters the corneal epithelium and its ability to coordinate healing.","container-title":"Investigative Ophthalmology &amp; Visual Science","DOI":"10.1167/iovs.65.5.21","ISSN":"1552-5783","issue":"5","journalAbbreviation":"Invest. Ophthalmol. Vis. Sci.","language":"en","license":"http://creativecommons.org/licenses/by/4.0/","page":"21","source":"DOI.org (Crossref)","title":"Age-Related Differences in the Mouse Corneal Epithelial Transcriptome and Their Impact on Corneal Wound Healing","volume":"65","author":[{"family":"Abu-Romman","given":"Anmar"},{"family":"Scholand","given":"Kaitlin K."},{"family":"Govindarajan","given":"Gowthaman"},{"family":"Yu","given":"Zhiyuan"},{"family":"Pal-Ghosh","given":"Sonali"},{"family":"Stepp","given":"Mary A."},{"family":"De Paiva","given":"Cintia S."}],"issued":{"date-parts":[["2024",5,13]]}}},{"id":1186,"uris":["http://zotero.org/users/10714330/items/LR9DB53R"],"itemData":{"id":1186,"type":"article-journal","abstract":"The corneal epithelium is the outermost transparent barrier of the eyeball and undergoes continuous self-­renewal by limbal stem cells (LSCs) during its lifetime; however, the impact of aging on LSCs remains largely unknown. Here, we showed that the healing ability of the cornea in elderly macaques (Macaca fascicularis) was significantly decreased compared to that of younger macaques. This delayed wound closure accompanied a disordered cell arrangement and corneal opacity. A novel cytokine, Secreted and Transmembrane 1 (SECTM1), was found to facilitate corneal healing and was upregulated in young macaques upon wounding. Mechanistically, SECTM1 is essential for LSC migration and proliferation, and may partially function through Cell Division Cycle Associated 7 (CDCA7). Notably, the topical application of SECTM1 to aged wounded corneas dramatically promoted re-­epithelialization and improved corneal transparency in both mice and macaques. Our work suggests that aging may impair the expression of healing response factors and injury repair in non-­human primate corneas, and that SECTM1 application could potentially benefit corneal wound healing in clinical treatment.","container-title":"Aging Cell","DOI":"10.1111/acel.14247","ISSN":"1474-9718, 1474-9726","issue":"10","journalAbbreviation":"Aging Cell","language":"en","page":"e14247","source":"DOI.org (Crossref)","title":"Deficiency of &lt;span style=\"font-variant:small-caps;\"&gt;SECTM1&lt;/span&gt; impairs corneal wound healing in aging","title-short":"Deficiency of &lt;span style=\"font-variant","volume":"23","author":[{"family":"Zhu","given":"Jin"},{"family":"Lan","given":"Xihong"},{"family":"Mo","given":"Kunlun"},{"family":"Zhang","given":"Wang"},{"family":"Huang","given":"Ying"},{"family":"Tan","given":"Jieying"},{"family":"Wang","given":"Li"},{"family":"Ji","given":"Jianping"},{"family":"Ke","given":"Qiong"},{"family":"Ouyang","given":"Hong"}],"issued":{"date-parts":[["2024",10]]}}}],"schema":"https://github.com/citation-style-language/schema/raw/master/csl-citation.json"} </w:instrText>
      </w:r>
      <w:r>
        <w:rPr>
          <w:rFonts w:ascii="Palatino Linotype" w:eastAsiaTheme="minorEastAsia" w:hAnsi="Palatino Linotype"/>
        </w:rPr>
        <w:fldChar w:fldCharType="separate"/>
      </w:r>
      <w:r w:rsidRPr="00B9439C">
        <w:rPr>
          <w:rFonts w:ascii="Palatino Linotype" w:hAnsi="Palatino Linotype"/>
        </w:rPr>
        <w:t>(1,2)</w:t>
      </w:r>
      <w:r>
        <w:rPr>
          <w:rFonts w:ascii="Palatino Linotype" w:eastAsiaTheme="minorEastAsia" w:hAnsi="Palatino Linotype"/>
        </w:rPr>
        <w:fldChar w:fldCharType="end"/>
      </w:r>
      <w:r w:rsidRPr="00012E5E">
        <w:rPr>
          <w:rFonts w:ascii="Palatino Linotype" w:eastAsiaTheme="minorEastAsia" w:hAnsi="Palatino Linotype"/>
        </w:rPr>
        <w:t>.</w:t>
      </w:r>
    </w:p>
    <w:p w14:paraId="3DB265D3" w14:textId="77777777" w:rsidR="00741DFE" w:rsidRPr="00012E5E" w:rsidRDefault="00741DFE" w:rsidP="00741DFE">
      <w:pPr>
        <w:numPr>
          <w:ilvl w:val="0"/>
          <w:numId w:val="81"/>
        </w:numPr>
        <w:rPr>
          <w:rFonts w:ascii="Palatino Linotype" w:eastAsiaTheme="minorEastAsia" w:hAnsi="Palatino Linotype"/>
        </w:rPr>
      </w:pPr>
      <w:r w:rsidRPr="00012E5E">
        <w:rPr>
          <w:rFonts w:ascii="Palatino Linotype" w:eastAsiaTheme="minorEastAsia" w:hAnsi="Palatino Linotype"/>
          <w:b/>
          <w:bCs/>
        </w:rPr>
        <w:t>Layer-Specific Cell Density</w:t>
      </w:r>
      <w:r w:rsidRPr="00012E5E">
        <w:rPr>
          <w:rFonts w:ascii="Palatino Linotype" w:eastAsiaTheme="minorEastAsia" w:hAnsi="Palatino Linotype"/>
        </w:rPr>
        <w:t>: Parameter values were adjusted to maintain physiologically relevant cell numbers</w:t>
      </w:r>
      <w:r>
        <w:rPr>
          <w:rFonts w:ascii="Palatino Linotype" w:eastAsiaTheme="minorEastAsia" w:hAnsi="Palatino Linotype"/>
        </w:rPr>
        <w:t xml:space="preserve">, </w:t>
      </w:r>
      <w:r w:rsidRPr="002B57A7">
        <w:rPr>
          <w:rFonts w:ascii="Palatino Linotype" w:eastAsiaTheme="minorEastAsia" w:hAnsi="Palatino Linotype"/>
        </w:rPr>
        <w:t>5–7</w:t>
      </w:r>
      <w:r w:rsidRPr="00012E5E">
        <w:rPr>
          <w:rFonts w:ascii="Palatino Linotype" w:eastAsiaTheme="minorEastAsia" w:hAnsi="Palatino Linotype"/>
        </w:rPr>
        <w:t xml:space="preserve"> </w:t>
      </w:r>
      <w:r w:rsidRPr="003E45FF">
        <w:rPr>
          <w:rFonts w:ascii="Palatino Linotype" w:eastAsiaTheme="minorEastAsia" w:hAnsi="Palatino Linotype"/>
        </w:rPr>
        <w:t>layers of cells</w:t>
      </w:r>
      <w:r w:rsidRPr="00603E3D">
        <w:rPr>
          <w:rFonts w:ascii="Palatino Linotype" w:eastAsiaTheme="minorEastAsia" w:hAnsi="Palatino Linotype"/>
        </w:rPr>
        <w:t xml:space="preserve"> </w:t>
      </w:r>
      <w:r>
        <w:rPr>
          <w:rFonts w:ascii="Palatino Linotype" w:eastAsiaTheme="minorEastAsia" w:hAnsi="Palatino Linotype"/>
        </w:rPr>
        <w:fldChar w:fldCharType="begin"/>
      </w:r>
      <w:r>
        <w:rPr>
          <w:rFonts w:ascii="Palatino Linotype" w:eastAsiaTheme="minorEastAsia" w:hAnsi="Palatino Linotype"/>
        </w:rPr>
        <w:instrText xml:space="preserve"> ADDIN ZOTERO_ITEM CSL_CITATION {"citationID":"a28c3hen6bj","properties":{"formattedCitation":"(3)","plainCitation":"(3)","noteIndex":0},"citationItems":[{"id":1587,"uris":["http://zotero.org/users/10714330/items/5FQIR4DP"],"itemData":{"id":1587,"type":"article-journal","abstract":"Corneal epithelial thickness (CET) and the regional variations in response to changes in corneal architecture and biomechanics have recently drawn the interest of corneal surgeons. Corneal epithelium possesses the tremendous capability of remodeling and changing its thickness. This remodeling of corneal epithelium takes place in response to underlying stromal irregularities which can result from a variety of corneal disorders including corneal ectasia. Measurement of CET can reveal the underlying stromal abnormalities and supplement in early diagnosis of corneal disorders especially corneal ectasia which has been one of the leading challenges in planning corneal refractive surgery. A significant number of patients ends up in ectasia after refractive surgery and the most common cause of this complication is the presence of preoperative subclinical keratoconus. Furthermore, postoperative complications of corneal refractive surgery are partly masked by epithelial remodeling and make the diagnosis and management difficult and extremely challenging. This leads not only to unpredictable visual and refractive outcome but also the need of multiple interventions to treat these complications. Although corneal tomography is considered as gold standard in the detection and diagnosis of corneal ectasia, a small number of subclinical cases may still go undetected. In this review, we have highlighted the underlying mechanism of epithelial remodeling, the devices and imaging modalities used to measure CET, and application of epithelial mapping in the diagnosis and management of various corneal disorders.","container-title":"Middle East African Journal of Ophthalmology","DOI":"10.4103/meajo.meajo_207_22","ISSN":"0974-9233","issue":"3","journalAbbreviation":"Middle East Afr J Ophthalmol","note":"PMID: 37408717\nPMCID: PMC10319081","page":"147-155","source":"PubMed Central","title":"Understanding Corneal Epithelial Thickness Mapping","volume":"29","author":[{"family":"Alghamdi","given":"Abdullah"},{"family":"Khan","given":"Muhammad S."},{"family":"Dakhil","given":"Turki A."}],"issued":{"date-parts":[["2023",5,25]]}}}],"schema":"https://github.com/citation-style-language/schema/raw/master/csl-citation.json"} </w:instrText>
      </w:r>
      <w:r>
        <w:rPr>
          <w:rFonts w:ascii="Palatino Linotype" w:eastAsiaTheme="minorEastAsia" w:hAnsi="Palatino Linotype"/>
        </w:rPr>
        <w:fldChar w:fldCharType="separate"/>
      </w:r>
      <w:r w:rsidRPr="00B9439C">
        <w:rPr>
          <w:rFonts w:ascii="Palatino Linotype" w:hAnsi="Palatino Linotype"/>
        </w:rPr>
        <w:t>(3)</w:t>
      </w:r>
      <w:r>
        <w:rPr>
          <w:rFonts w:ascii="Palatino Linotype" w:eastAsiaTheme="minorEastAsia" w:hAnsi="Palatino Linotype"/>
        </w:rPr>
        <w:fldChar w:fldCharType="end"/>
      </w:r>
      <w:r w:rsidRPr="00012E5E">
        <w:rPr>
          <w:rFonts w:ascii="Palatino Linotype" w:eastAsiaTheme="minorEastAsia" w:hAnsi="Palatino Linotype"/>
        </w:rPr>
        <w:t>.</w:t>
      </w:r>
    </w:p>
    <w:p w14:paraId="7FF928E3" w14:textId="77777777" w:rsidR="00741DFE" w:rsidRPr="00012E5E" w:rsidRDefault="00741DFE" w:rsidP="00741DFE">
      <w:pPr>
        <w:numPr>
          <w:ilvl w:val="0"/>
          <w:numId w:val="81"/>
        </w:numPr>
        <w:rPr>
          <w:rFonts w:ascii="Palatino Linotype" w:eastAsiaTheme="minorEastAsia" w:hAnsi="Palatino Linotype"/>
        </w:rPr>
      </w:pPr>
      <w:r w:rsidRPr="00012E5E">
        <w:rPr>
          <w:rFonts w:ascii="Palatino Linotype" w:eastAsiaTheme="minorEastAsia" w:hAnsi="Palatino Linotype"/>
          <w:b/>
          <w:bCs/>
        </w:rPr>
        <w:lastRenderedPageBreak/>
        <w:t>Epithelial Thickness Maintenance</w:t>
      </w:r>
      <w:r w:rsidRPr="00012E5E">
        <w:rPr>
          <w:rFonts w:ascii="Palatino Linotype" w:eastAsiaTheme="minorEastAsia" w:hAnsi="Palatino Linotype"/>
        </w:rPr>
        <w:t xml:space="preserve">: We constrained our parameters to maintain stable epithelial thickness of </w:t>
      </w:r>
      <w:r w:rsidRPr="001C5C45">
        <w:rPr>
          <w:rFonts w:ascii="Palatino Linotype" w:eastAsiaTheme="minorEastAsia" w:hAnsi="Palatino Linotype"/>
        </w:rPr>
        <w:t>54 ± 5</w:t>
      </w:r>
      <w:r>
        <w:rPr>
          <w:rFonts w:ascii="Palatino Linotype" w:eastAsiaTheme="minorEastAsia" w:hAnsi="Palatino Linotype"/>
        </w:rPr>
        <w:t xml:space="preserve"> </w:t>
      </w:r>
      <w:r w:rsidRPr="00012E5E">
        <w:rPr>
          <w:rFonts w:ascii="Palatino Linotype" w:eastAsiaTheme="minorEastAsia" w:hAnsi="Palatino Linotype"/>
        </w:rPr>
        <w:t xml:space="preserve">μm over extended simulations, consistent with in vivo measurements </w:t>
      </w:r>
      <w:r>
        <w:rPr>
          <w:rFonts w:ascii="Palatino Linotype" w:eastAsiaTheme="minorEastAsia" w:hAnsi="Palatino Linotype"/>
        </w:rPr>
        <w:fldChar w:fldCharType="begin"/>
      </w:r>
      <w:r>
        <w:rPr>
          <w:rFonts w:ascii="Palatino Linotype" w:eastAsiaTheme="minorEastAsia" w:hAnsi="Palatino Linotype"/>
        </w:rPr>
        <w:instrText xml:space="preserve"> ADDIN ZOTERO_ITEM CSL_CITATION {"citationID":"usvh9KCC","properties":{"formattedCitation":"(3)","plainCitation":"(3)","noteIndex":0},"citationItems":[{"id":1587,"uris":["http://zotero.org/users/10714330/items/5FQIR4DP"],"itemData":{"id":1587,"type":"article-journal","abstract":"Corneal epithelial thickness (CET) and the regional variations in response to changes in corneal architecture and biomechanics have recently drawn the interest of corneal surgeons. Corneal epithelium possesses the tremendous capability of remodeling and changing its thickness. This remodeling of corneal epithelium takes place in response to underlying stromal irregularities which can result from a variety of corneal disorders including corneal ectasia. Measurement of CET can reveal the underlying stromal abnormalities and supplement in early diagnosis of corneal disorders especially corneal ectasia which has been one of the leading challenges in planning corneal refractive surgery. A significant number of patients ends up in ectasia after refractive surgery and the most common cause of this complication is the presence of preoperative subclinical keratoconus. Furthermore, postoperative complications of corneal refractive surgery are partly masked by epithelial remodeling and make the diagnosis and management difficult and extremely challenging. This leads not only to unpredictable visual and refractive outcome but also the need of multiple interventions to treat these complications. Although corneal tomography is considered as gold standard in the detection and diagnosis of corneal ectasia, a small number of subclinical cases may still go undetected. In this review, we have highlighted the underlying mechanism of epithelial remodeling, the devices and imaging modalities used to measure CET, and application of epithelial mapping in the diagnosis and management of various corneal disorders.","container-title":"Middle East African Journal of Ophthalmology","DOI":"10.4103/meajo.meajo_207_22","ISSN":"0974-9233","issue":"3","journalAbbreviation":"Middle East Afr J Ophthalmol","note":"PMID: 37408717\nPMCID: PMC10319081","page":"147-155","source":"PubMed Central","title":"Understanding Corneal Epithelial Thickness Mapping","volume":"29","author":[{"family":"Alghamdi","given":"Abdullah"},{"family":"Khan","given":"Muhammad S."},{"family":"Dakhil","given":"Turki A."}],"issued":{"date-parts":[["2023",5,25]]}}}],"schema":"https://github.com/citation-style-language/schema/raw/master/csl-citation.json"} </w:instrText>
      </w:r>
      <w:r>
        <w:rPr>
          <w:rFonts w:ascii="Palatino Linotype" w:eastAsiaTheme="minorEastAsia" w:hAnsi="Palatino Linotype"/>
        </w:rPr>
        <w:fldChar w:fldCharType="separate"/>
      </w:r>
      <w:r w:rsidRPr="00B9439C">
        <w:rPr>
          <w:rFonts w:ascii="Palatino Linotype" w:hAnsi="Palatino Linotype"/>
        </w:rPr>
        <w:t>(3)</w:t>
      </w:r>
      <w:r>
        <w:rPr>
          <w:rFonts w:ascii="Palatino Linotype" w:eastAsiaTheme="minorEastAsia" w:hAnsi="Palatino Linotype"/>
        </w:rPr>
        <w:fldChar w:fldCharType="end"/>
      </w:r>
      <w:r w:rsidRPr="00012E5E">
        <w:rPr>
          <w:rFonts w:ascii="Palatino Linotype" w:eastAsiaTheme="minorEastAsia" w:hAnsi="Palatino Linotype"/>
        </w:rPr>
        <w:t>.</w:t>
      </w:r>
    </w:p>
    <w:p w14:paraId="14A2997C" w14:textId="77777777" w:rsidR="00741DFE" w:rsidRDefault="00741DFE" w:rsidP="00741DFE">
      <w:pPr>
        <w:rPr>
          <w:rFonts w:ascii="Palatino Linotype" w:eastAsiaTheme="minorEastAsia" w:hAnsi="Palatino Linotype"/>
        </w:rPr>
      </w:pPr>
      <w:r w:rsidRPr="00012E5E">
        <w:rPr>
          <w:rFonts w:ascii="Palatino Linotype" w:eastAsiaTheme="minorEastAsia" w:hAnsi="Palatino Linotype"/>
        </w:rPr>
        <w:t xml:space="preserve">We performed an iterative parameter sweep, systematically varying </w:t>
      </w:r>
      <m:oMath>
        <m:sSub>
          <m:sSubPr>
            <m:ctrlPr>
              <w:rPr>
                <w:rFonts w:ascii="Cambria Math" w:hAnsi="Cambria Math"/>
                <w:bCs/>
                <w:i/>
                <w:lang w:bidi="en-US"/>
              </w:rPr>
            </m:ctrlPr>
          </m:sSubPr>
          <m:e>
            <m:sSub>
              <m:sSubPr>
                <m:ctrlPr>
                  <w:rPr>
                    <w:rFonts w:ascii="Cambria Math" w:hAnsi="Cambria Math"/>
                    <w:bCs/>
                    <w:i/>
                    <w:lang w:bidi="en-US"/>
                  </w:rPr>
                </m:ctrlPr>
              </m:sSubPr>
              <m:e>
                <m:r>
                  <w:rPr>
                    <w:rFonts w:ascii="Cambria Math" w:hAnsi="Cambria Math"/>
                    <w:lang w:bidi="en-US"/>
                  </w:rPr>
                  <m:t>k</m:t>
                </m:r>
              </m:e>
              <m:sub>
                <m:r>
                  <w:rPr>
                    <w:rFonts w:ascii="Cambria Math" w:hAnsi="Cambria Math"/>
                    <w:lang w:bidi="en-US"/>
                  </w:rPr>
                  <m:t>m</m:t>
                </m:r>
              </m:sub>
            </m:sSub>
          </m:e>
          <m:sub>
            <m:r>
              <w:rPr>
                <w:rFonts w:ascii="Cambria Math" w:hAnsi="Cambria Math"/>
                <w:lang w:bidi="en-US"/>
              </w:rPr>
              <m:t>EGF</m:t>
            </m:r>
          </m:sub>
        </m:sSub>
      </m:oMath>
      <w:r w:rsidRPr="00012E5E">
        <w:rPr>
          <w:rFonts w:ascii="Palatino Linotype" w:eastAsiaTheme="minorEastAsia" w:hAnsi="Palatino Linotype"/>
        </w:rPr>
        <w:t xml:space="preserve">  from </w:t>
      </w:r>
      <w:r>
        <w:rPr>
          <w:rFonts w:ascii="Palatino Linotype" w:eastAsiaTheme="minorEastAsia" w:hAnsi="Palatino Linotype"/>
        </w:rPr>
        <w:t>1.0</w:t>
      </w:r>
      <w:r w:rsidRPr="00012E5E">
        <w:rPr>
          <w:rFonts w:ascii="Palatino Linotype" w:eastAsiaTheme="minorEastAsia" w:hAnsi="Palatino Linotype"/>
        </w:rPr>
        <w:t xml:space="preserve"> to </w:t>
      </w:r>
      <w:r>
        <w:rPr>
          <w:rFonts w:ascii="Palatino Linotype" w:eastAsiaTheme="minorEastAsia" w:hAnsi="Palatino Linotype"/>
        </w:rPr>
        <w:t>10</w:t>
      </w:r>
      <w:r w:rsidRPr="00012E5E">
        <w:rPr>
          <w:rFonts w:ascii="Palatino Linotype" w:eastAsiaTheme="minorEastAsia" w:hAnsi="Palatino Linotype"/>
        </w:rPr>
        <w:t xml:space="preserve">.0 and </w:t>
      </w:r>
      <m:oMath>
        <m:sSub>
          <m:sSubPr>
            <m:ctrlPr>
              <w:rPr>
                <w:rFonts w:ascii="Cambria Math" w:eastAsiaTheme="minorEastAsia" w:hAnsi="Cambria Math"/>
                <w:bCs/>
                <w:i/>
              </w:rPr>
            </m:ctrlPr>
          </m:sSubPr>
          <m:e>
            <m:sSub>
              <m:sSubPr>
                <m:ctrlPr>
                  <w:rPr>
                    <w:rFonts w:ascii="Cambria Math" w:eastAsiaTheme="minorEastAsia" w:hAnsi="Cambria Math"/>
                    <w:bCs/>
                    <w:i/>
                  </w:rPr>
                </m:ctrlPr>
              </m:sSubPr>
              <m:e>
                <m:r>
                  <w:rPr>
                    <w:rFonts w:ascii="Cambria Math" w:eastAsiaTheme="minorEastAsia" w:hAnsi="Cambria Math"/>
                  </w:rPr>
                  <m:t>k</m:t>
                </m:r>
              </m:e>
              <m:sub>
                <m:r>
                  <w:rPr>
                    <w:rFonts w:ascii="Cambria Math" w:eastAsiaTheme="minorEastAsia" w:hAnsi="Cambria Math"/>
                  </w:rPr>
                  <m:t>m</m:t>
                </m:r>
              </m:sub>
            </m:sSub>
          </m:e>
          <m:sub>
            <m:r>
              <w:rPr>
                <w:rFonts w:ascii="Cambria Math" w:eastAsiaTheme="minorEastAsia" w:hAnsi="Cambria Math"/>
              </w:rPr>
              <m:t>density</m:t>
            </m:r>
          </m:sub>
        </m:sSub>
      </m:oMath>
      <w:r w:rsidRPr="00012E5E">
        <w:rPr>
          <w:rFonts w:ascii="Palatino Linotype" w:eastAsiaTheme="minorEastAsia" w:hAnsi="Palatino Linotype"/>
        </w:rPr>
        <w:t xml:space="preserve">) from </w:t>
      </w:r>
      <w:r>
        <w:rPr>
          <w:rFonts w:ascii="Palatino Linotype" w:eastAsiaTheme="minorEastAsia" w:hAnsi="Palatino Linotype"/>
        </w:rPr>
        <w:t>10.0</w:t>
      </w:r>
      <w:r w:rsidRPr="00012E5E">
        <w:rPr>
          <w:rFonts w:ascii="Palatino Linotype" w:eastAsiaTheme="minorEastAsia" w:hAnsi="Palatino Linotype"/>
        </w:rPr>
        <w:t xml:space="preserve"> to </w:t>
      </w:r>
      <w:r>
        <w:rPr>
          <w:rFonts w:ascii="Palatino Linotype" w:eastAsiaTheme="minorEastAsia" w:hAnsi="Palatino Linotype"/>
        </w:rPr>
        <w:t>20</w:t>
      </w:r>
      <w:r w:rsidRPr="00012E5E">
        <w:rPr>
          <w:rFonts w:ascii="Palatino Linotype" w:eastAsiaTheme="minorEastAsia" w:hAnsi="Palatino Linotype"/>
        </w:rPr>
        <w:t>0.0 across multiple simulation runs</w:t>
      </w:r>
      <w:r>
        <w:rPr>
          <w:rFonts w:ascii="Palatino Linotype" w:eastAsiaTheme="minorEastAsia" w:hAnsi="Palatino Linotype"/>
        </w:rPr>
        <w:t xml:space="preserve">. </w:t>
      </w:r>
      <w:r w:rsidRPr="00012E5E">
        <w:rPr>
          <w:rFonts w:ascii="Palatino Linotype" w:eastAsiaTheme="minorEastAsia" w:hAnsi="Palatino Linotype"/>
        </w:rPr>
        <w:t>The optimal values (</w:t>
      </w:r>
      <m:oMath>
        <m:sSub>
          <m:sSubPr>
            <m:ctrlPr>
              <w:rPr>
                <w:rFonts w:ascii="Cambria Math" w:hAnsi="Cambria Math"/>
                <w:bCs/>
                <w:i/>
                <w:lang w:bidi="en-US"/>
              </w:rPr>
            </m:ctrlPr>
          </m:sSubPr>
          <m:e>
            <m:sSub>
              <m:sSubPr>
                <m:ctrlPr>
                  <w:rPr>
                    <w:rFonts w:ascii="Cambria Math" w:hAnsi="Cambria Math"/>
                    <w:bCs/>
                    <w:i/>
                    <w:lang w:bidi="en-US"/>
                  </w:rPr>
                </m:ctrlPr>
              </m:sSubPr>
              <m:e>
                <m:r>
                  <w:rPr>
                    <w:rFonts w:ascii="Cambria Math" w:hAnsi="Cambria Math"/>
                    <w:lang w:bidi="en-US"/>
                  </w:rPr>
                  <m:t>k</m:t>
                </m:r>
              </m:e>
              <m:sub>
                <m:r>
                  <w:rPr>
                    <w:rFonts w:ascii="Cambria Math" w:hAnsi="Cambria Math"/>
                    <w:lang w:bidi="en-US"/>
                  </w:rPr>
                  <m:t>m</m:t>
                </m:r>
              </m:sub>
            </m:sSub>
          </m:e>
          <m:sub>
            <m:r>
              <w:rPr>
                <w:rFonts w:ascii="Cambria Math" w:hAnsi="Cambria Math"/>
                <w:lang w:bidi="en-US"/>
              </w:rPr>
              <m:t>EGF, stem</m:t>
            </m:r>
          </m:sub>
        </m:sSub>
        <m:r>
          <m:rPr>
            <m:sty m:val="p"/>
          </m:rPr>
          <w:rPr>
            <w:rFonts w:ascii="Cambria Math" w:eastAsiaTheme="minorEastAsia" w:hAnsi="Cambria Math"/>
          </w:rPr>
          <m:t>= 3.5</m:t>
        </m:r>
      </m:oMath>
      <w:r>
        <w:rPr>
          <w:rFonts w:ascii="Palatino Linotype" w:eastAsiaTheme="minorEastAsia" w:hAnsi="Palatino Linotype"/>
        </w:rPr>
        <w:t xml:space="preserve">, </w:t>
      </w:r>
      <m:oMath>
        <m:sSub>
          <m:sSubPr>
            <m:ctrlPr>
              <w:rPr>
                <w:rFonts w:ascii="Cambria Math" w:hAnsi="Cambria Math"/>
                <w:bCs/>
                <w:i/>
                <w:lang w:bidi="en-US"/>
              </w:rPr>
            </m:ctrlPr>
          </m:sSubPr>
          <m:e>
            <m:sSub>
              <m:sSubPr>
                <m:ctrlPr>
                  <w:rPr>
                    <w:rFonts w:ascii="Cambria Math" w:hAnsi="Cambria Math"/>
                    <w:bCs/>
                    <w:i/>
                    <w:lang w:bidi="en-US"/>
                  </w:rPr>
                </m:ctrlPr>
              </m:sSubPr>
              <m:e>
                <m:r>
                  <w:rPr>
                    <w:rFonts w:ascii="Cambria Math" w:hAnsi="Cambria Math"/>
                    <w:lang w:bidi="en-US"/>
                  </w:rPr>
                  <m:t>k</m:t>
                </m:r>
              </m:e>
              <m:sub>
                <m:r>
                  <w:rPr>
                    <w:rFonts w:ascii="Cambria Math" w:hAnsi="Cambria Math"/>
                    <w:lang w:bidi="en-US"/>
                  </w:rPr>
                  <m:t>m</m:t>
                </m:r>
              </m:sub>
            </m:sSub>
          </m:e>
          <m:sub>
            <m:r>
              <w:rPr>
                <w:rFonts w:ascii="Cambria Math" w:hAnsi="Cambria Math"/>
                <w:lang w:bidi="en-US"/>
              </w:rPr>
              <m:t>EGF, basal</m:t>
            </m:r>
          </m:sub>
        </m:sSub>
        <m:r>
          <m:rPr>
            <m:sty m:val="p"/>
          </m:rPr>
          <w:rPr>
            <w:rFonts w:ascii="Cambria Math" w:eastAsiaTheme="minorEastAsia" w:hAnsi="Cambria Math"/>
          </w:rPr>
          <m:t xml:space="preserve">= 7.0  </m:t>
        </m:r>
      </m:oMath>
      <w:r w:rsidRPr="00012E5E">
        <w:rPr>
          <w:rFonts w:ascii="Palatino Linotype" w:eastAsiaTheme="minorEastAsia" w:hAnsi="Palatino Linotype"/>
        </w:rPr>
        <w:t xml:space="preserve"> and </w:t>
      </w:r>
      <m:oMath>
        <m:sSub>
          <m:sSubPr>
            <m:ctrlPr>
              <w:rPr>
                <w:rFonts w:ascii="Cambria Math" w:eastAsiaTheme="minorEastAsia" w:hAnsi="Cambria Math"/>
                <w:bCs/>
                <w:i/>
              </w:rPr>
            </m:ctrlPr>
          </m:sSubPr>
          <m:e>
            <m:sSub>
              <m:sSubPr>
                <m:ctrlPr>
                  <w:rPr>
                    <w:rFonts w:ascii="Cambria Math" w:eastAsiaTheme="minorEastAsia" w:hAnsi="Cambria Math"/>
                    <w:bCs/>
                    <w:i/>
                  </w:rPr>
                </m:ctrlPr>
              </m:sSubPr>
              <m:e>
                <m:r>
                  <w:rPr>
                    <w:rFonts w:ascii="Cambria Math" w:eastAsiaTheme="minorEastAsia" w:hAnsi="Cambria Math"/>
                  </w:rPr>
                  <m:t>k</m:t>
                </m:r>
              </m:e>
              <m:sub>
                <m:r>
                  <w:rPr>
                    <w:rFonts w:ascii="Cambria Math" w:eastAsiaTheme="minorEastAsia" w:hAnsi="Cambria Math"/>
                  </w:rPr>
                  <m:t>m</m:t>
                </m:r>
              </m:sub>
            </m:sSub>
          </m:e>
          <m:sub>
            <m:r>
              <w:rPr>
                <w:rFonts w:ascii="Cambria Math" w:eastAsiaTheme="minorEastAsia" w:hAnsi="Cambria Math"/>
              </w:rPr>
              <m:t>density</m:t>
            </m:r>
          </m:sub>
        </m:sSub>
      </m:oMath>
      <w:r w:rsidRPr="00012E5E">
        <w:rPr>
          <w:rFonts w:ascii="Palatino Linotype" w:eastAsiaTheme="minorEastAsia" w:hAnsi="Palatino Linotype"/>
        </w:rPr>
        <w:t xml:space="preserve"> = </w:t>
      </w:r>
      <w:r>
        <w:rPr>
          <w:rFonts w:ascii="Palatino Linotype" w:eastAsiaTheme="minorEastAsia" w:hAnsi="Palatino Linotype"/>
        </w:rPr>
        <w:t>125.0 for both</w:t>
      </w:r>
      <w:r w:rsidRPr="00012E5E">
        <w:rPr>
          <w:rFonts w:ascii="Palatino Linotype" w:eastAsiaTheme="minorEastAsia" w:hAnsi="Palatino Linotype"/>
        </w:rPr>
        <w:t xml:space="preserve">) produced the closest match to all three biological constraints simultaneously. </w:t>
      </w:r>
    </w:p>
    <w:p w14:paraId="3CE6D7D4" w14:textId="77777777" w:rsidR="00741DFE" w:rsidRPr="00012E5E" w:rsidRDefault="00741DFE" w:rsidP="00741DFE">
      <w:pPr>
        <w:rPr>
          <w:rFonts w:ascii="Palatino Linotype" w:eastAsiaTheme="minorEastAsia" w:hAnsi="Palatino Linotype"/>
        </w:rPr>
      </w:pPr>
      <w:r w:rsidRPr="00A81C13">
        <w:rPr>
          <w:rFonts w:ascii="Palatino Linotype" w:eastAsiaTheme="minorEastAsia" w:hAnsi="Palatino Linotype"/>
        </w:rPr>
        <w:t xml:space="preserve">Throughout this work we fixed the Hill exponent </w:t>
      </w:r>
      <m:oMath>
        <m:r>
          <w:rPr>
            <w:rFonts w:ascii="Cambria Math" w:eastAsiaTheme="minorEastAsia" w:hAnsi="Cambria Math"/>
          </w:rPr>
          <m:t>n=4</m:t>
        </m:r>
      </m:oMath>
      <w:r w:rsidRPr="00A81C13">
        <w:rPr>
          <w:rFonts w:ascii="Palatino Linotype" w:eastAsiaTheme="minorEastAsia" w:hAnsi="Palatino Linotype"/>
        </w:rPr>
        <w:t>for both the EGF-dependent growth term and the density-dependent inhibition term. This choice is motivated by experimental reports that multi-step MAPK/ERK signaling cascades convert graded inputs into ultrasensitive outputs with effective Hill coefficients of approximately 4–5</w:t>
      </w:r>
      <w:r>
        <w:rPr>
          <w:rFonts w:ascii="Palatino Linotype" w:eastAsiaTheme="minorEastAsia" w:hAnsi="Palatino Linotype"/>
        </w:rPr>
        <w:t xml:space="preserve"> </w:t>
      </w:r>
      <w:r>
        <w:rPr>
          <w:rFonts w:ascii="Palatino Linotype" w:eastAsiaTheme="minorEastAsia" w:hAnsi="Palatino Linotype"/>
        </w:rPr>
        <w:fldChar w:fldCharType="begin"/>
      </w:r>
      <w:r>
        <w:rPr>
          <w:rFonts w:ascii="Palatino Linotype" w:eastAsiaTheme="minorEastAsia" w:hAnsi="Palatino Linotype"/>
        </w:rPr>
        <w:instrText xml:space="preserve"> ADDIN ZOTERO_ITEM CSL_CITATION {"citationID":"w8GhIgV9","properties":{"formattedCitation":"(4)","plainCitation":"(4)","noteIndex":0},"citationItems":[{"id":1703,"uris":["http://zotero.org/users/10714330/items/9DZ573I2"],"itemData":{"id":1703,"type":"article-journal","abstract":"The mitogen-activated protein kinase (MAPK) cascade is a highly conserved series of three protein kinases implicated in diverse biological processes. Here we demonstrate that the cascade arrangement has unexpected consequences for the dynamics of MAPK signaling. We solved the rate equations for the cascade numerically and found that MAPK is predicted to behave like a highly cooperative enzyme, even though it was not assumed that any of the enzymes in the cascade were regulated cooperatively. Measurements of MAPK activation in Xenopus oocyte extracts confirmed this prediction. The stimulus/response curve of the MAPK was found to be as steep as that of a cooperative enzyme with a Hill coefficient of 4-5, well in excess of that of the classical allosteric protein hemoglobin. The shape of the MAPK stimulus/ response curve may make the cascade particularly appropriate for mediating processes like mitogenesis, cell fate induction, and oocyte maturation, where a cell switches from one discrete state to another.","container-title":"Proceedings of the National Academy of Sciences","DOI":"10.1073/pnas.93.19.10078","issue":"19","note":"publisher: Proceedings of the National Academy of Sciences","page":"10078-10083","source":"pnas.org (Atypon)","title":"Ultrasensitivity in the mitogen-activated protein kinase cascade.","volume":"93","author":[{"family":"Huang","given":"C Y"},{"family":"Ferrell","given":"J E"}],"issued":{"date-parts":[["1996",9,17]]}}}],"schema":"https://github.com/citation-style-language/schema/raw/master/csl-citation.json"} </w:instrText>
      </w:r>
      <w:r>
        <w:rPr>
          <w:rFonts w:ascii="Palatino Linotype" w:eastAsiaTheme="minorEastAsia" w:hAnsi="Palatino Linotype"/>
        </w:rPr>
        <w:fldChar w:fldCharType="separate"/>
      </w:r>
      <w:r w:rsidRPr="00A81C13">
        <w:rPr>
          <w:rFonts w:ascii="Palatino Linotype" w:hAnsi="Palatino Linotype"/>
        </w:rPr>
        <w:t>(4)</w:t>
      </w:r>
      <w:r>
        <w:rPr>
          <w:rFonts w:ascii="Palatino Linotype" w:eastAsiaTheme="minorEastAsia" w:hAnsi="Palatino Linotype"/>
        </w:rPr>
        <w:fldChar w:fldCharType="end"/>
      </w:r>
      <w:r w:rsidRPr="00A81C13">
        <w:rPr>
          <w:rFonts w:ascii="Palatino Linotype" w:eastAsiaTheme="minorEastAsia" w:hAnsi="Palatino Linotype"/>
        </w:rPr>
        <w:t>, and by quantitative measurements of contact inhibition in epithelial monolayers, where the dependence of mitotic rate on local cell density is well fit by a Hill function with exponent close to 4</w:t>
      </w:r>
      <w:r>
        <w:rPr>
          <w:rFonts w:ascii="Palatino Linotype" w:eastAsiaTheme="minorEastAsia" w:hAnsi="Palatino Linotype"/>
        </w:rPr>
        <w:t xml:space="preserve"> </w:t>
      </w:r>
      <w:r>
        <w:rPr>
          <w:rFonts w:ascii="Palatino Linotype" w:eastAsiaTheme="minorEastAsia" w:hAnsi="Palatino Linotype"/>
        </w:rPr>
        <w:fldChar w:fldCharType="begin"/>
      </w:r>
      <w:r>
        <w:rPr>
          <w:rFonts w:ascii="Palatino Linotype" w:eastAsiaTheme="minorEastAsia" w:hAnsi="Palatino Linotype"/>
        </w:rPr>
        <w:instrText xml:space="preserve"> ADDIN ZOTERO_ITEM CSL_CITATION {"citationID":"h8Qdj2Rn","properties":{"formattedCitation":"(5)","plainCitation":"(5)","noteIndex":0},"citationItems":[{"id":1705,"uris":["http://zotero.org/users/10714330/items/MJRUC8TG"],"itemData":{"id":1705,"type":"article-journal","abstract":"Control of cell proliferation is a fundamental aspect of tissue physiology central to morphogenesis, wound healing, and cancer. Although many of the molecular genetic factors are now known, the system level regulation of growth is still poorly understood. A simple form of inhibition of cell proliferation is encountered in vitro in normally differentiating epithelial cell cultures and is known as “contact inhibition.” The study presented here provides a quantitative characterization of contact inhibition dynamics on tissue-wide and single cell levels. Using long-term tracking of cultured Madin-Darby canine kidney cells we demonstrate that inhibition of cell division in a confluent monolayer follows inhibition of cell motility and sets in when mechanical constraint on local expansion causes divisions to reduce cell area. We quantify cell motility and cell cycle statistics in the low density confluent regime and their change across the transition to epithelial morphology which occurs with increasing cell density. We then study the dynamics of cell area distribution arising through reductive division, determine the average mitotic rate as a function of cell size, and demonstrate that complete arrest of mitosis occurs when cell area falls below a critical value. We also present a simple computational model of growth mechanics which captures all aspects of the observed behavior. Our measurements and analysis show that contact inhibition is a consequence of mechanical interaction and constraint rather than interfacial contact alone, and define quantitative phenotypes that can guide future studies of molecular mechanisms underlying contact inhibition.","container-title":"Proceedings of the National Academy of Sciences","DOI":"10.1073/pnas.1007809109","issue":"3","note":"publisher: Proceedings of the National Academy of Sciences","page":"739-744","source":"pnas.org (Atypon)","title":"Collective and single cell behavior in epithelial contact inhibition","volume":"109","author":[{"family":"Puliafito","given":"Alberto"},{"family":"Hufnagel","given":"Lars"},{"family":"Neveu","given":"Pierre"},{"family":"Streichan","given":"Sebastian"},{"family":"Sigal","given":"Alex"},{"family":"Fygenson","given":"D. Kuchnir"},{"family":"Shraiman","given":"Boris I."}],"issued":{"date-parts":[["2012",1,17]]}}}],"schema":"https://github.com/citation-style-language/schema/raw/master/csl-citation.json"} </w:instrText>
      </w:r>
      <w:r>
        <w:rPr>
          <w:rFonts w:ascii="Palatino Linotype" w:eastAsiaTheme="minorEastAsia" w:hAnsi="Palatino Linotype"/>
        </w:rPr>
        <w:fldChar w:fldCharType="separate"/>
      </w:r>
      <w:r w:rsidRPr="00A81C13">
        <w:rPr>
          <w:rFonts w:ascii="Palatino Linotype" w:hAnsi="Palatino Linotype"/>
        </w:rPr>
        <w:t>(5)</w:t>
      </w:r>
      <w:r>
        <w:rPr>
          <w:rFonts w:ascii="Palatino Linotype" w:eastAsiaTheme="minorEastAsia" w:hAnsi="Palatino Linotype"/>
        </w:rPr>
        <w:fldChar w:fldCharType="end"/>
      </w:r>
      <w:r w:rsidRPr="00A81C13">
        <w:rPr>
          <w:rFonts w:ascii="Palatino Linotype" w:eastAsiaTheme="minorEastAsia" w:hAnsi="Palatino Linotype"/>
        </w:rPr>
        <w:t>. In exploratory simulations we tested smaller exponents (</w:t>
      </w:r>
      <m:oMath>
        <m:r>
          <w:rPr>
            <w:rFonts w:ascii="Cambria Math" w:eastAsiaTheme="minorEastAsia" w:hAnsi="Cambria Math"/>
          </w:rPr>
          <m:t>n=1</m:t>
        </m:r>
      </m:oMath>
      <w:r w:rsidRPr="00A81C13">
        <w:rPr>
          <w:rFonts w:ascii="Palatino Linotype" w:eastAsiaTheme="minorEastAsia" w:hAnsi="Palatino Linotype"/>
        </w:rPr>
        <w:t xml:space="preserve">–2) and found that they produced graded, “leaky” proliferation, which either prevented the establishment of a stable homeostatic epithelium or led to unrealistic thickening. Fixing </w:t>
      </w:r>
      <m:oMath>
        <m:r>
          <w:rPr>
            <w:rFonts w:ascii="Cambria Math" w:eastAsiaTheme="minorEastAsia" w:hAnsi="Cambria Math"/>
          </w:rPr>
          <m:t>n=4</m:t>
        </m:r>
      </m:oMath>
      <w:r>
        <w:rPr>
          <w:rFonts w:ascii="Palatino Linotype" w:eastAsiaTheme="minorEastAsia" w:hAnsi="Palatino Linotype"/>
        </w:rPr>
        <w:t xml:space="preserve"> </w:t>
      </w:r>
      <w:r w:rsidRPr="00A81C13">
        <w:rPr>
          <w:rFonts w:ascii="Palatino Linotype" w:eastAsiaTheme="minorEastAsia" w:hAnsi="Palatino Linotype"/>
        </w:rPr>
        <w:t>provided sufficiently sharp switching to satisfy the three biological constraints described above with a single parameter set.</w:t>
      </w:r>
    </w:p>
    <w:p w14:paraId="7EF2B92D" w14:textId="77777777" w:rsidR="00741DFE" w:rsidRPr="00BC20C8" w:rsidRDefault="00741DFE" w:rsidP="00741DFE">
      <w:pPr>
        <w:rPr>
          <w:rFonts w:ascii="Palatino Linotype" w:eastAsiaTheme="minorEastAsia" w:hAnsi="Palatino Linotype"/>
        </w:rPr>
      </w:pPr>
    </w:p>
    <w:p w14:paraId="40B6F965" w14:textId="77777777" w:rsidR="00741DFE" w:rsidRPr="00DC3151" w:rsidRDefault="00741DFE" w:rsidP="00741DFE">
      <w:pPr>
        <w:pStyle w:val="Heading2"/>
        <w:rPr>
          <w:rFonts w:ascii="Palatino Linotype" w:hAnsi="Palatino Linotype"/>
        </w:rPr>
      </w:pPr>
      <w:r>
        <w:rPr>
          <w:rFonts w:ascii="Palatino Linotype" w:hAnsi="Palatino Linotype"/>
        </w:rPr>
        <w:t>S1</w:t>
      </w:r>
      <w:r w:rsidRPr="00DC3151">
        <w:rPr>
          <w:rFonts w:ascii="Palatino Linotype" w:hAnsi="Palatino Linotype"/>
        </w:rPr>
        <w:t>.</w:t>
      </w:r>
      <w:r>
        <w:rPr>
          <w:rFonts w:ascii="Palatino Linotype" w:hAnsi="Palatino Linotype"/>
        </w:rPr>
        <w:t>6</w:t>
      </w:r>
      <w:r w:rsidRPr="00DC3151">
        <w:rPr>
          <w:rFonts w:ascii="Palatino Linotype" w:hAnsi="Palatino Linotype"/>
        </w:rPr>
        <w:t xml:space="preserve"> Mitosis Rule</w:t>
      </w:r>
    </w:p>
    <w:p w14:paraId="468A6FE2" w14:textId="77777777" w:rsidR="00741DFE" w:rsidRDefault="00741DFE" w:rsidP="00741DFE">
      <w:pPr>
        <w:rPr>
          <w:rFonts w:ascii="Palatino Linotype" w:eastAsiaTheme="minorEastAsia" w:hAnsi="Palatino Linotype"/>
        </w:rPr>
      </w:pPr>
      <w:r w:rsidRPr="00A85107">
        <w:rPr>
          <w:rFonts w:ascii="Palatino Linotype" w:eastAsiaTheme="minorEastAsia" w:hAnsi="Palatino Linotype"/>
        </w:rPr>
        <w:t>Mitosis in our model is governed by a volume-threshold mechanism that initiates cell division once a cell accumulates sufficient biomass.</w:t>
      </w:r>
    </w:p>
    <w:p w14:paraId="47F302EC" w14:textId="77777777" w:rsidR="00741DFE" w:rsidRDefault="00741DFE" w:rsidP="00741DFE">
      <w:pPr>
        <w:rPr>
          <w:rFonts w:ascii="Palatino Linotype" w:eastAsiaTheme="minorEastAsia" w:hAnsi="Palatino Linotype"/>
        </w:rPr>
      </w:pPr>
      <w:r w:rsidRPr="00C93805">
        <w:rPr>
          <w:rFonts w:ascii="Palatino Linotype" w:eastAsiaTheme="minorEastAsia" w:hAnsi="Palatino Linotype"/>
        </w:rPr>
        <w:t xml:space="preserve">Formally, for any proliferative cell </w:t>
      </w:r>
      <w:proofErr w:type="spellStart"/>
      <w:r w:rsidRPr="00C93805">
        <w:rPr>
          <w:rFonts w:ascii="Palatino Linotype" w:eastAsiaTheme="minorEastAsia" w:hAnsi="Palatino Linotype"/>
          <w:i/>
          <w:iCs/>
        </w:rPr>
        <w:t>i</w:t>
      </w:r>
      <w:proofErr w:type="spellEnd"/>
      <w:r w:rsidRPr="00C93805">
        <w:rPr>
          <w:rFonts w:ascii="Palatino Linotype" w:eastAsiaTheme="minorEastAsia" w:hAnsi="Palatino Linotype"/>
        </w:rPr>
        <w:t xml:space="preserve"> (stem or basal), division occurs when</w:t>
      </w:r>
      <w:r>
        <w:rPr>
          <w:rFonts w:ascii="Palatino Linotype" w:eastAsiaTheme="minorEastAsia" w:hAnsi="Palatino Linotype"/>
        </w:rPr>
        <w:t>:</w:t>
      </w:r>
    </w:p>
    <w:p w14:paraId="50C3FF0F" w14:textId="77777777" w:rsidR="00741DFE" w:rsidRPr="00420C21" w:rsidRDefault="00000000" w:rsidP="00741DFE">
      <w:pPr>
        <w:rPr>
          <w:rFonts w:ascii="Palatino Linotype" w:eastAsiaTheme="minorEastAsia" w:hAnsi="Palatino Linotype"/>
        </w:rPr>
      </w:pPr>
      <m:oMathPara>
        <m:oMath>
          <m:eqArr>
            <m:eqArrPr>
              <m:maxDist m:val="1"/>
              <m:ctrlPr>
                <w:rPr>
                  <w:rFonts w:ascii="Cambria Math" w:eastAsiaTheme="minorEastAsia" w:hAnsi="Cambria Math"/>
                  <w:i/>
                  <w:iCs/>
                </w:rPr>
              </m:ctrlPr>
            </m:eqArrPr>
            <m:e>
              <w:bookmarkStart w:id="7" w:name="E9"/>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divide</m:t>
                  </m:r>
                </m:sub>
              </m:sSub>
              <m:r>
                <w:rPr>
                  <w:rFonts w:ascii="Cambria Math" w:hAnsi="Cambria Math"/>
                </w:rPr>
                <m:t>=</m:t>
              </m:r>
              <m:d>
                <m:dPr>
                  <m:begChr m:val="{"/>
                  <m:endChr m:val=""/>
                  <m:ctrlPr>
                    <w:rPr>
                      <w:rFonts w:ascii="Cambria Math" w:eastAsiaTheme="minorEastAsia" w:hAnsi="Cambria Math"/>
                      <w:iCs/>
                    </w:rPr>
                  </m:ctrlPr>
                </m:dPr>
                <m:e>
                  <m:m>
                    <m:mPr>
                      <m:mcs>
                        <m:mc>
                          <m:mcPr>
                            <m:count m:val="2"/>
                            <m:mcJc m:val="center"/>
                          </m:mcPr>
                        </m:mc>
                      </m:mcs>
                      <m:ctrlPr>
                        <w:rPr>
                          <w:rFonts w:ascii="Cambria Math" w:eastAsiaTheme="minorEastAsia" w:hAnsi="Cambria Math"/>
                          <w:iCs/>
                        </w:rPr>
                      </m:ctrlPr>
                    </m:mPr>
                    <m:mr>
                      <m:e>
                        <m:r>
                          <w:rPr>
                            <w:rFonts w:ascii="Cambria Math" w:eastAsiaTheme="minorEastAsia" w:hAnsi="Cambria Math"/>
                          </w:rPr>
                          <m:t>1,</m:t>
                        </m:r>
                        <m:ctrlPr>
                          <w:rPr>
                            <w:rFonts w:ascii="Cambria Math" w:eastAsiaTheme="minorEastAsia" w:hAnsi="Cambria Math"/>
                            <w:i/>
                            <w:iCs/>
                          </w:rPr>
                        </m:ctrlPr>
                      </m:e>
                      <m:e>
                        <m:sSub>
                          <m:sSubPr>
                            <m:ctrlPr>
                              <w:rPr>
                                <w:rFonts w:ascii="Cambria Math" w:hAnsi="Cambria Math"/>
                                <w:bCs/>
                                <w:i/>
                                <w:lang w:bidi="en-US"/>
                              </w:rPr>
                            </m:ctrlPr>
                          </m:sSubPr>
                          <m:e>
                            <m:r>
                              <w:rPr>
                                <w:rFonts w:ascii="Cambria Math" w:hAnsi="Cambria Math"/>
                                <w:lang w:bidi="en-US"/>
                              </w:rPr>
                              <m:t>V</m:t>
                            </m:r>
                          </m:e>
                          <m:sub>
                            <m:r>
                              <w:rPr>
                                <w:rFonts w:ascii="Cambria Math" w:hAnsi="Cambria Math"/>
                                <w:lang w:bidi="en-US"/>
                              </w:rPr>
                              <m:t>i</m:t>
                            </m:r>
                          </m:sub>
                        </m:sSub>
                        <m:r>
                          <w:rPr>
                            <w:rFonts w:ascii="Cambria Math" w:hAnsi="Cambria Math"/>
                            <w:lang w:bidi="en-US"/>
                          </w:rPr>
                          <m:t xml:space="preserve">&gt; </m:t>
                        </m:r>
                        <m:sSub>
                          <m:sSubPr>
                            <m:ctrlPr>
                              <w:rPr>
                                <w:rFonts w:ascii="Cambria Math" w:hAnsi="Cambria Math"/>
                                <w:i/>
                                <w:iCs/>
                                <w:lang w:bidi="en-US"/>
                              </w:rPr>
                            </m:ctrlPr>
                          </m:sSubPr>
                          <m:e>
                            <m:r>
                              <w:rPr>
                                <w:rFonts w:ascii="Cambria Math" w:hAnsi="Cambria Math"/>
                                <w:lang w:bidi="en-US"/>
                              </w:rPr>
                              <m:t>ω</m:t>
                            </m:r>
                          </m:e>
                          <m:sub>
                            <m:r>
                              <w:rPr>
                                <w:rFonts w:ascii="Cambria Math" w:hAnsi="Cambria Math"/>
                                <w:lang w:bidi="en-US"/>
                              </w:rPr>
                              <m:t>v,i</m:t>
                            </m:r>
                          </m:sub>
                        </m:sSub>
                        <m:r>
                          <w:rPr>
                            <w:rFonts w:ascii="Cambria Math" w:hAnsi="Cambria Math"/>
                          </w:rPr>
                          <m:t xml:space="preserve"> </m:t>
                        </m:r>
                        <m:ctrlPr>
                          <w:rPr>
                            <w:rFonts w:ascii="Cambria Math" w:eastAsiaTheme="minorEastAsia" w:hAnsi="Cambria Math"/>
                            <w:i/>
                            <w:iCs/>
                          </w:rPr>
                        </m:ctrlPr>
                      </m:e>
                    </m:mr>
                    <m:mr>
                      <m:e>
                        <m:r>
                          <w:rPr>
                            <w:rFonts w:ascii="Cambria Math" w:eastAsiaTheme="minorEastAsia" w:hAnsi="Cambria Math"/>
                          </w:rPr>
                          <m:t>0,</m:t>
                        </m:r>
                        <m:ctrlPr>
                          <w:rPr>
                            <w:rFonts w:ascii="Cambria Math" w:eastAsiaTheme="minorEastAsia" w:hAnsi="Cambria Math"/>
                            <w:i/>
                            <w:iCs/>
                          </w:rPr>
                        </m:ctrlPr>
                      </m:e>
                      <m:e>
                        <m:r>
                          <m:rPr>
                            <m:sty m:val="p"/>
                          </m:rPr>
                          <w:rPr>
                            <w:rFonts w:ascii="Cambria Math" w:hAnsi="Cambria Math"/>
                          </w:rPr>
                          <m:t>otherwise</m:t>
                        </m:r>
                        <m:ctrlPr>
                          <w:rPr>
                            <w:rFonts w:ascii="Cambria Math" w:eastAsiaTheme="minorEastAsia" w:hAnsi="Cambria Math"/>
                            <w:i/>
                            <w:iCs/>
                          </w:rPr>
                        </m:ctrlPr>
                      </m:e>
                    </m:mr>
                  </m:m>
                  <m:r>
                    <w:rPr>
                      <w:rFonts w:ascii="Cambria Math" w:hAnsi="Cambria Math"/>
                      <w:lang w:bidi="en-US"/>
                    </w:rPr>
                    <m:t xml:space="preserve"> </m:t>
                  </m:r>
                </m:e>
              </m:d>
              <w:bookmarkEnd w:id="7"/>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S9</m:t>
                  </m:r>
                </m:e>
              </m:d>
              <m:ctrlPr>
                <w:rPr>
                  <w:rFonts w:ascii="Cambria Math" w:eastAsiaTheme="minorEastAsia" w:hAnsi="Cambria Math"/>
                  <w:i/>
                </w:rPr>
              </m:ctrlPr>
            </m:e>
          </m:eqArr>
        </m:oMath>
      </m:oMathPara>
    </w:p>
    <w:p w14:paraId="0A1CCECD" w14:textId="77777777" w:rsidR="00741DFE" w:rsidRPr="00FE6B9B" w:rsidRDefault="00741DFE" w:rsidP="00741DFE">
      <w:pPr>
        <w:rPr>
          <w:rFonts w:ascii="Palatino Linotype" w:eastAsiaTheme="minorEastAsia" w:hAnsi="Palatino Linotype"/>
        </w:rPr>
      </w:pPr>
      <w:r w:rsidRPr="00FE6B9B">
        <w:rPr>
          <w:rFonts w:ascii="Palatino Linotype" w:eastAsiaTheme="minorEastAsia" w:hAnsi="Palatino Linotype"/>
        </w:rPr>
        <w:t xml:space="preserve">where </w:t>
      </w:r>
      <m:oMath>
        <m:sSub>
          <m:sSubPr>
            <m:ctrlPr>
              <w:rPr>
                <w:rFonts w:ascii="Cambria Math" w:hAnsi="Cambria Math"/>
                <w:bCs/>
                <w:i/>
                <w:lang w:bidi="en-US"/>
              </w:rPr>
            </m:ctrlPr>
          </m:sSubPr>
          <m:e>
            <m:r>
              <w:rPr>
                <w:rFonts w:ascii="Cambria Math" w:hAnsi="Cambria Math"/>
                <w:lang w:bidi="en-US"/>
              </w:rPr>
              <m:t>V</m:t>
            </m:r>
          </m:e>
          <m:sub>
            <m:r>
              <w:rPr>
                <w:rFonts w:ascii="Cambria Math" w:hAnsi="Cambria Math"/>
                <w:lang w:bidi="en-US"/>
              </w:rPr>
              <m:t>i</m:t>
            </m:r>
          </m:sub>
        </m:sSub>
      </m:oMath>
      <w:r w:rsidRPr="00FE6B9B">
        <w:rPr>
          <w:rFonts w:ascii="Palatino Linotype" w:eastAsiaTheme="minorEastAsia" w:hAnsi="Palatino Linotype"/>
        </w:rPr>
        <w:t>​ represents the current volume of cell, and</w:t>
      </w:r>
      <m:oMath>
        <m:sSub>
          <m:sSubPr>
            <m:ctrlPr>
              <w:rPr>
                <w:rFonts w:ascii="Cambria Math" w:hAnsi="Cambria Math"/>
                <w:i/>
                <w:iCs/>
                <w:lang w:bidi="en-US"/>
              </w:rPr>
            </m:ctrlPr>
          </m:sSubPr>
          <m:e>
            <m:r>
              <w:rPr>
                <w:rFonts w:ascii="Cambria Math" w:hAnsi="Cambria Math"/>
                <w:lang w:bidi="en-US"/>
              </w:rPr>
              <m:t>ω</m:t>
            </m:r>
          </m:e>
          <m:sub>
            <m:r>
              <w:rPr>
                <w:rFonts w:ascii="Cambria Math" w:hAnsi="Cambria Math"/>
                <w:lang w:bidi="en-US"/>
              </w:rPr>
              <m:t>v,i</m:t>
            </m:r>
          </m:sub>
        </m:sSub>
      </m:oMath>
      <w:r w:rsidRPr="00FE6B9B">
        <w:rPr>
          <w:rFonts w:ascii="Palatino Linotype" w:eastAsiaTheme="minorEastAsia" w:hAnsi="Palatino Linotype"/>
        </w:rPr>
        <w:t xml:space="preserve"> is the cell type-specific volume threshold for division. </w:t>
      </w:r>
      <w:r>
        <w:rPr>
          <w:rFonts w:ascii="Palatino Linotype" w:eastAsiaTheme="minorEastAsia" w:hAnsi="Palatino Linotype"/>
        </w:rPr>
        <w:t>W</w:t>
      </w:r>
      <w:r w:rsidRPr="00FE6B9B">
        <w:rPr>
          <w:rFonts w:ascii="Palatino Linotype" w:eastAsiaTheme="minorEastAsia" w:hAnsi="Palatino Linotype"/>
        </w:rPr>
        <w:t xml:space="preserve">e set </w:t>
      </w:r>
      <m:oMath>
        <m:sSub>
          <m:sSubPr>
            <m:ctrlPr>
              <w:rPr>
                <w:rFonts w:ascii="Cambria Math" w:hAnsi="Cambria Math"/>
                <w:i/>
                <w:iCs/>
                <w:lang w:bidi="en-US"/>
              </w:rPr>
            </m:ctrlPr>
          </m:sSubPr>
          <m:e>
            <m:r>
              <w:rPr>
                <w:rFonts w:ascii="Cambria Math" w:hAnsi="Cambria Math"/>
                <w:lang w:bidi="en-US"/>
              </w:rPr>
              <m:t>ω</m:t>
            </m:r>
          </m:e>
          <m:sub>
            <m:r>
              <w:rPr>
                <w:rFonts w:ascii="Cambria Math" w:hAnsi="Cambria Math"/>
                <w:lang w:bidi="en-US"/>
              </w:rPr>
              <m:t>v,i</m:t>
            </m:r>
          </m:sub>
        </m:sSub>
        <m:r>
          <w:rPr>
            <w:rFonts w:ascii="Cambria Math" w:hAnsi="Cambria Math"/>
            <w:lang w:bidi="en-US"/>
          </w:rPr>
          <m:t>=2</m:t>
        </m:r>
        <m:sSub>
          <m:sSubPr>
            <m:ctrlPr>
              <w:rPr>
                <w:rFonts w:ascii="Cambria Math" w:hAnsi="Cambria Math"/>
                <w:i/>
                <w:iCs/>
                <w:lang w:bidi="en-US"/>
              </w:rPr>
            </m:ctrlPr>
          </m:sSubPr>
          <m:e>
            <m:r>
              <w:rPr>
                <w:rFonts w:ascii="Cambria Math" w:hAnsi="Cambria Math"/>
                <w:lang w:bidi="en-US"/>
              </w:rPr>
              <m:t>V</m:t>
            </m:r>
          </m:e>
          <m:sub>
            <m:sSub>
              <m:sSubPr>
                <m:ctrlPr>
                  <w:rPr>
                    <w:rFonts w:ascii="Cambria Math" w:hAnsi="Cambria Math"/>
                    <w:i/>
                    <w:iCs/>
                    <w:lang w:bidi="en-US"/>
                  </w:rPr>
                </m:ctrlPr>
              </m:sSubPr>
              <m:e>
                <m:r>
                  <w:rPr>
                    <w:rFonts w:ascii="Cambria Math" w:hAnsi="Cambria Math"/>
                    <w:lang w:bidi="en-US"/>
                  </w:rPr>
                  <m:t>0</m:t>
                </m:r>
              </m:e>
              <m:sub>
                <m:r>
                  <w:rPr>
                    <w:rFonts w:ascii="Cambria Math" w:hAnsi="Cambria Math"/>
                    <w:lang w:bidi="en-US"/>
                  </w:rPr>
                  <m:t>i</m:t>
                </m:r>
              </m:sub>
            </m:sSub>
          </m:sub>
        </m:sSub>
        <m:r>
          <w:rPr>
            <w:rFonts w:ascii="Cambria Math" w:hAnsi="Cambria Math"/>
            <w:lang w:bidi="en-US"/>
          </w:rPr>
          <m:t xml:space="preserve"> </m:t>
        </m:r>
      </m:oMath>
      <w:r w:rsidRPr="00FE6B9B">
        <w:rPr>
          <w:rFonts w:ascii="Palatino Linotype" w:eastAsiaTheme="minorEastAsia" w:hAnsi="Palatino Linotype"/>
        </w:rPr>
        <w:t xml:space="preserve">where </w:t>
      </w:r>
      <m:oMath>
        <m:sSub>
          <m:sSubPr>
            <m:ctrlPr>
              <w:rPr>
                <w:rFonts w:ascii="Cambria Math" w:hAnsi="Cambria Math"/>
                <w:i/>
                <w:iCs/>
                <w:lang w:bidi="en-US"/>
              </w:rPr>
            </m:ctrlPr>
          </m:sSubPr>
          <m:e>
            <m:r>
              <w:rPr>
                <w:rFonts w:ascii="Cambria Math" w:hAnsi="Cambria Math"/>
                <w:lang w:bidi="en-US"/>
              </w:rPr>
              <m:t>V</m:t>
            </m:r>
          </m:e>
          <m:sub>
            <m:sSub>
              <m:sSubPr>
                <m:ctrlPr>
                  <w:rPr>
                    <w:rFonts w:ascii="Cambria Math" w:hAnsi="Cambria Math"/>
                    <w:i/>
                    <w:iCs/>
                    <w:lang w:bidi="en-US"/>
                  </w:rPr>
                </m:ctrlPr>
              </m:sSubPr>
              <m:e>
                <m:r>
                  <w:rPr>
                    <w:rFonts w:ascii="Cambria Math" w:hAnsi="Cambria Math"/>
                    <w:lang w:bidi="en-US"/>
                  </w:rPr>
                  <m:t>0</m:t>
                </m:r>
              </m:e>
              <m:sub>
                <m:r>
                  <w:rPr>
                    <w:rFonts w:ascii="Cambria Math" w:hAnsi="Cambria Math"/>
                    <w:lang w:bidi="en-US"/>
                  </w:rPr>
                  <m:t>i</m:t>
                </m:r>
              </m:sub>
            </m:sSub>
          </m:sub>
        </m:sSub>
      </m:oMath>
      <w:r w:rsidRPr="00FE6B9B">
        <w:rPr>
          <w:rFonts w:ascii="Palatino Linotype" w:eastAsiaTheme="minorEastAsia" w:hAnsi="Palatino Linotype"/>
        </w:rPr>
        <w:t xml:space="preserve">​ is the initial cell volume (25 pixels or approximately 100 μm²). </w:t>
      </w:r>
    </w:p>
    <w:p w14:paraId="0E36349D" w14:textId="77777777" w:rsidR="00741DFE" w:rsidRPr="00FE6B9B" w:rsidRDefault="00741DFE" w:rsidP="00741DFE">
      <w:pPr>
        <w:rPr>
          <w:rFonts w:ascii="Palatino Linotype" w:eastAsiaTheme="minorEastAsia" w:hAnsi="Palatino Linotype"/>
        </w:rPr>
      </w:pPr>
      <w:r w:rsidRPr="00FE6B9B">
        <w:rPr>
          <w:rFonts w:ascii="Palatino Linotype" w:eastAsiaTheme="minorEastAsia" w:hAnsi="Palatino Linotype"/>
        </w:rPr>
        <w:t>When a cell reaches this threshold, we implement division through the following algorithm:</w:t>
      </w:r>
    </w:p>
    <w:p w14:paraId="508D2FF8" w14:textId="77777777" w:rsidR="00741DFE" w:rsidRPr="00FE6B9B" w:rsidRDefault="00741DFE" w:rsidP="00741DFE">
      <w:pPr>
        <w:numPr>
          <w:ilvl w:val="0"/>
          <w:numId w:val="84"/>
        </w:numPr>
        <w:rPr>
          <w:rFonts w:ascii="Palatino Linotype" w:eastAsiaTheme="minorEastAsia" w:hAnsi="Palatino Linotype"/>
        </w:rPr>
      </w:pPr>
      <w:r w:rsidRPr="00FE6B9B">
        <w:rPr>
          <w:rFonts w:ascii="Palatino Linotype" w:eastAsiaTheme="minorEastAsia" w:hAnsi="Palatino Linotype"/>
        </w:rPr>
        <w:t xml:space="preserve">Identify the division plane orientation: </w:t>
      </w:r>
    </w:p>
    <w:p w14:paraId="53761B21" w14:textId="77777777" w:rsidR="00741DFE" w:rsidRPr="00FE6B9B" w:rsidRDefault="00741DFE" w:rsidP="00741DFE">
      <w:pPr>
        <w:rPr>
          <w:rFonts w:ascii="Palatino Linotype" w:eastAsiaTheme="minorEastAsia" w:hAnsi="Palatino Linotype"/>
        </w:rPr>
      </w:pPr>
      <w:r w:rsidRPr="00FE6B9B">
        <w:rPr>
          <w:rFonts w:ascii="Palatino Linotype" w:eastAsiaTheme="minorEastAsia" w:hAnsi="Palatino Linotype"/>
        </w:rPr>
        <w:t xml:space="preserve">For limbal epithelial stem cells (LESCs), we orient the division plane to direct daughter cells centripetally, following observed patterns that maintain stem cell populations while producing committed progenitors </w:t>
      </w:r>
      <w:r>
        <w:rPr>
          <w:rFonts w:ascii="Palatino Linotype" w:eastAsiaTheme="minorEastAsia" w:hAnsi="Palatino Linotype"/>
        </w:rPr>
        <w:fldChar w:fldCharType="begin"/>
      </w:r>
      <w:r>
        <w:rPr>
          <w:rFonts w:ascii="Palatino Linotype" w:eastAsiaTheme="minorEastAsia" w:hAnsi="Palatino Linotype"/>
        </w:rPr>
        <w:instrText xml:space="preserve"> ADDIN ZOTERO_ITEM CSL_CITATION {"citationID":"a181eofdnht","properties":{"formattedCitation":"(6)","plainCitation":"(6)","noteIndex":0},"citationItems":[{"id":183,"uris":["http://zotero.org/users/local/kXPGHtSM/items/IEB7ZIKR","http://zotero.org/users/10714330/items/IEB7ZIKR"],"itemData":{"id":183,"type":"article-journal","abstract":"Maintaining the structure of the cornea is essential for high-quality vision. In adult mammals, corneal epithelial cells emanate from stem cells in the limbus, driven by an unknown mechanism towards the centre of the cornea as cohesive clonal groups. Here we use complementary mathematical and biological models to show that corneal epithelial cells can self-organize into a cohesive, centripetal growth pattern in the absence of external physiological cues. Three conditions are required: a circumferential location of stem cells, a limited number of cell divisions and mobility in response to population pressure. We have used these complementary models to provide explanations for the increased rate of centripetal migration caused by wounding and the potential for stem cell leakage to account for stable transplants derived from central corneal tissue, despite the predominantly limbal location of stem cells.","container-title":"Nature Communications","DOI":"10.1038/ncomms12388","ISSN":"2041-1723","journalAbbreviation":"Nat Commun","language":"eng","note":"PMID: 27499113\nPMCID: PMC4979063","page":"12388","source":"PubMed","title":"Self-organized centripetal movement of corneal epithelium in the absence of external cues","volume":"7","author":[{"family":"Lobo","given":"Erwin P."},{"family":"Delic","given":"Naomi C."},{"family":"Richardson","given":"Alex"},{"family":"Raviraj","given":"Vanisri"},{"family":"Halliday","given":"Gary M."},{"family":"Di Girolamo","given":"Nick"},{"family":"Myerscough","given":"Mary R."},{"family":"Lyons","given":"J. Guy"}],"issued":{"date-parts":[["2016",8,8]]}}}],"schema":"https://github.com/citation-style-language/schema/raw/master/csl-citation.json"} </w:instrText>
      </w:r>
      <w:r>
        <w:rPr>
          <w:rFonts w:ascii="Palatino Linotype" w:eastAsiaTheme="minorEastAsia" w:hAnsi="Palatino Linotype"/>
        </w:rPr>
        <w:fldChar w:fldCharType="separate"/>
      </w:r>
      <w:r w:rsidRPr="00A81C13">
        <w:rPr>
          <w:rFonts w:ascii="Palatino Linotype" w:hAnsi="Palatino Linotype"/>
        </w:rPr>
        <w:t>(6)</w:t>
      </w:r>
      <w:r>
        <w:rPr>
          <w:rFonts w:ascii="Palatino Linotype" w:eastAsiaTheme="minorEastAsia" w:hAnsi="Palatino Linotype"/>
        </w:rPr>
        <w:fldChar w:fldCharType="end"/>
      </w:r>
      <w:r w:rsidRPr="00FE6B9B">
        <w:rPr>
          <w:rFonts w:ascii="Palatino Linotype" w:eastAsiaTheme="minorEastAsia" w:hAnsi="Palatino Linotype"/>
        </w:rPr>
        <w:t>.</w:t>
      </w:r>
    </w:p>
    <w:p w14:paraId="74FB9940" w14:textId="77777777" w:rsidR="00741DFE" w:rsidRPr="00FE6B9B" w:rsidRDefault="00741DFE" w:rsidP="00741DFE">
      <w:pPr>
        <w:rPr>
          <w:rFonts w:ascii="Palatino Linotype" w:eastAsiaTheme="minorEastAsia" w:hAnsi="Palatino Linotype"/>
        </w:rPr>
      </w:pPr>
      <w:r w:rsidRPr="00FE6B9B">
        <w:rPr>
          <w:rFonts w:ascii="Palatino Linotype" w:eastAsiaTheme="minorEastAsia" w:hAnsi="Palatino Linotype"/>
        </w:rPr>
        <w:t xml:space="preserve">For basal cells, we select a random division plane to promote even tissue distribution </w:t>
      </w:r>
      <w:r>
        <w:rPr>
          <w:rFonts w:ascii="Palatino Linotype" w:eastAsiaTheme="minorEastAsia" w:hAnsi="Palatino Linotype"/>
        </w:rPr>
        <w:fldChar w:fldCharType="begin"/>
      </w:r>
      <w:r>
        <w:rPr>
          <w:rFonts w:ascii="Palatino Linotype" w:eastAsiaTheme="minorEastAsia" w:hAnsi="Palatino Linotype"/>
        </w:rPr>
        <w:instrText xml:space="preserve"> ADDIN ZOTERO_ITEM CSL_CITATION {"citationID":"ab3i7t68mr","properties":{"formattedCitation":"(7)","plainCitation":"(7)","noteIndex":0},"citationItems":[{"id":157,"uris":["http://zotero.org/users/local/kXPGHtSM/items/ZP53B92C","http://zotero.org/users/10714330/items/ZP53B92C"],"itemData":{"id":157,"type":"article-journal","abstract":"PURPOSE: Studies were designed to determine whether cell division and cell differentiation are linked directly in the corneal epithelium. To obtain these data, corneal basal epithelial cells were labeled during DNA synthesis, and the resultant daughter cells were followed for as long as 2 weeks.\nMETHODS: Adult rats were injected with 5-bromo-deoxyuridine (BrdU), a thymidine analog, and were killed 6 hours to 14 days later. Corneas were fixed and permeabilized, and BrdU-labeled nuclei were detected with a monoclonal antibody to BrdU and a fluorescent-labeled secondary antibody. Fluorescent nuclei were visualized in three dimensions in corneal whole-mounts using a laser scanning confocal microscope. Optical sections were collected and displayed as serial images, three-dimensional anaglyphs, color-encoded projections, or three-dimensional reconstructions. Data were confirmed using 3H-thymidine autoradiography of epithelia sectioned parallel to the corneal surface.\nRESULTS: Cells synthesizing DNA at the time of injection incorporated BrdU into their DNA. Pairs of labeled nuclei were produced by the division of cells that had been labeled with BrdU. These daughter cells remained in the basal layer of the epithelium for a variable period of time. Some daughter cells continued to divide, producing clusters of labeled basal cells. When labeled daughter cells left the basal layer and began the process of terminal differentiation, they nearly always did so together. The synchronous differentiation of daughter cells was evident from the pairs of labeled nuclei seen throughout the depth of the epithelium from 2 to 14 days after labeling.\nCONCLUSIONS: Cell division and differentiation are not linked directly in the corneal epithelium. After cell division, daughter cells either remain in the basal layer, where they may undergo additional rounds of cell division, or both cells differentiate synchronously. When the daughter cells of a mitosis differentiate, the time between the previous cell division and differentiation is highly variable. This suggests that the coordination of cell division and differentiation in the corneal epithelium involves a complex regulatory network.","container-title":"Investigative Ophthalmology &amp; Visual Science","ISSN":"0146-0404","issue":"9","journalAbbreviation":"Invest Ophthalmol Vis Sci","language":"eng","note":"PMID: 8759349","page":"1815-1825","source":"PubMed","title":"Cell lineage and the differentiation of corneal epithelial cells","volume":"37","author":[{"family":"Beebe","given":"D. C."},{"family":"Masters","given":"B. R."}],"issued":{"date-parts":[["1996",8]]}}}],"schema":"https://github.com/citation-style-language/schema/raw/master/csl-citation.json"} </w:instrText>
      </w:r>
      <w:r>
        <w:rPr>
          <w:rFonts w:ascii="Palatino Linotype" w:eastAsiaTheme="minorEastAsia" w:hAnsi="Palatino Linotype"/>
        </w:rPr>
        <w:fldChar w:fldCharType="separate"/>
      </w:r>
      <w:r w:rsidRPr="00A81C13">
        <w:rPr>
          <w:rFonts w:ascii="Palatino Linotype" w:hAnsi="Palatino Linotype"/>
        </w:rPr>
        <w:t>(7)</w:t>
      </w:r>
      <w:r>
        <w:rPr>
          <w:rFonts w:ascii="Palatino Linotype" w:eastAsiaTheme="minorEastAsia" w:hAnsi="Palatino Linotype"/>
        </w:rPr>
        <w:fldChar w:fldCharType="end"/>
      </w:r>
      <w:r w:rsidRPr="00FE6B9B">
        <w:rPr>
          <w:rFonts w:ascii="Palatino Linotype" w:eastAsiaTheme="minorEastAsia" w:hAnsi="Palatino Linotype"/>
        </w:rPr>
        <w:t>.</w:t>
      </w:r>
    </w:p>
    <w:p w14:paraId="73332B67" w14:textId="77777777" w:rsidR="00741DFE" w:rsidRPr="00FE6B9B" w:rsidRDefault="00741DFE" w:rsidP="00741DFE">
      <w:pPr>
        <w:numPr>
          <w:ilvl w:val="0"/>
          <w:numId w:val="84"/>
        </w:numPr>
        <w:rPr>
          <w:rFonts w:ascii="Palatino Linotype" w:eastAsiaTheme="minorEastAsia" w:hAnsi="Palatino Linotype"/>
        </w:rPr>
      </w:pPr>
      <w:r w:rsidRPr="00FE6B9B">
        <w:rPr>
          <w:rFonts w:ascii="Palatino Linotype" w:eastAsiaTheme="minorEastAsia" w:hAnsi="Palatino Linotype"/>
        </w:rPr>
        <w:lastRenderedPageBreak/>
        <w:t xml:space="preserve">Create two daughter cells with equal volumes: </w:t>
      </w:r>
    </w:p>
    <w:p w14:paraId="0D14F1B4" w14:textId="77777777" w:rsidR="00741DFE" w:rsidRPr="00420C21" w:rsidRDefault="00000000" w:rsidP="00741DFE">
      <w:pPr>
        <w:rPr>
          <w:rFonts w:ascii="Palatino Linotype" w:eastAsiaTheme="minorEastAsia" w:hAnsi="Palatino Linotype"/>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num>
                <m:den>
                  <m:r>
                    <w:rPr>
                      <w:rFonts w:ascii="Cambria Math" w:eastAsiaTheme="minorEastAsia" w:hAnsi="Cambria Math"/>
                    </w:rPr>
                    <m:t>2</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S10</m:t>
                  </m:r>
                </m:e>
              </m:d>
            </m:e>
          </m:eqArr>
        </m:oMath>
      </m:oMathPara>
    </w:p>
    <w:p w14:paraId="77892D6D" w14:textId="77777777" w:rsidR="00741DFE" w:rsidRPr="00FE6B9B" w:rsidRDefault="00741DFE" w:rsidP="00741DFE">
      <w:pPr>
        <w:rPr>
          <w:rFonts w:ascii="Palatino Linotype" w:eastAsiaTheme="minorEastAsia" w:hAnsi="Palatino Linotype"/>
        </w:rPr>
      </w:pPr>
      <w:r w:rsidRPr="00FE6B9B">
        <w:rPr>
          <w:rFonts w:ascii="Palatino Linotype" w:eastAsiaTheme="minorEastAsia" w:hAnsi="Palatino Linotype"/>
        </w:rPr>
        <w:t xml:space="preserve">where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d1</m:t>
            </m:r>
          </m:sub>
        </m:sSub>
      </m:oMath>
      <w:r w:rsidRPr="00FE6B9B">
        <w:rPr>
          <w:rFonts w:ascii="Palatino Linotype" w:eastAsiaTheme="minorEastAsia" w:hAnsi="Palatino Linotype"/>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d2</m:t>
            </m:r>
          </m:sub>
        </m:sSub>
      </m:oMath>
      <w:r w:rsidRPr="00FE6B9B">
        <w:rPr>
          <w:rFonts w:ascii="Palatino Linotype" w:eastAsiaTheme="minorEastAsia" w:hAnsi="Palatino Linotype"/>
        </w:rPr>
        <w:t>​ are the volumes of the daughter cells, and</w:t>
      </w:r>
      <w:r>
        <w:rPr>
          <w:rFonts w:ascii="Palatino Linotype" w:eastAsiaTheme="minorEastAsia" w:hAnsi="Palatino Linotype"/>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oMath>
      <w:r w:rsidRPr="00FE6B9B">
        <w:rPr>
          <w:rFonts w:ascii="Palatino Linotype" w:eastAsiaTheme="minorEastAsia" w:hAnsi="Palatino Linotype"/>
        </w:rPr>
        <w:t xml:space="preserve">​ is the parent cell's volume at division. </w:t>
      </w:r>
    </w:p>
    <w:p w14:paraId="64A0A0C9" w14:textId="77777777" w:rsidR="00741DFE" w:rsidRDefault="00741DFE" w:rsidP="00741DFE">
      <w:pPr>
        <w:numPr>
          <w:ilvl w:val="0"/>
          <w:numId w:val="84"/>
        </w:numPr>
        <w:rPr>
          <w:rFonts w:ascii="Palatino Linotype" w:eastAsiaTheme="minorEastAsia" w:hAnsi="Palatino Linotype"/>
        </w:rPr>
      </w:pPr>
      <w:r w:rsidRPr="00FE6B9B">
        <w:rPr>
          <w:rFonts w:ascii="Palatino Linotype" w:eastAsiaTheme="minorEastAsia" w:hAnsi="Palatino Linotype"/>
        </w:rPr>
        <w:t>Reset target volumes for daughter cells to their initial type-specific values:</w:t>
      </w:r>
    </w:p>
    <w:p w14:paraId="01453855" w14:textId="77777777" w:rsidR="00741DFE" w:rsidRPr="00FE6B9B" w:rsidRDefault="00000000" w:rsidP="00741DFE">
      <w:pPr>
        <w:ind w:left="360"/>
        <w:rPr>
          <w:rFonts w:ascii="Palatino Linotype" w:eastAsiaTheme="minorEastAsia" w:hAnsi="Palatino Linotype"/>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target</m:t>
                      </m:r>
                    </m:sub>
                  </m:sSub>
                </m:e>
                <m:sub>
                  <m:r>
                    <w:rPr>
                      <w:rFonts w:ascii="Cambria Math" w:eastAsiaTheme="minorEastAsia" w:hAnsi="Cambria Math"/>
                    </w:rPr>
                    <m:t>d1</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target</m:t>
                      </m:r>
                    </m:sub>
                  </m:sSub>
                </m:e>
                <m:sub>
                  <m:r>
                    <w:rPr>
                      <w:rFonts w:ascii="Cambria Math" w:eastAsiaTheme="minorEastAsia" w:hAnsi="Cambria Math"/>
                    </w:rPr>
                    <m:t>d2</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sub>
                  <m:r>
                    <w:rPr>
                      <w:rFonts w:ascii="Cambria Math" w:eastAsiaTheme="minorEastAsia" w:hAnsi="Cambria Math"/>
                    </w:rPr>
                    <m:t>target,i</m:t>
                  </m:r>
                </m:sub>
              </m:sSub>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S11</m:t>
                  </m:r>
                </m:e>
              </m:d>
            </m:e>
          </m:eqArr>
        </m:oMath>
      </m:oMathPara>
    </w:p>
    <w:p w14:paraId="578ECB47" w14:textId="77777777" w:rsidR="00741DFE" w:rsidRPr="00FE6B9B" w:rsidRDefault="00741DFE" w:rsidP="00741DFE">
      <w:pPr>
        <w:numPr>
          <w:ilvl w:val="0"/>
          <w:numId w:val="84"/>
        </w:numPr>
        <w:rPr>
          <w:rFonts w:ascii="Palatino Linotype" w:eastAsiaTheme="minorEastAsia" w:hAnsi="Palatino Linotype"/>
        </w:rPr>
      </w:pPr>
      <w:r w:rsidRPr="00FE6B9B">
        <w:rPr>
          <w:rFonts w:ascii="Palatino Linotype" w:eastAsiaTheme="minorEastAsia" w:hAnsi="Palatino Linotype"/>
        </w:rPr>
        <w:t xml:space="preserve">Preserve cell type-specific properties: </w:t>
      </w:r>
    </w:p>
    <w:p w14:paraId="1C1937B1" w14:textId="77777777" w:rsidR="00741DFE" w:rsidRPr="00FE6B9B" w:rsidRDefault="00741DFE" w:rsidP="00741DFE">
      <w:pPr>
        <w:rPr>
          <w:rFonts w:ascii="Palatino Linotype" w:eastAsiaTheme="minorEastAsia" w:hAnsi="Palatino Linotype"/>
        </w:rPr>
      </w:pPr>
      <w:r w:rsidRPr="00FE6B9B">
        <w:rPr>
          <w:rFonts w:ascii="Palatino Linotype" w:eastAsiaTheme="minorEastAsia" w:hAnsi="Palatino Linotype"/>
        </w:rPr>
        <w:t>Each LESC division produces one stem cell and one basal cell, maintaining the stem cell pool while generating committed progenitors</w:t>
      </w:r>
      <w:r>
        <w:rPr>
          <w:rFonts w:ascii="Palatino Linotype" w:eastAsiaTheme="minorEastAsia" w:hAnsi="Palatino Linotype"/>
        </w:rPr>
        <w:t xml:space="preserve"> </w:t>
      </w:r>
      <w:r>
        <w:rPr>
          <w:rFonts w:ascii="Palatino Linotype" w:eastAsiaTheme="minorEastAsia" w:hAnsi="Palatino Linotype"/>
        </w:rPr>
        <w:fldChar w:fldCharType="begin"/>
      </w:r>
      <w:r>
        <w:rPr>
          <w:rFonts w:ascii="Palatino Linotype" w:eastAsiaTheme="minorEastAsia" w:hAnsi="Palatino Linotype"/>
        </w:rPr>
        <w:instrText xml:space="preserve"> ADDIN ZOTERO_ITEM CSL_CITATION {"citationID":"a9fqk9fdru","properties":{"formattedCitation":"(8)","plainCitation":"(8)","noteIndex":0},"citationItems":[{"id":1176,"uris":["http://zotero.org/users/10714330/items/F6IGIHJB"],"itemData":{"id":1176,"type":"article-journal","abstract":"Abstract\n            This study investigated whether cell size correlates with phenotype and proliferative capacity in human corneal epithelial cells. Primary cultured human corneal epithelial cells were sorted by flow cytometry based on forward scatter profile in comparison with the profile of beads of known size. Four fractions (A, B, C, and D) of cells ranging in size from 10 to 16, 17 to 23, 24 to 30, and ≥31 μm in diameter, respectively, were collected to evaluate their 5-bromo-2-deoxyuridine (BrdU) label retention properties, cell phenotype, and clonal growth capacity on a 3T3 fibroblast feeder layer. Among these four populations, cell size was shown to positively correlate with the expression of the differentiation markers keratin (K) 3, K12, and involucrin and inversely with the levels of stem cell–associated markers ΔNp63 and ABCG2 and with colony-forming efficiency (CFE) and growth capacity. Population A with the smallest size, accounting for 11.0% ± 4.5% of the entire population, contained the greatest number of BrdU label-retaining slow-cycling cells, displayed the highest percentage of cells immunopositive to p63 and ABCG2 and negative to K3 and involucrin, expressed the highest levels of ΔNp63 and ABCG2 mRNA and the lowest levels of K3, K12, and involucrin, and possessed the highest CFE and growth capacity. These findings suggest that cell size correlates with cell differentiation phenotypes and proliferative capacity in human corneal epithelial cells. The smallest cells in population A seem to be enriched for putative stem cells, and small cell size may represent one of the important properties of adult corneal epithelial stem cells.","container-title":"Stem Cells","DOI":"10.1634/stemcells.2005-0148","ISSN":"1066-5099, 1549-4918","issue":"2","language":"en","license":"https://academic.oup.com/journals/pages/open_access/funder_policies/chorus/standard_publication_model","page":"368-375","source":"DOI.org (Crossref)","title":"Cell Size Correlates with Phenotype and Proliferative Capacity in Human Corneal Epithelial Cells","volume":"24","author":[{"family":"De Paiva","given":"Cintia S."},{"family":"Pflugfelder","given":"Stephen C."},{"family":"Li","given":"De-Quan"}],"issued":{"date-parts":[["2006",2,1]]}}}],"schema":"https://github.com/citation-style-language/schema/raw/master/csl-citation.json"} </w:instrText>
      </w:r>
      <w:r>
        <w:rPr>
          <w:rFonts w:ascii="Palatino Linotype" w:eastAsiaTheme="minorEastAsia" w:hAnsi="Palatino Linotype"/>
        </w:rPr>
        <w:fldChar w:fldCharType="separate"/>
      </w:r>
      <w:r w:rsidRPr="00A81C13">
        <w:rPr>
          <w:rFonts w:ascii="Palatino Linotype" w:hAnsi="Palatino Linotype"/>
        </w:rPr>
        <w:t>(8)</w:t>
      </w:r>
      <w:r>
        <w:rPr>
          <w:rFonts w:ascii="Palatino Linotype" w:eastAsiaTheme="minorEastAsia" w:hAnsi="Palatino Linotype"/>
        </w:rPr>
        <w:fldChar w:fldCharType="end"/>
      </w:r>
      <w:r>
        <w:rPr>
          <w:rFonts w:ascii="Palatino Linotype" w:eastAsiaTheme="minorEastAsia" w:hAnsi="Palatino Linotype"/>
        </w:rPr>
        <w:t>.</w:t>
      </w:r>
    </w:p>
    <w:p w14:paraId="602663ED" w14:textId="4DD41C0A" w:rsidR="00FB1CE5" w:rsidRDefault="00741DFE" w:rsidP="00741DFE">
      <w:pPr>
        <w:rPr>
          <w:rFonts w:ascii="Palatino Linotype" w:eastAsiaTheme="minorEastAsia" w:hAnsi="Palatino Linotype"/>
        </w:rPr>
      </w:pPr>
      <w:r w:rsidRPr="00FE6B9B">
        <w:rPr>
          <w:rFonts w:ascii="Palatino Linotype" w:eastAsiaTheme="minorEastAsia" w:hAnsi="Palatino Linotype"/>
        </w:rPr>
        <w:t>Basal cell divisions produce two identical basal cells, both capable of further proliferation.</w:t>
      </w:r>
    </w:p>
    <w:p w14:paraId="5F593989" w14:textId="2CF33BD8" w:rsidR="00607A1B" w:rsidRPr="00607A1B" w:rsidRDefault="00607A1B" w:rsidP="00607A1B">
      <w:pPr>
        <w:pStyle w:val="Heading1"/>
        <w:rPr>
          <w:rFonts w:ascii="Palatino Linotype" w:hAnsi="Palatino Linotype"/>
        </w:rPr>
      </w:pPr>
      <w:r w:rsidRPr="00607A1B">
        <w:rPr>
          <w:rFonts w:ascii="Palatino Linotype" w:hAnsi="Palatino Linotype"/>
        </w:rPr>
        <w:t>References</w:t>
      </w:r>
    </w:p>
    <w:p w14:paraId="64B75BDE" w14:textId="77777777" w:rsidR="00BE3490" w:rsidRPr="00BE3490" w:rsidRDefault="00620641" w:rsidP="00BE3490">
      <w:pPr>
        <w:pStyle w:val="Bibliography"/>
        <w:rPr>
          <w:rFonts w:ascii="Aptos" w:hAnsi="Aptos"/>
        </w:rPr>
      </w:pPr>
      <w:r>
        <w:fldChar w:fldCharType="begin"/>
      </w:r>
      <w:r w:rsidR="00BE3490">
        <w:instrText xml:space="preserve"> ADDIN ZOTERO_BIBL {"uncited":[],"omitted":[],"custom":[]} CSL_BIBLIOGRAPHY </w:instrText>
      </w:r>
      <w:r>
        <w:fldChar w:fldCharType="separate"/>
      </w:r>
      <w:r w:rsidR="00BE3490" w:rsidRPr="00BE3490">
        <w:rPr>
          <w:rFonts w:ascii="Aptos" w:hAnsi="Aptos"/>
        </w:rPr>
        <w:t>1.</w:t>
      </w:r>
      <w:r w:rsidR="00BE3490" w:rsidRPr="00BE3490">
        <w:rPr>
          <w:rFonts w:ascii="Aptos" w:hAnsi="Aptos"/>
        </w:rPr>
        <w:tab/>
        <w:t xml:space="preserve">Abu-Romman A, Scholand KK, Govindarajan G, Yu Z, Pal-Ghosh S, Stepp MA, et al. Age-Related Differences in the Mouse Corneal Epithelial Transcriptome and Their Impact on Corneal Wound Healing. Invest Ophthalmol Vis Sci. 2024 May 13;65(5):21. </w:t>
      </w:r>
    </w:p>
    <w:p w14:paraId="694C4636" w14:textId="77777777" w:rsidR="00BE3490" w:rsidRPr="00BE3490" w:rsidRDefault="00BE3490" w:rsidP="00BE3490">
      <w:pPr>
        <w:pStyle w:val="Bibliography"/>
        <w:rPr>
          <w:rFonts w:ascii="Aptos" w:hAnsi="Aptos"/>
        </w:rPr>
      </w:pPr>
      <w:r w:rsidRPr="00BE3490">
        <w:rPr>
          <w:rFonts w:ascii="Aptos" w:hAnsi="Aptos"/>
        </w:rPr>
        <w:t>2.</w:t>
      </w:r>
      <w:r w:rsidRPr="00BE3490">
        <w:rPr>
          <w:rFonts w:ascii="Aptos" w:hAnsi="Aptos"/>
        </w:rPr>
        <w:tab/>
        <w:t xml:space="preserve">Zhu J, Lan X, Mo K, Zhang W, Huang Y, Tan J, et al. Deficiency of </w:t>
      </w:r>
      <w:r w:rsidRPr="00BE3490">
        <w:rPr>
          <w:rFonts w:ascii="Aptos" w:hAnsi="Aptos"/>
          <w:smallCaps/>
        </w:rPr>
        <w:t>SECTM1</w:t>
      </w:r>
      <w:r w:rsidRPr="00BE3490">
        <w:rPr>
          <w:rFonts w:ascii="Aptos" w:hAnsi="Aptos"/>
        </w:rPr>
        <w:t xml:space="preserve"> impairs corneal wound healing in aging. Aging Cell. 2024 Oct;23(10):e14247. </w:t>
      </w:r>
    </w:p>
    <w:p w14:paraId="2E2E7B68" w14:textId="77777777" w:rsidR="00BE3490" w:rsidRPr="00BE3490" w:rsidRDefault="00BE3490" w:rsidP="00BE3490">
      <w:pPr>
        <w:pStyle w:val="Bibliography"/>
        <w:rPr>
          <w:rFonts w:ascii="Aptos" w:hAnsi="Aptos"/>
        </w:rPr>
      </w:pPr>
      <w:r w:rsidRPr="00BE3490">
        <w:rPr>
          <w:rFonts w:ascii="Aptos" w:hAnsi="Aptos"/>
        </w:rPr>
        <w:t>3.</w:t>
      </w:r>
      <w:r w:rsidRPr="00BE3490">
        <w:rPr>
          <w:rFonts w:ascii="Aptos" w:hAnsi="Aptos"/>
        </w:rPr>
        <w:tab/>
        <w:t xml:space="preserve">Alghamdi A, Khan MS, Dakhil TA. Understanding Corneal Epithelial Thickness Mapping. Middle East Afr J Ophthalmol. 2023 May 25;29(3):147–55. </w:t>
      </w:r>
    </w:p>
    <w:p w14:paraId="48410CF0" w14:textId="77777777" w:rsidR="00BE3490" w:rsidRPr="00BE3490" w:rsidRDefault="00BE3490" w:rsidP="00BE3490">
      <w:pPr>
        <w:pStyle w:val="Bibliography"/>
        <w:rPr>
          <w:rFonts w:ascii="Aptos" w:hAnsi="Aptos"/>
        </w:rPr>
      </w:pPr>
      <w:r w:rsidRPr="00BE3490">
        <w:rPr>
          <w:rFonts w:ascii="Aptos" w:hAnsi="Aptos"/>
        </w:rPr>
        <w:t>4.</w:t>
      </w:r>
      <w:r w:rsidRPr="00BE3490">
        <w:rPr>
          <w:rFonts w:ascii="Aptos" w:hAnsi="Aptos"/>
        </w:rPr>
        <w:tab/>
        <w:t xml:space="preserve">Huang CY, Ferrell JE. Ultrasensitivity in the mitogen-activated protein kinase cascade. Proceedings of the National Academy of Sciences. 1996 Sept 17;93(19):10078–83. </w:t>
      </w:r>
    </w:p>
    <w:p w14:paraId="029A29F5" w14:textId="77777777" w:rsidR="00BE3490" w:rsidRPr="00BE3490" w:rsidRDefault="00BE3490" w:rsidP="00BE3490">
      <w:pPr>
        <w:pStyle w:val="Bibliography"/>
        <w:rPr>
          <w:rFonts w:ascii="Aptos" w:hAnsi="Aptos"/>
        </w:rPr>
      </w:pPr>
      <w:r w:rsidRPr="00BE3490">
        <w:rPr>
          <w:rFonts w:ascii="Aptos" w:hAnsi="Aptos"/>
        </w:rPr>
        <w:t>5.</w:t>
      </w:r>
      <w:r w:rsidRPr="00BE3490">
        <w:rPr>
          <w:rFonts w:ascii="Aptos" w:hAnsi="Aptos"/>
        </w:rPr>
        <w:tab/>
        <w:t xml:space="preserve">Puliafito A, Hufnagel L, Neveu P, Streichan S, Sigal A, Fygenson DK, et al. Collective and single cell behavior in epithelial contact inhibition. Proceedings of the National Academy of Sciences. 2012 Jan 17;109(3):739–44. </w:t>
      </w:r>
    </w:p>
    <w:p w14:paraId="6F485C84" w14:textId="77777777" w:rsidR="00BE3490" w:rsidRPr="00BE3490" w:rsidRDefault="00BE3490" w:rsidP="00BE3490">
      <w:pPr>
        <w:pStyle w:val="Bibliography"/>
        <w:rPr>
          <w:rFonts w:ascii="Aptos" w:hAnsi="Aptos"/>
        </w:rPr>
      </w:pPr>
      <w:r w:rsidRPr="00BE3490">
        <w:rPr>
          <w:rFonts w:ascii="Aptos" w:hAnsi="Aptos"/>
        </w:rPr>
        <w:t>6.</w:t>
      </w:r>
      <w:r w:rsidRPr="00BE3490">
        <w:rPr>
          <w:rFonts w:ascii="Aptos" w:hAnsi="Aptos"/>
        </w:rPr>
        <w:tab/>
        <w:t xml:space="preserve">Lobo EP, Delic NC, Richardson A, Raviraj V, Halliday GM, Di Girolamo N, et al. Self-organized centripetal movement of corneal epithelium in the absence of external cues. Nat Commun. 2016 Aug 8;7:12388. </w:t>
      </w:r>
    </w:p>
    <w:p w14:paraId="46121CDB" w14:textId="77777777" w:rsidR="00BE3490" w:rsidRPr="00BE3490" w:rsidRDefault="00BE3490" w:rsidP="00BE3490">
      <w:pPr>
        <w:pStyle w:val="Bibliography"/>
        <w:rPr>
          <w:rFonts w:ascii="Aptos" w:hAnsi="Aptos"/>
        </w:rPr>
      </w:pPr>
      <w:r w:rsidRPr="00BE3490">
        <w:rPr>
          <w:rFonts w:ascii="Aptos" w:hAnsi="Aptos"/>
        </w:rPr>
        <w:t>7.</w:t>
      </w:r>
      <w:r w:rsidRPr="00BE3490">
        <w:rPr>
          <w:rFonts w:ascii="Aptos" w:hAnsi="Aptos"/>
        </w:rPr>
        <w:tab/>
        <w:t xml:space="preserve">Beebe DC, Masters BR. Cell lineage and the differentiation of corneal epithelial cells. Invest Ophthalmol Vis Sci. 1996 Aug;37(9):1815–25. </w:t>
      </w:r>
    </w:p>
    <w:p w14:paraId="3FE9D380" w14:textId="77777777" w:rsidR="00BE3490" w:rsidRPr="00BE3490" w:rsidRDefault="00BE3490" w:rsidP="00BE3490">
      <w:pPr>
        <w:pStyle w:val="Bibliography"/>
        <w:rPr>
          <w:rFonts w:ascii="Aptos" w:hAnsi="Aptos"/>
        </w:rPr>
      </w:pPr>
      <w:r w:rsidRPr="00BE3490">
        <w:rPr>
          <w:rFonts w:ascii="Aptos" w:hAnsi="Aptos"/>
        </w:rPr>
        <w:t>8.</w:t>
      </w:r>
      <w:r w:rsidRPr="00BE3490">
        <w:rPr>
          <w:rFonts w:ascii="Aptos" w:hAnsi="Aptos"/>
        </w:rPr>
        <w:tab/>
        <w:t xml:space="preserve">De Paiva CS, Pflugfelder SC, Li DQ. Cell Size Correlates with Phenotype and Proliferative Capacity in Human Corneal Epithelial Cells. Stem Cells. 2006 Feb 1;24(2):368–75. </w:t>
      </w:r>
    </w:p>
    <w:p w14:paraId="0B4C8E15" w14:textId="754177A4" w:rsidR="00607A1B" w:rsidRPr="00741DFE" w:rsidRDefault="00620641" w:rsidP="00741DFE">
      <w:r>
        <w:fldChar w:fldCharType="end"/>
      </w:r>
    </w:p>
    <w:sectPr w:rsidR="00607A1B" w:rsidRPr="00741DFE" w:rsidSect="0053152C">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F7444" w14:textId="77777777" w:rsidR="007636B0" w:rsidRDefault="007636B0" w:rsidP="00741DFE">
      <w:pPr>
        <w:spacing w:after="0" w:line="240" w:lineRule="auto"/>
      </w:pPr>
      <w:r>
        <w:separator/>
      </w:r>
    </w:p>
  </w:endnote>
  <w:endnote w:type="continuationSeparator" w:id="0">
    <w:p w14:paraId="371F4663" w14:textId="77777777" w:rsidR="007636B0" w:rsidRDefault="007636B0" w:rsidP="00741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DC190" w14:textId="77777777" w:rsidR="007636B0" w:rsidRDefault="007636B0" w:rsidP="00741DFE">
      <w:pPr>
        <w:spacing w:after="0" w:line="240" w:lineRule="auto"/>
      </w:pPr>
      <w:r>
        <w:separator/>
      </w:r>
    </w:p>
  </w:footnote>
  <w:footnote w:type="continuationSeparator" w:id="0">
    <w:p w14:paraId="121D8D5F" w14:textId="77777777" w:rsidR="007636B0" w:rsidRDefault="007636B0" w:rsidP="00741D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pt;height:.5pt;visibility:visible;mso-wrap-style:square" o:bullet="t">
        <v:imagedata r:id="rId1" o:title=""/>
      </v:shape>
    </w:pict>
  </w:numPicBullet>
  <w:abstractNum w:abstractNumId="0" w15:restartNumberingAfterBreak="0">
    <w:nsid w:val="026E692A"/>
    <w:multiLevelType w:val="multilevel"/>
    <w:tmpl w:val="A0B6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50AA8"/>
    <w:multiLevelType w:val="multilevel"/>
    <w:tmpl w:val="EB70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F3483"/>
    <w:multiLevelType w:val="multilevel"/>
    <w:tmpl w:val="9CC0D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463A3"/>
    <w:multiLevelType w:val="multilevel"/>
    <w:tmpl w:val="758C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32256"/>
    <w:multiLevelType w:val="multilevel"/>
    <w:tmpl w:val="0D00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91031"/>
    <w:multiLevelType w:val="multilevel"/>
    <w:tmpl w:val="9472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E6B57"/>
    <w:multiLevelType w:val="multilevel"/>
    <w:tmpl w:val="896087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E2126D"/>
    <w:multiLevelType w:val="multilevel"/>
    <w:tmpl w:val="2B90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F2DB6"/>
    <w:multiLevelType w:val="multilevel"/>
    <w:tmpl w:val="9CAA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64B4E"/>
    <w:multiLevelType w:val="multilevel"/>
    <w:tmpl w:val="5546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33AA7"/>
    <w:multiLevelType w:val="multilevel"/>
    <w:tmpl w:val="C1A0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27291"/>
    <w:multiLevelType w:val="multilevel"/>
    <w:tmpl w:val="E31AE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66E30"/>
    <w:multiLevelType w:val="multilevel"/>
    <w:tmpl w:val="E876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F3968"/>
    <w:multiLevelType w:val="multilevel"/>
    <w:tmpl w:val="0CD4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2124D"/>
    <w:multiLevelType w:val="multilevel"/>
    <w:tmpl w:val="9DBC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25896"/>
    <w:multiLevelType w:val="multilevel"/>
    <w:tmpl w:val="86A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30FA0"/>
    <w:multiLevelType w:val="multilevel"/>
    <w:tmpl w:val="24DA04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790EE3"/>
    <w:multiLevelType w:val="multilevel"/>
    <w:tmpl w:val="9B4AD0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C35D74"/>
    <w:multiLevelType w:val="multilevel"/>
    <w:tmpl w:val="CC78C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1665C7"/>
    <w:multiLevelType w:val="multilevel"/>
    <w:tmpl w:val="A9A6C22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F3F4758"/>
    <w:multiLevelType w:val="multilevel"/>
    <w:tmpl w:val="60482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4C45BA"/>
    <w:multiLevelType w:val="multilevel"/>
    <w:tmpl w:val="66F8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0F7EDC"/>
    <w:multiLevelType w:val="multilevel"/>
    <w:tmpl w:val="061A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FF1F84"/>
    <w:multiLevelType w:val="multilevel"/>
    <w:tmpl w:val="6768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D40EFE"/>
    <w:multiLevelType w:val="multilevel"/>
    <w:tmpl w:val="AB5E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C75C53"/>
    <w:multiLevelType w:val="multilevel"/>
    <w:tmpl w:val="37D66A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8B2FFD"/>
    <w:multiLevelType w:val="multilevel"/>
    <w:tmpl w:val="4D6E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C5210E"/>
    <w:multiLevelType w:val="multilevel"/>
    <w:tmpl w:val="76F882C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3A340D78"/>
    <w:multiLevelType w:val="multilevel"/>
    <w:tmpl w:val="DBF0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B848E7"/>
    <w:multiLevelType w:val="multilevel"/>
    <w:tmpl w:val="F87A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EC1988"/>
    <w:multiLevelType w:val="multilevel"/>
    <w:tmpl w:val="4254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D44F6C"/>
    <w:multiLevelType w:val="multilevel"/>
    <w:tmpl w:val="322A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852A28"/>
    <w:multiLevelType w:val="hybridMultilevel"/>
    <w:tmpl w:val="728E20E8"/>
    <w:lvl w:ilvl="0" w:tplc="ACAA94C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881ABD"/>
    <w:multiLevelType w:val="multilevel"/>
    <w:tmpl w:val="CFC0A7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FD2D9D"/>
    <w:multiLevelType w:val="multilevel"/>
    <w:tmpl w:val="1C46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B657B7"/>
    <w:multiLevelType w:val="multilevel"/>
    <w:tmpl w:val="8FE8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4714A9"/>
    <w:multiLevelType w:val="multilevel"/>
    <w:tmpl w:val="9816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525CDC"/>
    <w:multiLevelType w:val="multilevel"/>
    <w:tmpl w:val="4898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64710"/>
    <w:multiLevelType w:val="multilevel"/>
    <w:tmpl w:val="FF4A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330DB5"/>
    <w:multiLevelType w:val="multilevel"/>
    <w:tmpl w:val="F798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207575"/>
    <w:multiLevelType w:val="multilevel"/>
    <w:tmpl w:val="B77A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BD61E9"/>
    <w:multiLevelType w:val="multilevel"/>
    <w:tmpl w:val="DC28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6491E"/>
    <w:multiLevelType w:val="multilevel"/>
    <w:tmpl w:val="9B26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C07E1A"/>
    <w:multiLevelType w:val="multilevel"/>
    <w:tmpl w:val="003E9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146C2D"/>
    <w:multiLevelType w:val="multilevel"/>
    <w:tmpl w:val="A472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86068F"/>
    <w:multiLevelType w:val="hybridMultilevel"/>
    <w:tmpl w:val="7AEC30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93C2E56"/>
    <w:multiLevelType w:val="multilevel"/>
    <w:tmpl w:val="9C04D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625BA6"/>
    <w:multiLevelType w:val="multilevel"/>
    <w:tmpl w:val="859C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67257C"/>
    <w:multiLevelType w:val="multilevel"/>
    <w:tmpl w:val="6D82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7E00D2"/>
    <w:multiLevelType w:val="multilevel"/>
    <w:tmpl w:val="34A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541677"/>
    <w:multiLevelType w:val="multilevel"/>
    <w:tmpl w:val="0362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762378"/>
    <w:multiLevelType w:val="multilevel"/>
    <w:tmpl w:val="F58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9B7AEF"/>
    <w:multiLevelType w:val="multilevel"/>
    <w:tmpl w:val="DE1A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E14EA2"/>
    <w:multiLevelType w:val="multilevel"/>
    <w:tmpl w:val="AECC3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2257BF1"/>
    <w:multiLevelType w:val="multilevel"/>
    <w:tmpl w:val="5298F6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FB0C04"/>
    <w:multiLevelType w:val="multilevel"/>
    <w:tmpl w:val="30E4E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2C439A"/>
    <w:multiLevelType w:val="multilevel"/>
    <w:tmpl w:val="65DE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620019"/>
    <w:multiLevelType w:val="multilevel"/>
    <w:tmpl w:val="E2BE3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ADB27AA"/>
    <w:multiLevelType w:val="multilevel"/>
    <w:tmpl w:val="D844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A31D93"/>
    <w:multiLevelType w:val="multilevel"/>
    <w:tmpl w:val="A6DE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B25EF3"/>
    <w:multiLevelType w:val="hybridMultilevel"/>
    <w:tmpl w:val="A8AAF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BCD6322"/>
    <w:multiLevelType w:val="multilevel"/>
    <w:tmpl w:val="94888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C327F52"/>
    <w:multiLevelType w:val="multilevel"/>
    <w:tmpl w:val="A61A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4127C1"/>
    <w:multiLevelType w:val="multilevel"/>
    <w:tmpl w:val="C2E69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F474A9F"/>
    <w:multiLevelType w:val="multilevel"/>
    <w:tmpl w:val="1A90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6B5755"/>
    <w:multiLevelType w:val="multilevel"/>
    <w:tmpl w:val="3F60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B1740B"/>
    <w:multiLevelType w:val="multilevel"/>
    <w:tmpl w:val="2DE8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C740FC"/>
    <w:multiLevelType w:val="multilevel"/>
    <w:tmpl w:val="AD7E3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3002FF"/>
    <w:multiLevelType w:val="multilevel"/>
    <w:tmpl w:val="4198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1C578C"/>
    <w:multiLevelType w:val="multilevel"/>
    <w:tmpl w:val="BA5A7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60754D"/>
    <w:multiLevelType w:val="multilevel"/>
    <w:tmpl w:val="9CB0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943A4B"/>
    <w:multiLevelType w:val="multilevel"/>
    <w:tmpl w:val="39BA2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066710">
    <w:abstractNumId w:val="20"/>
  </w:num>
  <w:num w:numId="2" w16cid:durableId="1331985345">
    <w:abstractNumId w:val="41"/>
  </w:num>
  <w:num w:numId="3" w16cid:durableId="1594627185">
    <w:abstractNumId w:val="51"/>
  </w:num>
  <w:num w:numId="4" w16cid:durableId="2088456231">
    <w:abstractNumId w:val="53"/>
  </w:num>
  <w:num w:numId="5" w16cid:durableId="720400048">
    <w:abstractNumId w:val="24"/>
  </w:num>
  <w:num w:numId="6" w16cid:durableId="1328365331">
    <w:abstractNumId w:val="4"/>
  </w:num>
  <w:num w:numId="7" w16cid:durableId="1306468292">
    <w:abstractNumId w:val="70"/>
  </w:num>
  <w:num w:numId="8" w16cid:durableId="840585228">
    <w:abstractNumId w:val="56"/>
  </w:num>
  <w:num w:numId="9" w16cid:durableId="1766531316">
    <w:abstractNumId w:val="7"/>
  </w:num>
  <w:num w:numId="10" w16cid:durableId="1319075294">
    <w:abstractNumId w:val="48"/>
  </w:num>
  <w:num w:numId="11" w16cid:durableId="76053656">
    <w:abstractNumId w:val="67"/>
  </w:num>
  <w:num w:numId="12" w16cid:durableId="553587489">
    <w:abstractNumId w:val="15"/>
  </w:num>
  <w:num w:numId="13" w16cid:durableId="1155146189">
    <w:abstractNumId w:val="29"/>
  </w:num>
  <w:num w:numId="14" w16cid:durableId="223413079">
    <w:abstractNumId w:val="66"/>
  </w:num>
  <w:num w:numId="15" w16cid:durableId="1674647502">
    <w:abstractNumId w:val="61"/>
  </w:num>
  <w:num w:numId="16" w16cid:durableId="63994015">
    <w:abstractNumId w:val="39"/>
  </w:num>
  <w:num w:numId="17" w16cid:durableId="617102410">
    <w:abstractNumId w:val="62"/>
  </w:num>
  <w:num w:numId="18" w16cid:durableId="529537743">
    <w:abstractNumId w:val="44"/>
  </w:num>
  <w:num w:numId="19" w16cid:durableId="369230883">
    <w:abstractNumId w:val="23"/>
  </w:num>
  <w:num w:numId="20" w16cid:durableId="2092503959">
    <w:abstractNumId w:val="18"/>
  </w:num>
  <w:num w:numId="21" w16cid:durableId="1557277384">
    <w:abstractNumId w:val="34"/>
  </w:num>
  <w:num w:numId="22" w16cid:durableId="527839618">
    <w:abstractNumId w:val="55"/>
  </w:num>
  <w:num w:numId="23" w16cid:durableId="2083672168">
    <w:abstractNumId w:val="33"/>
  </w:num>
  <w:num w:numId="24" w16cid:durableId="1267925743">
    <w:abstractNumId w:val="33"/>
    <w:lvlOverride w:ilvl="1">
      <w:lvl w:ilvl="1">
        <w:numFmt w:val="lowerLetter"/>
        <w:lvlText w:val="%2."/>
        <w:lvlJc w:val="left"/>
      </w:lvl>
    </w:lvlOverride>
  </w:num>
  <w:num w:numId="25" w16cid:durableId="414783819">
    <w:abstractNumId w:val="33"/>
    <w:lvlOverride w:ilvl="1">
      <w:lvl w:ilvl="1">
        <w:numFmt w:val="lowerLetter"/>
        <w:lvlText w:val="%2."/>
        <w:lvlJc w:val="left"/>
      </w:lvl>
    </w:lvlOverride>
  </w:num>
  <w:num w:numId="26" w16cid:durableId="1369379900">
    <w:abstractNumId w:val="33"/>
    <w:lvlOverride w:ilvl="1">
      <w:lvl w:ilvl="1">
        <w:numFmt w:val="lowerLetter"/>
        <w:lvlText w:val="%2."/>
        <w:lvlJc w:val="left"/>
      </w:lvl>
    </w:lvlOverride>
  </w:num>
  <w:num w:numId="27" w16cid:durableId="688027823">
    <w:abstractNumId w:val="33"/>
    <w:lvlOverride w:ilvl="1">
      <w:lvl w:ilvl="1">
        <w:numFmt w:val="lowerLetter"/>
        <w:lvlText w:val="%2."/>
        <w:lvlJc w:val="left"/>
      </w:lvl>
    </w:lvlOverride>
  </w:num>
  <w:num w:numId="28" w16cid:durableId="584262875">
    <w:abstractNumId w:val="33"/>
    <w:lvlOverride w:ilvl="1">
      <w:lvl w:ilvl="1">
        <w:numFmt w:val="lowerLetter"/>
        <w:lvlText w:val="%2."/>
        <w:lvlJc w:val="left"/>
      </w:lvl>
    </w:lvlOverride>
  </w:num>
  <w:num w:numId="29" w16cid:durableId="2132362847">
    <w:abstractNumId w:val="17"/>
  </w:num>
  <w:num w:numId="30" w16cid:durableId="402534971">
    <w:abstractNumId w:val="17"/>
    <w:lvlOverride w:ilvl="1">
      <w:lvl w:ilvl="1">
        <w:numFmt w:val="lowerLetter"/>
        <w:lvlText w:val="%2."/>
        <w:lvlJc w:val="left"/>
      </w:lvl>
    </w:lvlOverride>
  </w:num>
  <w:num w:numId="31" w16cid:durableId="1438867770">
    <w:abstractNumId w:val="17"/>
    <w:lvlOverride w:ilvl="1">
      <w:lvl w:ilvl="1">
        <w:numFmt w:val="lowerLetter"/>
        <w:lvlText w:val="%2."/>
        <w:lvlJc w:val="left"/>
      </w:lvl>
    </w:lvlOverride>
  </w:num>
  <w:num w:numId="32" w16cid:durableId="1564825596">
    <w:abstractNumId w:val="17"/>
    <w:lvlOverride w:ilvl="1">
      <w:lvl w:ilvl="1">
        <w:numFmt w:val="lowerLetter"/>
        <w:lvlText w:val="%2."/>
        <w:lvlJc w:val="left"/>
      </w:lvl>
    </w:lvlOverride>
  </w:num>
  <w:num w:numId="33" w16cid:durableId="955015982">
    <w:abstractNumId w:val="6"/>
  </w:num>
  <w:num w:numId="34" w16cid:durableId="14813049">
    <w:abstractNumId w:val="6"/>
    <w:lvlOverride w:ilvl="1">
      <w:lvl w:ilvl="1">
        <w:numFmt w:val="lowerLetter"/>
        <w:lvlText w:val="%2."/>
        <w:lvlJc w:val="left"/>
      </w:lvl>
    </w:lvlOverride>
  </w:num>
  <w:num w:numId="35" w16cid:durableId="276983401">
    <w:abstractNumId w:val="25"/>
    <w:lvlOverride w:ilvl="0">
      <w:lvl w:ilvl="0">
        <w:numFmt w:val="decimal"/>
        <w:lvlText w:val="%1."/>
        <w:lvlJc w:val="left"/>
      </w:lvl>
    </w:lvlOverride>
  </w:num>
  <w:num w:numId="36" w16cid:durableId="1646356589">
    <w:abstractNumId w:val="63"/>
    <w:lvlOverride w:ilvl="0">
      <w:lvl w:ilvl="0">
        <w:numFmt w:val="lowerLetter"/>
        <w:lvlText w:val="%1."/>
        <w:lvlJc w:val="left"/>
      </w:lvl>
    </w:lvlOverride>
  </w:num>
  <w:num w:numId="37" w16cid:durableId="484585198">
    <w:abstractNumId w:val="16"/>
  </w:num>
  <w:num w:numId="38" w16cid:durableId="27335257">
    <w:abstractNumId w:val="16"/>
    <w:lvlOverride w:ilvl="1">
      <w:lvl w:ilvl="1">
        <w:numFmt w:val="lowerLetter"/>
        <w:lvlText w:val="%2."/>
        <w:lvlJc w:val="left"/>
      </w:lvl>
    </w:lvlOverride>
  </w:num>
  <w:num w:numId="39" w16cid:durableId="1296056965">
    <w:abstractNumId w:val="16"/>
    <w:lvlOverride w:ilvl="1">
      <w:lvl w:ilvl="1">
        <w:numFmt w:val="lowerLetter"/>
        <w:lvlText w:val="%2."/>
        <w:lvlJc w:val="left"/>
      </w:lvl>
    </w:lvlOverride>
  </w:num>
  <w:num w:numId="40" w16cid:durableId="2006979799">
    <w:abstractNumId w:val="16"/>
    <w:lvlOverride w:ilvl="1">
      <w:lvl w:ilvl="1">
        <w:numFmt w:val="lowerLetter"/>
        <w:lvlText w:val="%2."/>
        <w:lvlJc w:val="left"/>
      </w:lvl>
    </w:lvlOverride>
  </w:num>
  <w:num w:numId="41" w16cid:durableId="1888909059">
    <w:abstractNumId w:val="16"/>
    <w:lvlOverride w:ilvl="1">
      <w:lvl w:ilvl="1">
        <w:numFmt w:val="lowerLetter"/>
        <w:lvlText w:val="%2."/>
        <w:lvlJc w:val="left"/>
      </w:lvl>
    </w:lvlOverride>
  </w:num>
  <w:num w:numId="42" w16cid:durableId="1089472735">
    <w:abstractNumId w:val="54"/>
  </w:num>
  <w:num w:numId="43" w16cid:durableId="1300723587">
    <w:abstractNumId w:val="54"/>
    <w:lvlOverride w:ilvl="1">
      <w:lvl w:ilvl="1">
        <w:numFmt w:val="lowerLetter"/>
        <w:lvlText w:val="%2."/>
        <w:lvlJc w:val="left"/>
      </w:lvl>
    </w:lvlOverride>
  </w:num>
  <w:num w:numId="44" w16cid:durableId="2108111985">
    <w:abstractNumId w:val="54"/>
    <w:lvlOverride w:ilvl="1">
      <w:lvl w:ilvl="1">
        <w:numFmt w:val="lowerLetter"/>
        <w:lvlText w:val="%2."/>
        <w:lvlJc w:val="left"/>
      </w:lvl>
    </w:lvlOverride>
  </w:num>
  <w:num w:numId="45" w16cid:durableId="899242541">
    <w:abstractNumId w:val="64"/>
  </w:num>
  <w:num w:numId="46" w16cid:durableId="1796286703">
    <w:abstractNumId w:val="10"/>
  </w:num>
  <w:num w:numId="47" w16cid:durableId="1188179115">
    <w:abstractNumId w:val="5"/>
  </w:num>
  <w:num w:numId="48" w16cid:durableId="2078358901">
    <w:abstractNumId w:val="1"/>
  </w:num>
  <w:num w:numId="49" w16cid:durableId="277641549">
    <w:abstractNumId w:val="65"/>
  </w:num>
  <w:num w:numId="50" w16cid:durableId="2030644618">
    <w:abstractNumId w:val="42"/>
  </w:num>
  <w:num w:numId="51" w16cid:durableId="1012074016">
    <w:abstractNumId w:val="35"/>
  </w:num>
  <w:num w:numId="52" w16cid:durableId="2045136304">
    <w:abstractNumId w:val="19"/>
  </w:num>
  <w:num w:numId="53" w16cid:durableId="1993489113">
    <w:abstractNumId w:val="49"/>
  </w:num>
  <w:num w:numId="54" w16cid:durableId="449209972">
    <w:abstractNumId w:val="52"/>
  </w:num>
  <w:num w:numId="55" w16cid:durableId="371459765">
    <w:abstractNumId w:val="28"/>
  </w:num>
  <w:num w:numId="56" w16cid:durableId="458765590">
    <w:abstractNumId w:val="68"/>
  </w:num>
  <w:num w:numId="57" w16cid:durableId="770974410">
    <w:abstractNumId w:val="30"/>
  </w:num>
  <w:num w:numId="58" w16cid:durableId="1232615033">
    <w:abstractNumId w:val="40"/>
  </w:num>
  <w:num w:numId="59" w16cid:durableId="344018638">
    <w:abstractNumId w:val="0"/>
  </w:num>
  <w:num w:numId="60" w16cid:durableId="715160534">
    <w:abstractNumId w:val="59"/>
  </w:num>
  <w:num w:numId="61" w16cid:durableId="318656270">
    <w:abstractNumId w:val="14"/>
  </w:num>
  <w:num w:numId="62" w16cid:durableId="263194959">
    <w:abstractNumId w:val="8"/>
  </w:num>
  <w:num w:numId="63" w16cid:durableId="1361518006">
    <w:abstractNumId w:val="12"/>
  </w:num>
  <w:num w:numId="64" w16cid:durableId="256134747">
    <w:abstractNumId w:val="13"/>
  </w:num>
  <w:num w:numId="65" w16cid:durableId="793332157">
    <w:abstractNumId w:val="9"/>
  </w:num>
  <w:num w:numId="66" w16cid:durableId="960959174">
    <w:abstractNumId w:val="50"/>
  </w:num>
  <w:num w:numId="67" w16cid:durableId="615019682">
    <w:abstractNumId w:val="37"/>
  </w:num>
  <w:num w:numId="68" w16cid:durableId="50465258">
    <w:abstractNumId w:val="57"/>
  </w:num>
  <w:num w:numId="69" w16cid:durableId="1157382588">
    <w:abstractNumId w:val="36"/>
  </w:num>
  <w:num w:numId="70" w16cid:durableId="1657564974">
    <w:abstractNumId w:val="43"/>
  </w:num>
  <w:num w:numId="71" w16cid:durableId="1135684943">
    <w:abstractNumId w:val="47"/>
  </w:num>
  <w:num w:numId="72" w16cid:durableId="1967731684">
    <w:abstractNumId w:val="46"/>
  </w:num>
  <w:num w:numId="73" w16cid:durableId="781388163">
    <w:abstractNumId w:val="71"/>
  </w:num>
  <w:num w:numId="74" w16cid:durableId="678194326">
    <w:abstractNumId w:val="21"/>
  </w:num>
  <w:num w:numId="75" w16cid:durableId="129133735">
    <w:abstractNumId w:val="22"/>
  </w:num>
  <w:num w:numId="76" w16cid:durableId="1685354800">
    <w:abstractNumId w:val="38"/>
  </w:num>
  <w:num w:numId="77" w16cid:durableId="567498690">
    <w:abstractNumId w:val="3"/>
  </w:num>
  <w:num w:numId="78" w16cid:durableId="673995851">
    <w:abstractNumId w:val="60"/>
  </w:num>
  <w:num w:numId="79" w16cid:durableId="239558827">
    <w:abstractNumId w:val="45"/>
  </w:num>
  <w:num w:numId="80" w16cid:durableId="730466643">
    <w:abstractNumId w:val="32"/>
  </w:num>
  <w:num w:numId="81" w16cid:durableId="2110588709">
    <w:abstractNumId w:val="2"/>
  </w:num>
  <w:num w:numId="82" w16cid:durableId="650139334">
    <w:abstractNumId w:val="31"/>
  </w:num>
  <w:num w:numId="83" w16cid:durableId="341975497">
    <w:abstractNumId w:val="26"/>
  </w:num>
  <w:num w:numId="84" w16cid:durableId="1599825048">
    <w:abstractNumId w:val="27"/>
  </w:num>
  <w:num w:numId="85" w16cid:durableId="1394768373">
    <w:abstractNumId w:val="11"/>
  </w:num>
  <w:num w:numId="86" w16cid:durableId="1965308249">
    <w:abstractNumId w:val="69"/>
  </w:num>
  <w:num w:numId="87" w16cid:durableId="104923265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52C"/>
    <w:rsid w:val="00013EE4"/>
    <w:rsid w:val="000240EB"/>
    <w:rsid w:val="00045A36"/>
    <w:rsid w:val="00055F87"/>
    <w:rsid w:val="000813FA"/>
    <w:rsid w:val="000841E0"/>
    <w:rsid w:val="00096740"/>
    <w:rsid w:val="000E2596"/>
    <w:rsid w:val="0010088E"/>
    <w:rsid w:val="0012014B"/>
    <w:rsid w:val="00136376"/>
    <w:rsid w:val="00140FBD"/>
    <w:rsid w:val="00154C00"/>
    <w:rsid w:val="001637BB"/>
    <w:rsid w:val="00166A26"/>
    <w:rsid w:val="0017205F"/>
    <w:rsid w:val="001801D9"/>
    <w:rsid w:val="001D2842"/>
    <w:rsid w:val="001D3524"/>
    <w:rsid w:val="001F33E6"/>
    <w:rsid w:val="001F7015"/>
    <w:rsid w:val="00216DE1"/>
    <w:rsid w:val="002833A3"/>
    <w:rsid w:val="00284EF9"/>
    <w:rsid w:val="00294426"/>
    <w:rsid w:val="0029460D"/>
    <w:rsid w:val="002A2CA5"/>
    <w:rsid w:val="002A79E3"/>
    <w:rsid w:val="002B4703"/>
    <w:rsid w:val="002B74F3"/>
    <w:rsid w:val="002E4D32"/>
    <w:rsid w:val="002E540E"/>
    <w:rsid w:val="002F5F61"/>
    <w:rsid w:val="00321713"/>
    <w:rsid w:val="00334BEB"/>
    <w:rsid w:val="00367AD7"/>
    <w:rsid w:val="003803C5"/>
    <w:rsid w:val="003B3E5B"/>
    <w:rsid w:val="003C78BC"/>
    <w:rsid w:val="003E27C3"/>
    <w:rsid w:val="003F7156"/>
    <w:rsid w:val="00425EC2"/>
    <w:rsid w:val="0044768B"/>
    <w:rsid w:val="00450DE0"/>
    <w:rsid w:val="00491815"/>
    <w:rsid w:val="004E2DE8"/>
    <w:rsid w:val="004F7921"/>
    <w:rsid w:val="0053152C"/>
    <w:rsid w:val="005369B8"/>
    <w:rsid w:val="00562E16"/>
    <w:rsid w:val="005A3671"/>
    <w:rsid w:val="005F251E"/>
    <w:rsid w:val="005F7124"/>
    <w:rsid w:val="00607A1B"/>
    <w:rsid w:val="00616C2C"/>
    <w:rsid w:val="00620641"/>
    <w:rsid w:val="00637DCC"/>
    <w:rsid w:val="00643B34"/>
    <w:rsid w:val="006808D9"/>
    <w:rsid w:val="006A7C19"/>
    <w:rsid w:val="00700E6A"/>
    <w:rsid w:val="00714B36"/>
    <w:rsid w:val="0074076B"/>
    <w:rsid w:val="00741DFE"/>
    <w:rsid w:val="0075015D"/>
    <w:rsid w:val="007636B0"/>
    <w:rsid w:val="00764994"/>
    <w:rsid w:val="00780013"/>
    <w:rsid w:val="00784089"/>
    <w:rsid w:val="00793BAC"/>
    <w:rsid w:val="007D56C0"/>
    <w:rsid w:val="008772F8"/>
    <w:rsid w:val="00885D41"/>
    <w:rsid w:val="008963BF"/>
    <w:rsid w:val="008B63F6"/>
    <w:rsid w:val="008D459D"/>
    <w:rsid w:val="008E5FA1"/>
    <w:rsid w:val="008F5EF0"/>
    <w:rsid w:val="00915F8F"/>
    <w:rsid w:val="00930A0B"/>
    <w:rsid w:val="0093481A"/>
    <w:rsid w:val="00985453"/>
    <w:rsid w:val="00986E5E"/>
    <w:rsid w:val="009A1902"/>
    <w:rsid w:val="009B4317"/>
    <w:rsid w:val="009B5522"/>
    <w:rsid w:val="009C5B14"/>
    <w:rsid w:val="009D606F"/>
    <w:rsid w:val="009D67E7"/>
    <w:rsid w:val="009E462D"/>
    <w:rsid w:val="00A12FFD"/>
    <w:rsid w:val="00A2021E"/>
    <w:rsid w:val="00A40D49"/>
    <w:rsid w:val="00A770E0"/>
    <w:rsid w:val="00A81C13"/>
    <w:rsid w:val="00AB6F6E"/>
    <w:rsid w:val="00AD49E3"/>
    <w:rsid w:val="00B00B5C"/>
    <w:rsid w:val="00B132F8"/>
    <w:rsid w:val="00B61050"/>
    <w:rsid w:val="00B808F8"/>
    <w:rsid w:val="00B9439C"/>
    <w:rsid w:val="00BA2E95"/>
    <w:rsid w:val="00BE3490"/>
    <w:rsid w:val="00BF6C0B"/>
    <w:rsid w:val="00C04E14"/>
    <w:rsid w:val="00C125CF"/>
    <w:rsid w:val="00C325D1"/>
    <w:rsid w:val="00C443AB"/>
    <w:rsid w:val="00C5403A"/>
    <w:rsid w:val="00CA770F"/>
    <w:rsid w:val="00CB44CD"/>
    <w:rsid w:val="00CB7956"/>
    <w:rsid w:val="00CC13EA"/>
    <w:rsid w:val="00D00E3E"/>
    <w:rsid w:val="00D05C57"/>
    <w:rsid w:val="00D20305"/>
    <w:rsid w:val="00D30B97"/>
    <w:rsid w:val="00D7626C"/>
    <w:rsid w:val="00D8684B"/>
    <w:rsid w:val="00DA3FEE"/>
    <w:rsid w:val="00DC0096"/>
    <w:rsid w:val="00E02109"/>
    <w:rsid w:val="00E34011"/>
    <w:rsid w:val="00E37614"/>
    <w:rsid w:val="00E418DB"/>
    <w:rsid w:val="00E720ED"/>
    <w:rsid w:val="00E8210A"/>
    <w:rsid w:val="00EB54EE"/>
    <w:rsid w:val="00EB67DC"/>
    <w:rsid w:val="00EE0250"/>
    <w:rsid w:val="00EE3BDB"/>
    <w:rsid w:val="00EF6C89"/>
    <w:rsid w:val="00F32373"/>
    <w:rsid w:val="00F33EA8"/>
    <w:rsid w:val="00F669B5"/>
    <w:rsid w:val="00F846B3"/>
    <w:rsid w:val="00F976E4"/>
    <w:rsid w:val="00F97CC8"/>
    <w:rsid w:val="00FB1CE5"/>
    <w:rsid w:val="00FB4D49"/>
    <w:rsid w:val="00FB797C"/>
    <w:rsid w:val="00FC2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26603"/>
  <w15:chartTrackingRefBased/>
  <w15:docId w15:val="{FC9A504E-07CE-4F2B-81F2-E9DD9EA36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1E0"/>
  </w:style>
  <w:style w:type="paragraph" w:styleId="Heading1">
    <w:name w:val="heading 1"/>
    <w:basedOn w:val="Normal"/>
    <w:next w:val="Normal"/>
    <w:link w:val="Heading1Char"/>
    <w:uiPriority w:val="9"/>
    <w:qFormat/>
    <w:rsid w:val="00531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1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1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1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1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52C"/>
    <w:rPr>
      <w:rFonts w:eastAsiaTheme="majorEastAsia" w:cstheme="majorBidi"/>
      <w:color w:val="272727" w:themeColor="text1" w:themeTint="D8"/>
    </w:rPr>
  </w:style>
  <w:style w:type="paragraph" w:styleId="Title">
    <w:name w:val="Title"/>
    <w:basedOn w:val="Normal"/>
    <w:next w:val="Normal"/>
    <w:link w:val="TitleChar"/>
    <w:uiPriority w:val="10"/>
    <w:qFormat/>
    <w:rsid w:val="00531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52C"/>
    <w:pPr>
      <w:spacing w:before="160"/>
      <w:jc w:val="center"/>
    </w:pPr>
    <w:rPr>
      <w:i/>
      <w:iCs/>
      <w:color w:val="404040" w:themeColor="text1" w:themeTint="BF"/>
    </w:rPr>
  </w:style>
  <w:style w:type="character" w:customStyle="1" w:styleId="QuoteChar">
    <w:name w:val="Quote Char"/>
    <w:basedOn w:val="DefaultParagraphFont"/>
    <w:link w:val="Quote"/>
    <w:uiPriority w:val="29"/>
    <w:rsid w:val="0053152C"/>
    <w:rPr>
      <w:i/>
      <w:iCs/>
      <w:color w:val="404040" w:themeColor="text1" w:themeTint="BF"/>
    </w:rPr>
  </w:style>
  <w:style w:type="paragraph" w:styleId="ListParagraph">
    <w:name w:val="List Paragraph"/>
    <w:basedOn w:val="Normal"/>
    <w:uiPriority w:val="34"/>
    <w:qFormat/>
    <w:rsid w:val="0053152C"/>
    <w:pPr>
      <w:ind w:left="720"/>
      <w:contextualSpacing/>
    </w:pPr>
  </w:style>
  <w:style w:type="character" w:styleId="IntenseEmphasis">
    <w:name w:val="Intense Emphasis"/>
    <w:basedOn w:val="DefaultParagraphFont"/>
    <w:uiPriority w:val="21"/>
    <w:qFormat/>
    <w:rsid w:val="0053152C"/>
    <w:rPr>
      <w:i/>
      <w:iCs/>
      <w:color w:val="0F4761" w:themeColor="accent1" w:themeShade="BF"/>
    </w:rPr>
  </w:style>
  <w:style w:type="paragraph" w:styleId="IntenseQuote">
    <w:name w:val="Intense Quote"/>
    <w:basedOn w:val="Normal"/>
    <w:next w:val="Normal"/>
    <w:link w:val="IntenseQuoteChar"/>
    <w:uiPriority w:val="30"/>
    <w:qFormat/>
    <w:rsid w:val="00531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52C"/>
    <w:rPr>
      <w:i/>
      <w:iCs/>
      <w:color w:val="0F4761" w:themeColor="accent1" w:themeShade="BF"/>
    </w:rPr>
  </w:style>
  <w:style w:type="character" w:styleId="IntenseReference">
    <w:name w:val="Intense Reference"/>
    <w:basedOn w:val="DefaultParagraphFont"/>
    <w:uiPriority w:val="32"/>
    <w:qFormat/>
    <w:rsid w:val="0053152C"/>
    <w:rPr>
      <w:b/>
      <w:bCs/>
      <w:smallCaps/>
      <w:color w:val="0F4761" w:themeColor="accent1" w:themeShade="BF"/>
      <w:spacing w:val="5"/>
    </w:rPr>
  </w:style>
  <w:style w:type="character" w:styleId="Hyperlink">
    <w:name w:val="Hyperlink"/>
    <w:basedOn w:val="DefaultParagraphFont"/>
    <w:uiPriority w:val="99"/>
    <w:unhideWhenUsed/>
    <w:rsid w:val="0053152C"/>
    <w:rPr>
      <w:color w:val="467886" w:themeColor="hyperlink"/>
      <w:u w:val="single"/>
    </w:rPr>
  </w:style>
  <w:style w:type="character" w:styleId="UnresolvedMention">
    <w:name w:val="Unresolved Mention"/>
    <w:basedOn w:val="DefaultParagraphFont"/>
    <w:uiPriority w:val="99"/>
    <w:semiHidden/>
    <w:unhideWhenUsed/>
    <w:rsid w:val="0053152C"/>
    <w:rPr>
      <w:color w:val="605E5C"/>
      <w:shd w:val="clear" w:color="auto" w:fill="E1DFDD"/>
    </w:rPr>
  </w:style>
  <w:style w:type="character" w:styleId="CommentReference">
    <w:name w:val="annotation reference"/>
    <w:basedOn w:val="DefaultParagraphFont"/>
    <w:uiPriority w:val="99"/>
    <w:semiHidden/>
    <w:unhideWhenUsed/>
    <w:rsid w:val="0053152C"/>
    <w:rPr>
      <w:sz w:val="16"/>
      <w:szCs w:val="16"/>
    </w:rPr>
  </w:style>
  <w:style w:type="paragraph" w:styleId="CommentText">
    <w:name w:val="annotation text"/>
    <w:basedOn w:val="Normal"/>
    <w:link w:val="CommentTextChar"/>
    <w:uiPriority w:val="99"/>
    <w:unhideWhenUsed/>
    <w:rsid w:val="0053152C"/>
    <w:pPr>
      <w:spacing w:line="240" w:lineRule="auto"/>
    </w:pPr>
    <w:rPr>
      <w:sz w:val="20"/>
      <w:szCs w:val="20"/>
    </w:rPr>
  </w:style>
  <w:style w:type="character" w:customStyle="1" w:styleId="CommentTextChar">
    <w:name w:val="Comment Text Char"/>
    <w:basedOn w:val="DefaultParagraphFont"/>
    <w:link w:val="CommentText"/>
    <w:uiPriority w:val="99"/>
    <w:rsid w:val="0053152C"/>
    <w:rPr>
      <w:sz w:val="20"/>
      <w:szCs w:val="20"/>
    </w:rPr>
  </w:style>
  <w:style w:type="paragraph" w:styleId="Caption">
    <w:name w:val="caption"/>
    <w:basedOn w:val="Normal"/>
    <w:next w:val="Normal"/>
    <w:uiPriority w:val="35"/>
    <w:unhideWhenUsed/>
    <w:qFormat/>
    <w:rsid w:val="0053152C"/>
    <w:pPr>
      <w:spacing w:after="200" w:line="240" w:lineRule="auto"/>
    </w:pPr>
    <w:rPr>
      <w:i/>
      <w:iCs/>
      <w:color w:val="0E2841" w:themeColor="text2"/>
      <w:sz w:val="18"/>
      <w:szCs w:val="18"/>
    </w:rPr>
  </w:style>
  <w:style w:type="paragraph" w:styleId="Revision">
    <w:name w:val="Revision"/>
    <w:hidden/>
    <w:uiPriority w:val="99"/>
    <w:semiHidden/>
    <w:rsid w:val="0053152C"/>
    <w:pPr>
      <w:spacing w:after="0" w:line="240" w:lineRule="auto"/>
    </w:pPr>
  </w:style>
  <w:style w:type="paragraph" w:customStyle="1" w:styleId="MDPI21heading1">
    <w:name w:val="MDPI_2.1_heading1"/>
    <w:qFormat/>
    <w:rsid w:val="0053152C"/>
    <w:pPr>
      <w:adjustRightInd w:val="0"/>
      <w:snapToGrid w:val="0"/>
      <w:spacing w:before="240" w:after="60" w:line="228" w:lineRule="auto"/>
      <w:ind w:left="2608"/>
      <w:outlineLvl w:val="0"/>
    </w:pPr>
    <w:rPr>
      <w:rFonts w:ascii="Palatino Linotype" w:eastAsia="Times New Roman" w:hAnsi="Palatino Linotype" w:cs="Times New Roman"/>
      <w:b/>
      <w:color w:val="000000"/>
      <w:kern w:val="0"/>
      <w:sz w:val="20"/>
      <w:lang w:eastAsia="de-DE" w:bidi="en-US"/>
      <w14:ligatures w14:val="none"/>
    </w:rPr>
  </w:style>
  <w:style w:type="character" w:customStyle="1" w:styleId="mord">
    <w:name w:val="mord"/>
    <w:basedOn w:val="DefaultParagraphFont"/>
    <w:rsid w:val="0053152C"/>
  </w:style>
  <w:style w:type="paragraph" w:styleId="NormalWeb">
    <w:name w:val="Normal (Web)"/>
    <w:basedOn w:val="Normal"/>
    <w:uiPriority w:val="99"/>
    <w:unhideWhenUsed/>
    <w:rsid w:val="0053152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5315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3152C"/>
    <w:rPr>
      <w:color w:val="666666"/>
    </w:rPr>
  </w:style>
  <w:style w:type="paragraph" w:styleId="CommentSubject">
    <w:name w:val="annotation subject"/>
    <w:basedOn w:val="CommentText"/>
    <w:next w:val="CommentText"/>
    <w:link w:val="CommentSubjectChar"/>
    <w:uiPriority w:val="99"/>
    <w:semiHidden/>
    <w:unhideWhenUsed/>
    <w:rsid w:val="0053152C"/>
    <w:rPr>
      <w:b/>
      <w:bCs/>
    </w:rPr>
  </w:style>
  <w:style w:type="character" w:customStyle="1" w:styleId="CommentSubjectChar">
    <w:name w:val="Comment Subject Char"/>
    <w:basedOn w:val="CommentTextChar"/>
    <w:link w:val="CommentSubject"/>
    <w:uiPriority w:val="99"/>
    <w:semiHidden/>
    <w:rsid w:val="0053152C"/>
    <w:rPr>
      <w:b/>
      <w:bCs/>
      <w:sz w:val="20"/>
      <w:szCs w:val="20"/>
    </w:rPr>
  </w:style>
  <w:style w:type="paragraph" w:styleId="Bibliography">
    <w:name w:val="Bibliography"/>
    <w:basedOn w:val="Normal"/>
    <w:next w:val="Normal"/>
    <w:uiPriority w:val="37"/>
    <w:unhideWhenUsed/>
    <w:rsid w:val="0053152C"/>
    <w:pPr>
      <w:tabs>
        <w:tab w:val="left" w:pos="504"/>
      </w:tabs>
      <w:spacing w:after="240" w:line="240" w:lineRule="auto"/>
      <w:ind w:left="504" w:hanging="504"/>
    </w:pPr>
  </w:style>
  <w:style w:type="table" w:styleId="PlainTable4">
    <w:name w:val="Plain Table 4"/>
    <w:basedOn w:val="TableNormal"/>
    <w:uiPriority w:val="44"/>
    <w:rsid w:val="0053152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315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52C"/>
  </w:style>
  <w:style w:type="paragraph" w:styleId="Footer">
    <w:name w:val="footer"/>
    <w:basedOn w:val="Normal"/>
    <w:link w:val="FooterChar"/>
    <w:uiPriority w:val="99"/>
    <w:unhideWhenUsed/>
    <w:rsid w:val="005315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52C"/>
  </w:style>
  <w:style w:type="paragraph" w:customStyle="1" w:styleId="whitespace-pre-wrap">
    <w:name w:val="whitespace-pre-wrap"/>
    <w:basedOn w:val="Normal"/>
    <w:rsid w:val="0053152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Mention">
    <w:name w:val="Mention"/>
    <w:basedOn w:val="DefaultParagraphFont"/>
    <w:uiPriority w:val="99"/>
    <w:unhideWhenUsed/>
    <w:rsid w:val="0053152C"/>
    <w:rPr>
      <w:color w:val="2B579A"/>
      <w:shd w:val="clear" w:color="auto" w:fill="E1DFDD"/>
    </w:rPr>
  </w:style>
  <w:style w:type="table" w:styleId="PlainTable1">
    <w:name w:val="Plain Table 1"/>
    <w:basedOn w:val="TableNormal"/>
    <w:uiPriority w:val="41"/>
    <w:rsid w:val="005315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53152C"/>
    <w:rPr>
      <w:i/>
      <w:iCs/>
    </w:rPr>
  </w:style>
  <w:style w:type="character" w:styleId="FollowedHyperlink">
    <w:name w:val="FollowedHyperlink"/>
    <w:basedOn w:val="DefaultParagraphFont"/>
    <w:uiPriority w:val="99"/>
    <w:semiHidden/>
    <w:unhideWhenUsed/>
    <w:rsid w:val="0053152C"/>
    <w:rPr>
      <w:color w:val="96607D" w:themeColor="followedHyperlink"/>
      <w:u w:val="single"/>
    </w:rPr>
  </w:style>
  <w:style w:type="character" w:styleId="LineNumber">
    <w:name w:val="line number"/>
    <w:basedOn w:val="DefaultParagraphFont"/>
    <w:uiPriority w:val="99"/>
    <w:semiHidden/>
    <w:unhideWhenUsed/>
    <w:rsid w:val="0053152C"/>
  </w:style>
  <w:style w:type="paragraph" w:styleId="HTMLPreformatted">
    <w:name w:val="HTML Preformatted"/>
    <w:basedOn w:val="Normal"/>
    <w:link w:val="HTMLPreformattedChar"/>
    <w:uiPriority w:val="99"/>
    <w:semiHidden/>
    <w:unhideWhenUsed/>
    <w:rsid w:val="0053152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3152C"/>
    <w:rPr>
      <w:rFonts w:ascii="Consolas" w:hAnsi="Consolas"/>
      <w:sz w:val="20"/>
      <w:szCs w:val="20"/>
    </w:rPr>
  </w:style>
  <w:style w:type="character" w:styleId="Strong">
    <w:name w:val="Strong"/>
    <w:basedOn w:val="DefaultParagraphFont"/>
    <w:uiPriority w:val="22"/>
    <w:qFormat/>
    <w:rsid w:val="00491815"/>
    <w:rPr>
      <w:b/>
      <w:bCs/>
    </w:rPr>
  </w:style>
  <w:style w:type="character" w:customStyle="1" w:styleId="relative">
    <w:name w:val="relative"/>
    <w:basedOn w:val="DefaultParagraphFont"/>
    <w:rsid w:val="00491815"/>
  </w:style>
  <w:style w:type="paragraph" w:customStyle="1" w:styleId="not-prose">
    <w:name w:val="not-prose"/>
    <w:basedOn w:val="Normal"/>
    <w:rsid w:val="0049181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ListTable6Colorful">
    <w:name w:val="List Table 6 Colorful"/>
    <w:basedOn w:val="TableNormal"/>
    <w:uiPriority w:val="51"/>
    <w:rsid w:val="00BA2E9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1092</Words>
  <Characters>6397</Characters>
  <Application>Microsoft Office Word</Application>
  <DocSecurity>0</DocSecurity>
  <Lines>115</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Vanin, Joel</dc:creator>
  <cp:keywords/>
  <dc:description/>
  <cp:lastModifiedBy>Vanin, Joel</cp:lastModifiedBy>
  <cp:revision>8</cp:revision>
  <dcterms:created xsi:type="dcterms:W3CDTF">2025-12-15T20:36:00Z</dcterms:created>
  <dcterms:modified xsi:type="dcterms:W3CDTF">2025-12-16T14:45:00Z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id="WPh5a4Zc"/&gt;&lt;style id="http://www.zotero.org/styles/vancouver" locale="en-US" hasBibliography="1" bibliographyStyleHasBeenSet="1"/&gt;&lt;prefs&gt;&lt;pref name="fieldType" value="Field"/&gt;&lt;/prefs&gt;&lt;/data&gt;</vt:lpwstr>
  </property>
</Properties>
</file>