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9A830" w14:textId="1FEB217B" w:rsidR="00742405" w:rsidRDefault="00742405" w:rsidP="00035505">
      <w:pPr>
        <w:pStyle w:val="Title"/>
        <w:rPr>
          <w:rFonts w:ascii="Palatino Linotype" w:eastAsia="Times New Roman" w:hAnsi="Palatino Linotype" w:cs="Times New Roman"/>
          <w:color w:val="000000"/>
          <w:kern w:val="0"/>
          <w:sz w:val="22"/>
          <w:szCs w:val="22"/>
          <w:lang w:eastAsia="de-DE" w:bidi="en-US"/>
          <w14:ligatures w14:val="none"/>
        </w:rPr>
      </w:pPr>
      <w:bookmarkStart w:id="0" w:name="_S3._Movement_Implementation"/>
      <w:bookmarkStart w:id="1" w:name="_Hlk216709206"/>
      <w:bookmarkStart w:id="2" w:name="_Hlk216709602"/>
      <w:bookmarkEnd w:id="0"/>
      <w:r w:rsidRPr="00CB7956">
        <w:rPr>
          <w:rFonts w:ascii="Palatino Linotype" w:hAnsi="Palatino Linotype"/>
          <w:sz w:val="22"/>
          <w:szCs w:val="22"/>
        </w:rPr>
        <w:t>S</w:t>
      </w:r>
      <w:r>
        <w:rPr>
          <w:rFonts w:ascii="Palatino Linotype" w:hAnsi="Palatino Linotype"/>
          <w:sz w:val="22"/>
          <w:szCs w:val="22"/>
        </w:rPr>
        <w:t>5</w:t>
      </w:r>
      <w:r w:rsidRPr="00CB7956">
        <w:rPr>
          <w:rFonts w:ascii="Palatino Linotype" w:hAnsi="Palatino Linotype"/>
          <w:sz w:val="22"/>
          <w:szCs w:val="22"/>
        </w:rPr>
        <w:t xml:space="preserve"> Text. </w:t>
      </w:r>
      <w:r w:rsidR="006F5A47" w:rsidRPr="006F5A47">
        <w:rPr>
          <w:rFonts w:ascii="Palatino Linotype" w:hAnsi="Palatino Linotype"/>
          <w:sz w:val="22"/>
          <w:szCs w:val="22"/>
        </w:rPr>
        <w:t>V‑Cornea Supplemental Mathematical Formulation for EGF Reaction-Diffusion Dynamics.</w:t>
      </w:r>
      <w:r w:rsidRPr="00CB7956">
        <w:rPr>
          <w:rStyle w:val="Emphasis"/>
          <w:rFonts w:eastAsiaTheme="minorHAnsi" w:cstheme="minorBidi"/>
          <w:spacing w:val="0"/>
          <w:kern w:val="2"/>
          <w:sz w:val="22"/>
          <w:szCs w:val="22"/>
        </w:rPr>
        <w:br/>
      </w:r>
      <w:r w:rsidRPr="00CB7956">
        <w:rPr>
          <w:rFonts w:ascii="Palatino Linotype" w:eastAsiaTheme="minorHAnsi" w:hAnsi="Palatino Linotype" w:cstheme="minorBidi"/>
          <w:spacing w:val="0"/>
          <w:kern w:val="2"/>
          <w:sz w:val="22"/>
          <w:szCs w:val="22"/>
        </w:rPr>
        <w:t xml:space="preserve">Manuscript Title: </w:t>
      </w:r>
      <w:r w:rsidRPr="00CB7956">
        <w:rPr>
          <w:rFonts w:ascii="Palatino Linotype" w:hAnsi="Palatino Linotype"/>
          <w:sz w:val="22"/>
          <w:szCs w:val="22"/>
        </w:rPr>
        <w:t>V-Cornea: A computational model of corneal epithelium homeostasis, injury, and recovery</w:t>
      </w:r>
      <w:r w:rsidRPr="00CB7956">
        <w:rPr>
          <w:rFonts w:ascii="Palatino Linotype" w:hAnsi="Palatino Linotype"/>
          <w:sz w:val="22"/>
          <w:szCs w:val="22"/>
        </w:rPr>
        <w:br/>
        <w:t xml:space="preserve">Authors: </w:t>
      </w:r>
      <w:r w:rsidRPr="00CB7956">
        <w:rPr>
          <w:rStyle w:val="Emphasis"/>
          <w:rFonts w:ascii="Palatino Linotype" w:hAnsi="Palatino Linotype"/>
          <w:sz w:val="22"/>
          <w:szCs w:val="22"/>
        </w:rPr>
        <w:t xml:space="preserve">Joel Vanin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Michael Getz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Catherine Mahony </w:t>
      </w:r>
      <w:r w:rsidRPr="00CB7956">
        <w:rPr>
          <w:rStyle w:val="Emphasis"/>
          <w:rFonts w:ascii="Palatino Linotype" w:hAnsi="Palatino Linotype"/>
          <w:sz w:val="22"/>
          <w:szCs w:val="22"/>
          <w:vertAlign w:val="superscript"/>
        </w:rPr>
        <w:t>b</w:t>
      </w:r>
      <w:r w:rsidRPr="00CB7956">
        <w:rPr>
          <w:rStyle w:val="Emphasis"/>
          <w:rFonts w:ascii="Palatino Linotype" w:hAnsi="Palatino Linotype"/>
          <w:sz w:val="22"/>
          <w:szCs w:val="22"/>
        </w:rPr>
        <w:t xml:space="preserve">, Thomas B. Knudsen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&amp; James A. Glazier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w:t>
      </w:r>
      <w:r w:rsidRPr="00CB7956">
        <w:rPr>
          <w:rStyle w:val="Emphasis"/>
          <w:rFonts w:ascii="Palatino Linotype" w:hAnsi="Palatino Linotype"/>
          <w:sz w:val="22"/>
          <w:szCs w:val="22"/>
        </w:rPr>
        <w:br/>
      </w:r>
      <w:r w:rsidRPr="00CB7956">
        <w:rPr>
          <w:rStyle w:val="Emphasis"/>
          <w:rFonts w:ascii="Palatino Linotype" w:hAnsi="Palatino Linotype"/>
          <w:i w:val="0"/>
          <w:iCs w:val="0"/>
          <w:sz w:val="22"/>
          <w:szCs w:val="22"/>
        </w:rPr>
        <w:t>Affiliations:</w:t>
      </w:r>
      <w:r w:rsidRPr="00CB7956">
        <w:rPr>
          <w:rStyle w:val="Emphasis"/>
          <w:rFonts w:ascii="Palatino Linotype" w:hAnsi="Palatino Linotype"/>
          <w:sz w:val="22"/>
          <w:szCs w:val="22"/>
        </w:rPr>
        <w:t xml:space="preserve"> </w:t>
      </w:r>
      <w:r w:rsidRPr="00CB7956">
        <w:rPr>
          <w:rFonts w:ascii="Palatino Linotype" w:eastAsia="Times New Roman" w:hAnsi="Palatino Linotype" w:cs="Times New Roman"/>
          <w:color w:val="000000"/>
          <w:kern w:val="0"/>
          <w:sz w:val="22"/>
          <w:szCs w:val="22"/>
          <w:vertAlign w:val="superscript"/>
          <w:lang w:eastAsia="de-DE" w:bidi="en-US"/>
          <w14:ligatures w14:val="none"/>
        </w:rPr>
        <w:t>a</w:t>
      </w:r>
      <w:r w:rsidRPr="00CB7956">
        <w:rPr>
          <w:rFonts w:ascii="Palatino Linotype" w:eastAsia="Times New Roman" w:hAnsi="Palatino Linotype" w:cs="Times New Roman"/>
          <w:color w:val="000000"/>
          <w:kern w:val="0"/>
          <w:sz w:val="22"/>
          <w:szCs w:val="22"/>
          <w:lang w:eastAsia="de-DE" w:bidi="en-US"/>
          <w14:ligatures w14:val="none"/>
        </w:rPr>
        <w:t xml:space="preserve"> Department of Intelligent Systems Engineering and Biocomplexity Institute, Indiana University, Bloomington, Indiana, United States of America;</w:t>
      </w:r>
      <w:r w:rsidRPr="00CB7956">
        <w:rPr>
          <w:rFonts w:ascii="Palatino Linotype" w:eastAsia="Times New Roman" w:hAnsi="Palatino Linotype" w:cs="Times New Roman"/>
          <w:color w:val="000000"/>
          <w:kern w:val="0"/>
          <w:sz w:val="16"/>
          <w:szCs w:val="16"/>
          <w:lang w:eastAsia="de-DE" w:bidi="en-US"/>
          <w14:ligatures w14:val="none"/>
        </w:rPr>
        <w:t xml:space="preserve">  </w:t>
      </w:r>
      <w:r w:rsidRPr="00CB7956">
        <w:rPr>
          <w:rFonts w:ascii="Palatino Linotype" w:eastAsia="Times New Roman" w:hAnsi="Palatino Linotype" w:cs="Times New Roman"/>
          <w:color w:val="000000"/>
          <w:kern w:val="0"/>
          <w:sz w:val="22"/>
          <w:szCs w:val="24"/>
          <w:vertAlign w:val="superscript"/>
          <w:lang w:eastAsia="de-DE" w:bidi="en-US"/>
          <w14:ligatures w14:val="none"/>
        </w:rPr>
        <w:t>b</w:t>
      </w:r>
      <w:r w:rsidRPr="00CB7956">
        <w:rPr>
          <w:rFonts w:ascii="Palatino Linotype" w:eastAsia="Times New Roman" w:hAnsi="Palatino Linotype" w:cs="Times New Roman"/>
          <w:color w:val="000000"/>
          <w:kern w:val="0"/>
          <w:sz w:val="22"/>
          <w:szCs w:val="22"/>
          <w:lang w:eastAsia="de-DE" w:bidi="en-US"/>
          <w14:ligatures w14:val="none"/>
        </w:rPr>
        <w:t xml:space="preserve"> Procter &amp; Gamble Technical Centre, Reading, United Kingdom;</w:t>
      </w:r>
    </w:p>
    <w:bookmarkEnd w:id="1"/>
    <w:bookmarkEnd w:id="2"/>
    <w:p w14:paraId="655933D2" w14:textId="57566BFF" w:rsidR="0053152C" w:rsidRPr="00E628CF" w:rsidRDefault="00444A2F" w:rsidP="0053152C">
      <w:pPr>
        <w:pStyle w:val="Heading1"/>
        <w:rPr>
          <w:rFonts w:ascii="Palatino Linotype" w:hAnsi="Palatino Linotype"/>
        </w:rPr>
      </w:pPr>
      <w:r w:rsidRPr="00444A2F">
        <w:rPr>
          <w:rFonts w:ascii="Palatino Linotype" w:hAnsi="Palatino Linotype"/>
        </w:rPr>
        <w:t>S</w:t>
      </w:r>
      <w:r>
        <w:rPr>
          <w:rFonts w:ascii="Palatino Linotype" w:hAnsi="Palatino Linotype"/>
        </w:rPr>
        <w:t>5</w:t>
      </w:r>
      <w:r w:rsidR="0053152C" w:rsidRPr="00E628CF">
        <w:rPr>
          <w:rFonts w:ascii="Palatino Linotype" w:hAnsi="Palatino Linotype"/>
        </w:rPr>
        <w:t>. EGF Dynamics Mathematical Formulation</w:t>
      </w:r>
    </w:p>
    <w:p w14:paraId="2A25EA4A" w14:textId="585C3801" w:rsidR="0053152C" w:rsidRPr="00E628CF" w:rsidRDefault="00444A2F" w:rsidP="0053152C">
      <w:pPr>
        <w:pStyle w:val="Heading2"/>
        <w:rPr>
          <w:rFonts w:ascii="Palatino Linotype" w:hAnsi="Palatino Linotype"/>
        </w:rPr>
      </w:pPr>
      <w:r w:rsidRPr="00444A2F">
        <w:rPr>
          <w:rFonts w:ascii="Palatino Linotype" w:hAnsi="Palatino Linotype"/>
        </w:rPr>
        <w:t>S</w:t>
      </w:r>
      <w:r>
        <w:rPr>
          <w:rFonts w:ascii="Palatino Linotype" w:hAnsi="Palatino Linotype"/>
        </w:rPr>
        <w:t>5</w:t>
      </w:r>
      <w:r w:rsidR="0053152C" w:rsidRPr="00E628CF">
        <w:rPr>
          <w:rFonts w:ascii="Palatino Linotype" w:hAnsi="Palatino Linotype"/>
        </w:rPr>
        <w:t>.1 Spatiotemporal Evolution</w:t>
      </w:r>
    </w:p>
    <w:p w14:paraId="0B99DB0C" w14:textId="77777777" w:rsidR="0053152C" w:rsidRPr="00437A98" w:rsidRDefault="0053152C" w:rsidP="0053152C">
      <w:pPr>
        <w:rPr>
          <w:rFonts w:ascii="Palatino Linotype" w:hAnsi="Palatino Linotype"/>
        </w:rPr>
      </w:pPr>
      <w:r w:rsidRPr="00437A98">
        <w:rPr>
          <w:rFonts w:ascii="Palatino Linotype" w:hAnsi="Palatino Linotype"/>
        </w:rPr>
        <w:t xml:space="preserve">The EGF concentration field </w:t>
      </w:r>
      <m:oMath>
        <m:sSub>
          <m:sSubPr>
            <m:ctrlPr>
              <w:rPr>
                <w:rFonts w:ascii="Cambria Math" w:hAnsi="Cambria Math"/>
                <w:i/>
              </w:rPr>
            </m:ctrlPr>
          </m:sSubPr>
          <m:e>
            <m:r>
              <w:rPr>
                <w:rFonts w:ascii="Cambria Math" w:hAnsi="Cambria Math"/>
              </w:rPr>
              <m:t>c</m:t>
            </m:r>
          </m:e>
          <m:sub>
            <m:r>
              <w:rPr>
                <w:rFonts w:ascii="Cambria Math" w:hAnsi="Cambria Math"/>
              </w:rPr>
              <m:t>EGF</m:t>
            </m:r>
          </m:sub>
        </m:sSub>
        <m:r>
          <w:rPr>
            <w:rFonts w:ascii="Cambria Math" w:hAnsi="Cambria Math"/>
          </w:rPr>
          <m:t>(x,y,t)</m:t>
        </m:r>
      </m:oMath>
      <w:r w:rsidRPr="00437A98">
        <w:rPr>
          <w:rFonts w:ascii="Palatino Linotype" w:hAnsi="Palatino Linotype"/>
        </w:rPr>
        <w:t xml:space="preserve"> evolves according to the reaction-diffusion equation:</w:t>
      </w:r>
    </w:p>
    <w:p w14:paraId="28751DBF" w14:textId="0C797A7E" w:rsidR="0053152C" w:rsidRPr="00125D0B" w:rsidRDefault="00000000" w:rsidP="0053152C">
      <w:pPr>
        <w:rPr>
          <w:rFonts w:ascii="Palatino Linotype" w:eastAsiaTheme="minorEastAsia" w:hAnsi="Palatino Linotype"/>
          <w:iCs/>
        </w:rPr>
      </w:pPr>
      <m:oMathPara>
        <m:oMath>
          <m:eqArr>
            <m:eqArrPr>
              <m:maxDist m:val="1"/>
              <m:ctrlPr>
                <w:rPr>
                  <w:rFonts w:ascii="Cambria Math" w:hAnsi="Cambria Math"/>
                  <w:i/>
                </w:rPr>
              </m:ctrlPr>
            </m:eqArrPr>
            <m:e>
              <w:bookmarkStart w:id="3" w:name="E38"/>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EGF</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EGF</m:t>
                  </m:r>
                </m:sub>
              </m:sSub>
              <m:d>
                <m:dPr>
                  <m:ctrlPr>
                    <w:rPr>
                      <w:rFonts w:ascii="Cambria Math" w:hAnsi="Cambria Math"/>
                      <w:i/>
                    </w:rPr>
                  </m:ctrlPr>
                </m:dPr>
                <m:e>
                  <m:r>
                    <w:rPr>
                      <w:rFonts w:ascii="Cambria Math" w:hAnsi="Cambria Math"/>
                    </w:rPr>
                    <m:t>x,y</m:t>
                  </m:r>
                </m:e>
              </m:d>
              <m:sSup>
                <m:sSupPr>
                  <m:ctrlPr>
                    <w:rPr>
                      <w:rFonts w:ascii="Cambria Math" w:hAnsi="Cambria Math" w:cs="Palatino Linotype"/>
                      <w:i/>
                    </w:rPr>
                  </m:ctrlPr>
                </m:sSupPr>
                <m:e>
                  <m:r>
                    <m:rPr>
                      <m:sty m:val="p"/>
                    </m:rPr>
                    <w:rPr>
                      <w:rFonts w:ascii="Cambria Math" w:hAnsi="Cambria Math" w:cs="Cambria Math"/>
                    </w:rPr>
                    <m:t>∇</m:t>
                  </m:r>
                  <m:ctrlPr>
                    <w:rPr>
                      <w:rFonts w:ascii="Cambria Math" w:hAnsi="Cambria Math" w:cs="Cambria Math"/>
                      <w:i/>
                    </w:rPr>
                  </m:ctrlPr>
                </m:e>
                <m:sup>
                  <m:r>
                    <w:rPr>
                      <w:rFonts w:ascii="Cambria Math" w:hAnsi="Cambria Math" w:cs="Palatino Linotype"/>
                    </w:rPr>
                    <m:t>2</m:t>
                  </m:r>
                </m:sup>
              </m:sSup>
              <m:sSub>
                <m:sSubPr>
                  <m:ctrlPr>
                    <w:rPr>
                      <w:rFonts w:ascii="Cambria Math" w:hAnsi="Cambria Math"/>
                      <w:i/>
                    </w:rPr>
                  </m:ctrlPr>
                </m:sSubPr>
                <m:e>
                  <m:r>
                    <w:rPr>
                      <w:rFonts w:ascii="Cambria Math" w:hAnsi="Cambria Math"/>
                    </w:rPr>
                    <m:t>c</m:t>
                  </m:r>
                </m:e>
                <m:sub>
                  <m:r>
                    <w:rPr>
                      <w:rFonts w:ascii="Cambria Math" w:hAnsi="Cambria Math"/>
                    </w:rPr>
                    <m:t>EGF</m:t>
                  </m:r>
                </m:sub>
              </m:sSub>
              <m:r>
                <w:rPr>
                  <w:rFonts w:ascii="Cambria Math" w:hAnsi="Cambria Math"/>
                </w:rPr>
                <m:t>-</m:t>
              </m:r>
              <m:sSub>
                <m:sSubPr>
                  <m:ctrlPr>
                    <w:rPr>
                      <w:rFonts w:ascii="Cambria Math" w:hAnsi="Cambria Math"/>
                      <w:i/>
                      <w:iCs/>
                    </w:rPr>
                  </m:ctrlPr>
                </m:sSubPr>
                <m:e>
                  <m:r>
                    <w:rPr>
                      <w:rFonts w:ascii="Cambria Math" w:hAnsi="Cambria Math"/>
                    </w:rPr>
                    <m:t>k</m:t>
                  </m:r>
                </m:e>
                <m:sub>
                  <m:sSub>
                    <m:sSubPr>
                      <m:ctrlPr>
                        <w:rPr>
                          <w:rFonts w:ascii="Cambria Math" w:hAnsi="Cambria Math"/>
                          <w:i/>
                        </w:rPr>
                      </m:ctrlPr>
                    </m:sSubPr>
                    <m:e>
                      <m:r>
                        <w:rPr>
                          <w:rFonts w:ascii="Cambria Math" w:hAnsi="Cambria Math"/>
                        </w:rPr>
                        <m:t>d</m:t>
                      </m:r>
                    </m:e>
                    <m:sub>
                      <m:r>
                        <w:rPr>
                          <w:rFonts w:ascii="Cambria Math" w:hAnsi="Cambria Math"/>
                        </w:rPr>
                        <m:t>EGF</m:t>
                      </m:r>
                    </m:sub>
                  </m:sSub>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EGF</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EGF</m:t>
                  </m:r>
                </m:sub>
              </m:sSub>
              <m:d>
                <m:dPr>
                  <m:ctrlPr>
                    <w:rPr>
                      <w:rFonts w:ascii="Cambria Math" w:hAnsi="Cambria Math"/>
                      <w:i/>
                    </w:rPr>
                  </m:ctrlPr>
                </m:dPr>
                <m:e>
                  <m:r>
                    <w:rPr>
                      <w:rFonts w:ascii="Cambria Math" w:hAnsi="Cambria Math"/>
                    </w:rPr>
                    <m:t>x,y,t</m:t>
                  </m:r>
                </m:e>
              </m:d>
              <w:bookmarkEnd w:id="3"/>
              <m:r>
                <w:rPr>
                  <w:rFonts w:ascii="Cambria Math" w:hAnsi="Cambria Math"/>
                </w:rPr>
                <m:t>#</m:t>
              </m:r>
              <w:bookmarkStart w:id="4" w:name="E35"/>
              <w:bookmarkEnd w:id="4"/>
              <m:d>
                <m:dPr>
                  <m:ctrlPr>
                    <w:rPr>
                      <w:rFonts w:ascii="Cambria Math" w:hAnsi="Cambria Math"/>
                      <w:i/>
                    </w:rPr>
                  </m:ctrlPr>
                </m:dPr>
                <m:e>
                  <m:r>
                    <w:rPr>
                      <w:rFonts w:ascii="Cambria Math" w:hAnsi="Cambria Math"/>
                    </w:rPr>
                    <m:t>S38</m:t>
                  </m:r>
                </m:e>
              </m:d>
              <m:ctrlPr>
                <w:rPr>
                  <w:rFonts w:ascii="Cambria Math" w:hAnsi="Cambria Math"/>
                  <w:i/>
                  <w:iCs/>
                </w:rPr>
              </m:ctrlPr>
            </m:e>
          </m:eqArr>
        </m:oMath>
      </m:oMathPara>
    </w:p>
    <w:p w14:paraId="3002FFAE" w14:textId="77777777" w:rsidR="0053152C" w:rsidRDefault="0053152C" w:rsidP="0053152C">
      <w:pPr>
        <w:rPr>
          <w:rFonts w:ascii="Palatino Linotype" w:hAnsi="Palatino Linotype"/>
        </w:rPr>
      </w:pPr>
      <w:r>
        <w:rPr>
          <w:rFonts w:ascii="Palatino Linotype" w:hAnsi="Palatino Linotype"/>
        </w:rPr>
        <w:t>w</w:t>
      </w:r>
      <w:r w:rsidRPr="00437A98">
        <w:rPr>
          <w:rFonts w:ascii="Palatino Linotype" w:hAnsi="Palatino Linotype"/>
        </w:rPr>
        <w:t>here</w:t>
      </w:r>
      <w:r>
        <w:rPr>
          <w:rFonts w:ascii="Palatino Linotype" w:hAnsi="Palatino Linotype"/>
        </w:rPr>
        <w:t xml:space="preserve"> </w:t>
      </w:r>
      <m:oMath>
        <m:sSub>
          <m:sSubPr>
            <m:ctrlPr>
              <w:rPr>
                <w:rFonts w:ascii="Cambria Math" w:hAnsi="Cambria Math"/>
                <w:i/>
              </w:rPr>
            </m:ctrlPr>
          </m:sSubPr>
          <m:e>
            <m:r>
              <w:rPr>
                <w:rFonts w:ascii="Cambria Math" w:hAnsi="Cambria Math"/>
              </w:rPr>
              <m:t>D</m:t>
            </m:r>
          </m:e>
          <m:sub>
            <m:r>
              <w:rPr>
                <w:rFonts w:ascii="Cambria Math" w:hAnsi="Cambria Math"/>
              </w:rPr>
              <m:t>EGF</m:t>
            </m:r>
          </m:sub>
        </m:sSub>
        <m:r>
          <w:rPr>
            <w:rFonts w:ascii="Cambria Math" w:hAnsi="Cambria Math"/>
          </w:rPr>
          <m:t>(x,y)</m:t>
        </m:r>
      </m:oMath>
      <w:r w:rsidRPr="00437A98">
        <w:rPr>
          <w:rFonts w:ascii="Palatino Linotype" w:hAnsi="Palatino Linotype"/>
        </w:rPr>
        <w:t xml:space="preserve"> is the cell-type dependent diffusion coefficient</w:t>
      </w:r>
      <w:r>
        <w:rPr>
          <w:rFonts w:ascii="Palatino Linotype" w:hAnsi="Palatino Linotype"/>
        </w:rPr>
        <w:t xml:space="preserve">, </w:t>
      </w:r>
      <m:oMath>
        <m:sSub>
          <m:sSubPr>
            <m:ctrlPr>
              <w:rPr>
                <w:rFonts w:ascii="Cambria Math" w:eastAsiaTheme="minorEastAsia" w:hAnsi="Cambria Math"/>
                <w:i/>
              </w:rPr>
            </m:ctrlPr>
          </m:sSubPr>
          <m:e>
            <m:r>
              <w:rPr>
                <w:rFonts w:ascii="Cambria Math" w:eastAsiaTheme="minorEastAsia" w:hAnsi="Cambria Math"/>
              </w:rPr>
              <m:t>k</m:t>
            </m:r>
          </m:e>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EGF</m:t>
                </m:r>
              </m:sub>
            </m:sSub>
          </m:sub>
        </m:sSub>
        <m:r>
          <w:rPr>
            <w:rFonts w:ascii="Cambria Math" w:eastAsiaTheme="minorEastAsia" w:hAnsi="Cambria Math"/>
          </w:rPr>
          <m:t>= 0.5 MCS⁻¹</m:t>
        </m:r>
      </m:oMath>
      <w:r w:rsidRPr="00437A98">
        <w:rPr>
          <w:rFonts w:ascii="Palatino Linotype" w:hAnsi="Palatino Linotype"/>
        </w:rPr>
        <w:t xml:space="preserve"> </w:t>
      </w:r>
      <m:oMath>
        <m:r>
          <w:rPr>
            <w:rFonts w:ascii="Cambria Math" w:hAnsi="Cambria Math"/>
          </w:rPr>
          <m:t>(EG</m:t>
        </m:r>
        <m:sSub>
          <m:sSubPr>
            <m:ctrlPr>
              <w:rPr>
                <w:rFonts w:ascii="Cambria Math" w:hAnsi="Cambria Math"/>
                <w:i/>
              </w:rPr>
            </m:ctrlPr>
          </m:sSubPr>
          <m:e>
            <m:r>
              <w:rPr>
                <w:rFonts w:ascii="Cambria Math" w:hAnsi="Cambria Math"/>
              </w:rPr>
              <m:t>F</m:t>
            </m:r>
          </m:e>
          <m:sub>
            <m:r>
              <w:rPr>
                <w:rFonts w:ascii="Cambria Math" w:hAnsi="Cambria Math"/>
              </w:rPr>
              <m:t>GlobalDecay</m:t>
            </m:r>
          </m:sub>
        </m:sSub>
        <m:r>
          <w:rPr>
            <w:rFonts w:ascii="Cambria Math" w:hAnsi="Cambria Math"/>
          </w:rPr>
          <m:t>)</m:t>
        </m:r>
      </m:oMath>
      <w:r w:rsidRPr="00437A98">
        <w:rPr>
          <w:rFonts w:ascii="Palatino Linotype" w:hAnsi="Palatino Linotype"/>
        </w:rPr>
        <w:t xml:space="preserve"> is the global decay rate</w:t>
      </w:r>
      <w:r>
        <w:rPr>
          <w:rFonts w:ascii="Palatino Linotype" w:hAnsi="Palatino Linotype"/>
        </w:rPr>
        <w:t xml:space="preserve">, </w:t>
      </w:r>
      <m:oMath>
        <m:sSub>
          <m:sSubPr>
            <m:ctrlPr>
              <w:rPr>
                <w:rFonts w:ascii="Cambria Math" w:hAnsi="Cambria Math"/>
                <w:i/>
              </w:rPr>
            </m:ctrlPr>
          </m:sSubPr>
          <m:e>
            <m:r>
              <w:rPr>
                <w:rFonts w:ascii="Cambria Math" w:hAnsi="Cambria Math"/>
              </w:rPr>
              <m:t>Ω</m:t>
            </m:r>
          </m:e>
          <m:sub>
            <m:r>
              <w:rPr>
                <w:rFonts w:ascii="Cambria Math" w:hAnsi="Cambria Math"/>
              </w:rPr>
              <m:t>EGF</m:t>
            </m:r>
          </m:sub>
        </m:sSub>
        <m:r>
          <w:rPr>
            <w:rFonts w:ascii="Cambria Math" w:hAnsi="Cambria Math"/>
          </w:rPr>
          <m:t>(x,y,t)</m:t>
        </m:r>
      </m:oMath>
      <w:r w:rsidRPr="00437A98">
        <w:rPr>
          <w:rFonts w:ascii="Palatino Linotype" w:hAnsi="Palatino Linotype"/>
        </w:rPr>
        <w:t xml:space="preserve"> represents the net source/sink terms</w:t>
      </w:r>
      <w:r>
        <w:rPr>
          <w:rFonts w:ascii="Palatino Linotype" w:hAnsi="Palatino Linotype"/>
        </w:rPr>
        <w:t>.</w:t>
      </w:r>
    </w:p>
    <w:p w14:paraId="7E178123" w14:textId="77777777" w:rsidR="0053152C" w:rsidRPr="00437A98" w:rsidRDefault="0053152C" w:rsidP="0053152C">
      <w:pPr>
        <w:rPr>
          <w:rFonts w:ascii="Palatino Linotype" w:hAnsi="Palatino Linotype"/>
        </w:rPr>
      </w:pPr>
    </w:p>
    <w:p w14:paraId="66C20E21" w14:textId="4FA8C38D" w:rsidR="0053152C" w:rsidRPr="00E628CF" w:rsidRDefault="00444A2F" w:rsidP="0053152C">
      <w:pPr>
        <w:pStyle w:val="Heading2"/>
        <w:rPr>
          <w:rFonts w:ascii="Palatino Linotype" w:hAnsi="Palatino Linotype"/>
        </w:rPr>
      </w:pPr>
      <w:r w:rsidRPr="00444A2F">
        <w:rPr>
          <w:rFonts w:ascii="Palatino Linotype" w:hAnsi="Palatino Linotype"/>
        </w:rPr>
        <w:t>S</w:t>
      </w:r>
      <w:r>
        <w:rPr>
          <w:rFonts w:ascii="Palatino Linotype" w:hAnsi="Palatino Linotype"/>
        </w:rPr>
        <w:t>5</w:t>
      </w:r>
      <w:r w:rsidR="0053152C" w:rsidRPr="00E628CF">
        <w:rPr>
          <w:rFonts w:ascii="Palatino Linotype" w:hAnsi="Palatino Linotype"/>
        </w:rPr>
        <w:t>.2 Cell-Type Dependent Transport</w:t>
      </w:r>
    </w:p>
    <w:p w14:paraId="3DA4EFEA" w14:textId="77777777" w:rsidR="0053152C" w:rsidRDefault="0053152C" w:rsidP="0053152C">
      <w:pPr>
        <w:rPr>
          <w:rFonts w:ascii="Palatino Linotype" w:hAnsi="Palatino Linotype"/>
        </w:rPr>
      </w:pPr>
      <w:r>
        <w:rPr>
          <w:rFonts w:ascii="Palatino Linotype" w:hAnsi="Palatino Linotype"/>
        </w:rPr>
        <w:t xml:space="preserve">EGF </w:t>
      </w:r>
      <w:r w:rsidRPr="00437A98">
        <w:rPr>
          <w:rFonts w:ascii="Palatino Linotype" w:hAnsi="Palatino Linotype"/>
        </w:rPr>
        <w:t>diffusion coefficient varies by cell type:</w:t>
      </w:r>
    </w:p>
    <w:p w14:paraId="7B94BB5F" w14:textId="50B52C01" w:rsidR="0053152C" w:rsidRPr="00CC38C1" w:rsidRDefault="00000000" w:rsidP="0053152C">
      <w:pPr>
        <w:rPr>
          <w:rFonts w:ascii="Palatino Linotype" w:eastAsiaTheme="minorEastAsia" w:hAnsi="Palatino Linotype"/>
        </w:rPr>
      </w:pPr>
      <m:oMathPara>
        <m:oMathParaPr>
          <m:jc m:val="right"/>
        </m:oMathParaPr>
        <m:oMath>
          <m:eqArr>
            <m:eqArrPr>
              <m:maxDist m:val="1"/>
              <m:ctrlPr>
                <w:rPr>
                  <w:rFonts w:ascii="Cambria Math" w:eastAsiaTheme="minorEastAsia" w:hAnsi="Cambria Math"/>
                  <w:i/>
                </w:rPr>
              </m:ctrlPr>
            </m:eqArrPr>
            <m:e>
              <w:bookmarkStart w:id="5" w:name="E39"/>
              <m:sSub>
                <m:sSubPr>
                  <m:ctrlPr>
                    <w:rPr>
                      <w:rFonts w:ascii="Cambria Math" w:hAnsi="Cambria Math"/>
                      <w:i/>
                    </w:rPr>
                  </m:ctrlPr>
                </m:sSubPr>
                <m:e>
                  <m:r>
                    <w:rPr>
                      <w:rFonts w:ascii="Cambria Math" w:hAnsi="Cambria Math"/>
                    </w:rPr>
                    <m:t>D</m:t>
                  </m:r>
                </m:e>
                <m:sub>
                  <m:r>
                    <w:rPr>
                      <w:rFonts w:ascii="Cambria Math" w:hAnsi="Cambria Math"/>
                    </w:rPr>
                    <m:t>EGF</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20.0,</m:t>
                        </m:r>
                        <m:ctrlPr>
                          <w:rPr>
                            <w:rFonts w:ascii="Cambria Math" w:eastAsiaTheme="minorEastAsia" w:hAnsi="Cambria Math"/>
                            <w:i/>
                          </w:rPr>
                        </m:ctrlPr>
                      </m:e>
                      <m:e>
                        <m:r>
                          <m:rPr>
                            <m:sty m:val="p"/>
                          </m:rPr>
                          <w:rPr>
                            <w:rFonts w:ascii="Cambria Math" w:eastAsiaTheme="minorEastAsia" w:hAnsi="Cambria Math"/>
                          </w:rPr>
                          <m:t>in superficial cells</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hAnsi="Cambria Math"/>
                                  </w:rPr>
                                  <m:t>D</m:t>
                                </m:r>
                              </m:e>
                              <m:sub>
                                <m:r>
                                  <w:rPr>
                                    <w:rFonts w:ascii="Cambria Math" w:eastAsiaTheme="minorEastAsia" w:hAnsi="Cambria Math"/>
                                  </w:rPr>
                                  <m:t>EGF,supe</m:t>
                                </m:r>
                                <m:r>
                                  <m:rPr>
                                    <m:sty m:val="p"/>
                                  </m:rPr>
                                  <w:rPr>
                                    <w:rFonts w:ascii="Cambria Math" w:eastAsiaTheme="minorEastAsia" w:hAnsi="Cambria Math"/>
                                  </w:rPr>
                                  <m:t>r</m:t>
                                </m:r>
                              </m:sub>
                            </m:sSub>
                          </m:e>
                        </m:d>
                        <m:ctrlPr>
                          <w:rPr>
                            <w:rFonts w:ascii="Cambria Math" w:eastAsiaTheme="minorEastAsia" w:hAnsi="Cambria Math"/>
                            <w:i/>
                          </w:rPr>
                        </m:ctrlPr>
                      </m:e>
                    </m:mr>
                    <m:mr>
                      <m:e>
                        <m:r>
                          <w:rPr>
                            <w:rFonts w:ascii="Cambria Math" w:eastAsiaTheme="minorEastAsia" w:hAnsi="Cambria Math"/>
                          </w:rPr>
                          <m:t>20.0,</m:t>
                        </m:r>
                        <m:ctrlPr>
                          <w:rPr>
                            <w:rFonts w:ascii="Cambria Math" w:eastAsiaTheme="minorEastAsia" w:hAnsi="Cambria Math"/>
                            <w:i/>
                          </w:rPr>
                        </m:ctrlPr>
                      </m:e>
                      <m:e>
                        <m:r>
                          <m:rPr>
                            <m:sty m:val="p"/>
                          </m:rPr>
                          <w:rPr>
                            <w:rFonts w:ascii="Cambria Math" w:eastAsiaTheme="minorEastAsia" w:hAnsi="Cambria Math"/>
                          </w:rPr>
                          <m:t>in membrane</m:t>
                        </m:r>
                        <m:r>
                          <w:rPr>
                            <w:rFonts w:ascii="Cambria Math" w:eastAsiaTheme="minorEastAsia" w:hAnsi="Cambria Math"/>
                          </w:rPr>
                          <m:t xml:space="preserve"> EpBM</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hAnsi="Cambria Math"/>
                                  </w:rPr>
                                  <m:t>D</m:t>
                                </m:r>
                              </m:e>
                              <m:sub>
                                <m:r>
                                  <w:rPr>
                                    <w:rFonts w:ascii="Cambria Math" w:eastAsiaTheme="minorEastAsia" w:hAnsi="Cambria Math"/>
                                  </w:rPr>
                                  <m:t>EGF,memb</m:t>
                                </m:r>
                              </m:sub>
                            </m:sSub>
                          </m:e>
                        </m:d>
                        <m:ctrlPr>
                          <w:rPr>
                            <w:rFonts w:ascii="Cambria Math" w:eastAsiaTheme="minorEastAsia" w:hAnsi="Cambria Math"/>
                            <w:i/>
                          </w:rPr>
                        </m:ctrlPr>
                      </m:e>
                    </m:mr>
                    <m:mr>
                      <m:e>
                        <m:r>
                          <w:rPr>
                            <w:rFonts w:ascii="Cambria Math" w:eastAsiaTheme="minorEastAsia" w:hAnsi="Cambria Math"/>
                          </w:rPr>
                          <m:t>0,</m:t>
                        </m:r>
                        <m:ctrlPr>
                          <w:rPr>
                            <w:rFonts w:ascii="Cambria Math" w:eastAsiaTheme="minorEastAsia" w:hAnsi="Cambria Math"/>
                            <w:i/>
                          </w:rPr>
                        </m:ctrlPr>
                      </m:e>
                      <m:e>
                        <m:r>
                          <m:rPr>
                            <m:sty m:val="p"/>
                          </m:rPr>
                          <w:rPr>
                            <w:rFonts w:ascii="Cambria Math" w:eastAsiaTheme="minorEastAsia" w:hAnsi="Cambria Math"/>
                          </w:rPr>
                          <m:t>in limbal</m:t>
                        </m:r>
                        <m:r>
                          <w:rPr>
                            <w:rFonts w:ascii="Cambria Math" w:eastAsiaTheme="minorEastAsia" w:hAnsi="Cambria Math"/>
                          </w:rPr>
                          <m:t xml:space="preserve"> EpBM</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hAnsi="Cambria Math"/>
                                  </w:rPr>
                                  <m:t>D</m:t>
                                </m:r>
                              </m:e>
                              <m:sub>
                                <m:r>
                                  <w:rPr>
                                    <w:rFonts w:ascii="Cambria Math" w:eastAsiaTheme="minorEastAsia" w:hAnsi="Cambria Math"/>
                                  </w:rPr>
                                  <m:t>EGF,limb</m:t>
                                </m:r>
                              </m:sub>
                            </m:sSub>
                          </m:e>
                        </m:d>
                        <m:ctrlPr>
                          <w:rPr>
                            <w:rFonts w:ascii="Cambria Math" w:eastAsiaTheme="minorEastAsia" w:hAnsi="Cambria Math"/>
                            <w:i/>
                          </w:rPr>
                        </m:ctrlPr>
                      </m:e>
                    </m:mr>
                    <m:mr>
                      <m:e>
                        <m:sSub>
                          <m:sSubPr>
                            <m:ctrlPr>
                              <w:rPr>
                                <w:rFonts w:ascii="Cambria Math" w:eastAsiaTheme="minorEastAsia" w:hAnsi="Cambria Math"/>
                              </w:rPr>
                            </m:ctrlPr>
                          </m:sSubPr>
                          <m:e>
                            <m:r>
                              <m:rPr>
                                <m:sty m:val="p"/>
                              </m:rPr>
                              <w:rPr>
                                <w:rFonts w:ascii="Cambria Math" w:eastAsiaTheme="minorEastAsia" w:hAnsi="Cambria Math"/>
                              </w:rPr>
                              <m:t>D</m:t>
                            </m:r>
                          </m:e>
                          <m:sub>
                            <m:sSub>
                              <m:sSubPr>
                                <m:ctrlPr>
                                  <w:rPr>
                                    <w:rFonts w:ascii="Cambria Math" w:eastAsiaTheme="minorEastAsia" w:hAnsi="Cambria Math"/>
                                    <w:i/>
                                    <w:iCs/>
                                  </w:rPr>
                                </m:ctrlPr>
                              </m:sSubPr>
                              <m:e>
                                <m:r>
                                  <w:rPr>
                                    <w:rFonts w:ascii="Cambria Math" w:eastAsiaTheme="minorEastAsia" w:hAnsi="Cambria Math"/>
                                  </w:rPr>
                                  <m:t>global</m:t>
                                </m:r>
                              </m:e>
                              <m:sub>
                                <m:r>
                                  <w:rPr>
                                    <w:rFonts w:ascii="Cambria Math" w:eastAsiaTheme="minorEastAsia" w:hAnsi="Cambria Math"/>
                                  </w:rPr>
                                  <m:t>EGF</m:t>
                                </m:r>
                              </m:sub>
                            </m:sSub>
                          </m:sub>
                        </m:sSub>
                        <m:ctrlPr>
                          <w:rPr>
                            <w:rFonts w:ascii="Cambria Math" w:eastAsiaTheme="minorEastAsia" w:hAnsi="Cambria Math"/>
                            <w:i/>
                          </w:rPr>
                        </m:ctrlPr>
                      </m:e>
                      <m:e>
                        <m:r>
                          <m:rPr>
                            <m:sty m:val="p"/>
                          </m:rPr>
                          <w:rPr>
                            <w:rFonts w:ascii="Cambria Math" w:eastAsiaTheme="minorEastAsia" w:hAnsi="Cambria Math"/>
                          </w:rPr>
                          <m:t>otherwise</m:t>
                        </m:r>
                        <m:ctrlPr>
                          <w:rPr>
                            <w:rFonts w:ascii="Cambria Math" w:eastAsiaTheme="minorEastAsia" w:hAnsi="Cambria Math"/>
                            <w:i/>
                          </w:rPr>
                        </m:ctrlPr>
                      </m:e>
                    </m:mr>
                  </m:m>
                </m:e>
              </m:d>
              <w:bookmarkEnd w:id="5"/>
              <m:r>
                <w:rPr>
                  <w:rFonts w:ascii="Cambria Math" w:hAnsi="Cambria Math"/>
                </w:rPr>
                <m:t>#</m:t>
              </m:r>
              <m:d>
                <m:dPr>
                  <m:ctrlPr>
                    <w:rPr>
                      <w:rFonts w:ascii="Cambria Math" w:eastAsiaTheme="minorEastAsia" w:hAnsi="Cambria Math"/>
                      <w:i/>
                    </w:rPr>
                  </m:ctrlPr>
                </m:dPr>
                <m:e>
                  <m:r>
                    <w:rPr>
                      <w:rFonts w:ascii="Cambria Math" w:eastAsiaTheme="minorEastAsia" w:hAnsi="Cambria Math"/>
                    </w:rPr>
                    <m:t>S39</m:t>
                  </m:r>
                </m:e>
              </m:d>
              <m:ctrlPr>
                <w:rPr>
                  <w:rFonts w:ascii="Cambria Math" w:hAnsi="Cambria Math"/>
                  <w:i/>
                </w:rPr>
              </m:ctrlPr>
            </m:e>
          </m:eqArr>
        </m:oMath>
      </m:oMathPara>
    </w:p>
    <w:p w14:paraId="13E523C6" w14:textId="1495F798" w:rsidR="0053152C" w:rsidRPr="00B560EA" w:rsidRDefault="00000000" w:rsidP="00035505">
      <w:pPr>
        <w:jc w:val="both"/>
        <w:rPr>
          <w:rFonts w:ascii="Palatino Linotype" w:eastAsiaTheme="minorEastAsia" w:hAnsi="Palatino Linotype"/>
        </w:rPr>
      </w:pPr>
      <m:oMath>
        <m:sSub>
          <m:sSubPr>
            <m:ctrlPr>
              <w:rPr>
                <w:rFonts w:ascii="Cambria Math" w:eastAsiaTheme="minorEastAsia" w:hAnsi="Cambria Math"/>
              </w:rPr>
            </m:ctrlPr>
          </m:sSubPr>
          <m:e>
            <m:r>
              <m:rPr>
                <m:sty m:val="p"/>
              </m:rPr>
              <w:rPr>
                <w:rFonts w:ascii="Cambria Math" w:eastAsiaTheme="minorEastAsia" w:hAnsi="Cambria Math"/>
              </w:rPr>
              <m:t>D</m:t>
            </m:r>
          </m:e>
          <m:sub>
            <m:sSub>
              <m:sSubPr>
                <m:ctrlPr>
                  <w:rPr>
                    <w:rFonts w:ascii="Cambria Math" w:eastAsiaTheme="minorEastAsia" w:hAnsi="Cambria Math"/>
                    <w:i/>
                    <w:iCs/>
                  </w:rPr>
                </m:ctrlPr>
              </m:sSubPr>
              <m:e>
                <m:r>
                  <w:rPr>
                    <w:rFonts w:ascii="Cambria Math" w:eastAsiaTheme="minorEastAsia" w:hAnsi="Cambria Math"/>
                  </w:rPr>
                  <m:t>global</m:t>
                </m:r>
              </m:e>
              <m:sub>
                <m:r>
                  <w:rPr>
                    <w:rFonts w:ascii="Cambria Math" w:eastAsiaTheme="minorEastAsia" w:hAnsi="Cambria Math"/>
                  </w:rPr>
                  <m:t>EGF</m:t>
                </m:r>
              </m:sub>
            </m:sSub>
          </m:sub>
        </m:sSub>
      </m:oMath>
      <w:r w:rsidR="0053152C">
        <w:rPr>
          <w:rFonts w:ascii="Palatino Linotype" w:eastAsiaTheme="minorEastAsia" w:hAnsi="Palatino Linotype"/>
        </w:rPr>
        <w:t xml:space="preserve"> </w:t>
      </w:r>
      <w:r w:rsidR="0053152C" w:rsidRPr="00B560EA">
        <w:rPr>
          <w:rFonts w:ascii="Palatino Linotype" w:eastAsiaTheme="minorEastAsia" w:hAnsi="Palatino Linotype"/>
        </w:rPr>
        <w:t xml:space="preserve">global diffusion constant for EGF was set at 186 voxels²/MCS based on experimental measurements adapted to our simulation parameters. We initially calculated the diffusion coefficient from rat brain tissue studies </w:t>
      </w:r>
      <w:r w:rsidR="0053152C">
        <w:rPr>
          <w:rFonts w:ascii="Palatino Linotype" w:eastAsiaTheme="minorEastAsia" w:hAnsi="Palatino Linotype"/>
        </w:rPr>
        <w:fldChar w:fldCharType="begin"/>
      </w:r>
      <w:r w:rsidR="00906A7F">
        <w:rPr>
          <w:rFonts w:ascii="Palatino Linotype" w:eastAsiaTheme="minorEastAsia" w:hAnsi="Palatino Linotype"/>
        </w:rPr>
        <w:instrText xml:space="preserve"> ADDIN ZOTERO_ITEM CSL_CITATION {"citationID":"a22if0vg40p","properties":{"formattedCitation":"(1)","plainCitation":"(1)","noteIndex":0},"citationItems":[{"id":1591,"uris":["http://zotero.org/users/10714330/items/72IGGSVP"],"itemData":{"id":1591,"type":"article-journal","abstract":"Epidermal growth factor (EGF) stimulates proliferation, process outgrowth, and survival in the CNS. Understanding the actions of EGF necessitates characterizing its distribution in brain tissue following drug delivery or release from cellular sources. We used the integrative optical imaging (IOI) method to measure diffusion of fluorescently labeled EGF (6,600 M\n              r\n              ; 4 μg/ml) in the presence of excess unlabeled EGF (90 μg/ml) to compete off specific receptor binding and reveal the “true” EGF diffusion coefficient following injection in rat brain slices (400 μm). The effective diffusion coefficient was 5.18 ± 0.16 × 10\n              −7\n              (SE) cm\n              2\n              /s ( n = 22) in rat somatosensory cortex and the free diffusion coefficient, determined in dilute agarose gel, was 16.6 ± 0.12 × 10\n              −7\n              cm\n              2\n              /s ( n = 27). Tortuosity (λ), a parameter representing the hindrance imposed on EGF by the convoluted brain extracellular space (ECS), was 1.8, the lowest yet measured by IOI for a protein in brain. Control experiments with fluorescent dextran of similar molecular weight and tetramethylammonium confirmed EGF did not affect local ECS structure. We conclude that transport of smaller growth factors such as EGF through brain ECS is less hindered than that of larger proteins (&gt;10,000 M\n              r\n              , e.g., nerve growth factor) where typically λ &gt; 2.1. Modeling was used to predict that low λ will allow EGF sources in the brain to be further from target cells and still elicit a biological response. High λ values for larger growth factors imply more constrained local biological effects than with smaller proteins such as EGF.","container-title":"Journal of Neurophysiology","DOI":"10.1152/jn.00352.2004","ISSN":"0022-3077, 1522-1598","issue":"6","journalAbbreviation":"Journal of Neurophysiology","language":"en","page":"3471-3481","source":"DOI.org (Crossref)","title":"Diffusion of Epidermal Growth Factor in Rat Brain Extracellular Space Measured by Integrative Optical Imaging","volume":"92","author":[{"family":"Thorne","given":"Robert G."},{"family":"Hrabětová","given":"Sabina"},{"family":"Nicholson","given":"Charles"}],"issued":{"date-parts":[["2004",12]]}}}],"schema":"https://github.com/citation-style-language/schema/raw/master/csl-citation.json"} </w:instrText>
      </w:r>
      <w:r w:rsidR="0053152C">
        <w:rPr>
          <w:rFonts w:ascii="Palatino Linotype" w:eastAsiaTheme="minorEastAsia" w:hAnsi="Palatino Linotype"/>
        </w:rPr>
        <w:fldChar w:fldCharType="separate"/>
      </w:r>
      <w:r w:rsidR="00906A7F" w:rsidRPr="00906A7F">
        <w:rPr>
          <w:rFonts w:ascii="Palatino Linotype" w:hAnsi="Palatino Linotype"/>
        </w:rPr>
        <w:t>(1)</w:t>
      </w:r>
      <w:r w:rsidR="0053152C">
        <w:rPr>
          <w:rFonts w:ascii="Palatino Linotype" w:eastAsiaTheme="minorEastAsia" w:hAnsi="Palatino Linotype"/>
        </w:rPr>
        <w:fldChar w:fldCharType="end"/>
      </w:r>
      <w:r w:rsidR="0053152C" w:rsidRPr="00B560EA">
        <w:rPr>
          <w:rFonts w:ascii="Palatino Linotype" w:eastAsiaTheme="minorEastAsia" w:hAnsi="Palatino Linotype"/>
        </w:rPr>
        <w:t>, yielding 466.2 voxels²/MCS after converting to our spatial (1 voxel = 2 μm) and temporal (1 hour = 10 MCS) scales. However, this value would cause unrealistically rapid equilibration across our simulation domain (200 × 90 voxels).</w:t>
      </w:r>
    </w:p>
    <w:p w14:paraId="589A2AEF" w14:textId="65CE5C1F" w:rsidR="0053152C" w:rsidRDefault="0053152C" w:rsidP="00035505">
      <w:pPr>
        <w:jc w:val="both"/>
        <w:rPr>
          <w:rFonts w:ascii="Palatino Linotype" w:eastAsiaTheme="minorEastAsia" w:hAnsi="Palatino Linotype"/>
        </w:rPr>
      </w:pPr>
      <w:r w:rsidRPr="00B560EA">
        <w:rPr>
          <w:rFonts w:ascii="Palatino Linotype" w:eastAsiaTheme="minorEastAsia" w:hAnsi="Palatino Linotype"/>
        </w:rPr>
        <w:t xml:space="preserve">We therefore considered alternative data from </w:t>
      </w:r>
      <w:proofErr w:type="spellStart"/>
      <w:r w:rsidRPr="00B560EA">
        <w:rPr>
          <w:rFonts w:ascii="Palatino Linotype" w:eastAsiaTheme="minorEastAsia" w:hAnsi="Palatino Linotype"/>
        </w:rPr>
        <w:t>GelMA</w:t>
      </w:r>
      <w:proofErr w:type="spellEnd"/>
      <w:r w:rsidRPr="00B560EA">
        <w:rPr>
          <w:rFonts w:ascii="Palatino Linotype" w:eastAsiaTheme="minorEastAsia" w:hAnsi="Palatino Linotype"/>
        </w:rPr>
        <w:t xml:space="preserve"> hydrogel experiments</w:t>
      </w:r>
      <w:r>
        <w:rPr>
          <w:rFonts w:ascii="Palatino Linotype" w:eastAsiaTheme="minorEastAsia" w:hAnsi="Palatino Linotype"/>
        </w:rPr>
        <w:t xml:space="preserve"> </w:t>
      </w:r>
      <w:r>
        <w:rPr>
          <w:rFonts w:ascii="Palatino Linotype" w:eastAsiaTheme="minorEastAsia" w:hAnsi="Palatino Linotype"/>
        </w:rPr>
        <w:fldChar w:fldCharType="begin"/>
      </w:r>
      <w:r w:rsidR="00906A7F">
        <w:rPr>
          <w:rFonts w:ascii="Palatino Linotype" w:eastAsiaTheme="minorEastAsia" w:hAnsi="Palatino Linotype"/>
        </w:rPr>
        <w:instrText xml:space="preserve"> ADDIN ZOTERO_ITEM CSL_CITATION {"citationID":"gdTWRg6s","properties":{"formattedCitation":"(2)","plainCitation":"(2)","noteIndex":0},"citationItems":[{"id":1592,"uris":["http://zotero.org/users/10714330/items/SBLTN37V"],"itemData":{"id":1592,"type":"article-journal","abstract":"Preeclampsia (PE) is a leading cause of maternal and perinatal morbidity and mortality. Current research suggests that the impaired trophoblastic invasion of maternal spiral arteries contributes signiﬁcantly to the development of PE. However, the pathobiology of PE remains poorly understood, and there is a lack of treatment options largely due to ineﬀective experimental models. Utilizing the capability of bioprinting and shear wave elastography, we developed a 3D, bioengineered placenta model (BPM) to study and quantify cell migration. Through BPM, we evaluated the eﬀect of epidermal growth factor (EGF) on the migratory behavior of trophoblast and human mesenchymal stem cells. Our results demonstrate a positive correlation between cell migration rates and EGF concentration. These results indicate that a feasible ex vivo placental model can be bioprinted to examine cellular, molecular, and pharmacologic interactions. In addition, EGF clearly aﬀects the celluar migration, a potential therapeutic agent to treat preeclampsia. We envision that our ex vivo tissue modeling approach can be readily transferred to study other normal biologic and abnormal pathologic processes such as ﬁbroblast migration in wound healing and stem cell homing.","container-title":"ACS Biomaterials Science &amp; Engineering","DOI":"10.1021/acsbiomaterials.6b00031","ISSN":"2373-9878, 2373-9878","issue":"10","journalAbbreviation":"ACS Biomater. Sci. Eng.","language":"en","page":"1817-1826","source":"DOI.org (Crossref)","title":"Development of a 3D Printed, Bioengineered Placenta Model to Evaluate the Role of Trophoblast Migration in Preeclampsia","volume":"2","author":[{"family":"Kuo","given":"Che-Ying"},{"family":"Eranki","given":"Avinash"},{"family":"Placone","given":"Jesse K."},{"family":"Rhodes","given":"Kelly R."},{"family":"Aranda-Espinoza","given":"Helim"},{"family":"Fernandes","given":"Rohan"},{"family":"Fisher","given":"John P."},{"family":"Kim","given":"Peter C. W."}],"issued":{"date-parts":[["2016",10,10]]}}}],"schema":"https://github.com/citation-style-language/schema/raw/master/csl-citation.json"} </w:instrText>
      </w:r>
      <w:r>
        <w:rPr>
          <w:rFonts w:ascii="Palatino Linotype" w:eastAsiaTheme="minorEastAsia" w:hAnsi="Palatino Linotype"/>
        </w:rPr>
        <w:fldChar w:fldCharType="separate"/>
      </w:r>
      <w:r w:rsidR="00906A7F" w:rsidRPr="00906A7F">
        <w:rPr>
          <w:rFonts w:ascii="Palatino Linotype" w:hAnsi="Palatino Linotype"/>
        </w:rPr>
        <w:t>(2)</w:t>
      </w:r>
      <w:r>
        <w:rPr>
          <w:rFonts w:ascii="Palatino Linotype" w:eastAsiaTheme="minorEastAsia" w:hAnsi="Palatino Linotype"/>
        </w:rPr>
        <w:fldChar w:fldCharType="end"/>
      </w:r>
      <w:r w:rsidRPr="00B560EA">
        <w:rPr>
          <w:rFonts w:ascii="Palatino Linotype" w:eastAsiaTheme="minorEastAsia" w:hAnsi="Palatino Linotype"/>
        </w:rPr>
        <w:t>, which reported a more restricted EGF diffusion coefficient (2.5 × 10⁻⁸ cm²/s), equivalent to 225 voxels²/MCS in our units. Our selected value of 186 voxels²/MCS closely approximates this experimentally determined rate for EGF in dense extracellular environments while remaining computationally feasible. This parameter allows for biologically relevant gradient formation, providing an appropriate balance between physiological accuracy and computational efficiency.</w:t>
      </w:r>
    </w:p>
    <w:p w14:paraId="2D6E0205" w14:textId="77777777" w:rsidR="0053152C" w:rsidRPr="00B560EA" w:rsidRDefault="0053152C" w:rsidP="0053152C">
      <w:pPr>
        <w:rPr>
          <w:rFonts w:ascii="Palatino Linotype" w:eastAsiaTheme="minorEastAsia" w:hAnsi="Palatino Linotype"/>
        </w:rPr>
      </w:pPr>
    </w:p>
    <w:p w14:paraId="70504292" w14:textId="35F965F4" w:rsidR="0053152C" w:rsidRPr="00E628CF" w:rsidRDefault="00444A2F" w:rsidP="0053152C">
      <w:pPr>
        <w:pStyle w:val="Heading2"/>
        <w:rPr>
          <w:rFonts w:ascii="Palatino Linotype" w:hAnsi="Palatino Linotype"/>
        </w:rPr>
      </w:pPr>
      <w:r w:rsidRPr="00444A2F">
        <w:rPr>
          <w:rFonts w:ascii="Palatino Linotype" w:hAnsi="Palatino Linotype"/>
        </w:rPr>
        <w:lastRenderedPageBreak/>
        <w:t>S</w:t>
      </w:r>
      <w:r>
        <w:rPr>
          <w:rFonts w:ascii="Palatino Linotype" w:hAnsi="Palatino Linotype"/>
        </w:rPr>
        <w:t>5</w:t>
      </w:r>
      <w:r w:rsidR="0053152C" w:rsidRPr="00E628CF">
        <w:rPr>
          <w:rFonts w:ascii="Palatino Linotype" w:hAnsi="Palatino Linotype"/>
        </w:rPr>
        <w:t>.3 Source and Sink Terms</w:t>
      </w:r>
    </w:p>
    <w:p w14:paraId="5216C330" w14:textId="6D3BAF59" w:rsidR="0053152C" w:rsidRPr="007F78D9" w:rsidRDefault="00000000" w:rsidP="0053152C">
      <w:pPr>
        <w:rPr>
          <w:rFonts w:ascii="Palatino Linotype" w:eastAsiaTheme="minorEastAsia" w:hAnsi="Palatino Linotype"/>
          <w:i/>
        </w:rPr>
      </w:pPr>
      <m:oMathPara>
        <m:oMath>
          <m:eqArr>
            <m:eqArrPr>
              <m:maxDist m:val="1"/>
              <m:ctrlPr>
                <w:rPr>
                  <w:rFonts w:ascii="Cambria Math" w:hAnsi="Cambria Math"/>
                  <w:i/>
                </w:rPr>
              </m:ctrlPr>
            </m:eqArrPr>
            <m:e>
              <w:bookmarkStart w:id="6" w:name="E40"/>
              <m:sSub>
                <m:sSubPr>
                  <m:ctrlPr>
                    <w:rPr>
                      <w:rFonts w:ascii="Cambria Math" w:hAnsi="Cambria Math"/>
                      <w:i/>
                    </w:rPr>
                  </m:ctrlPr>
                </m:sSubPr>
                <m:e>
                  <m:r>
                    <w:rPr>
                      <w:rFonts w:ascii="Cambria Math" w:hAnsi="Cambria Math"/>
                    </w:rPr>
                    <m:t>Ω</m:t>
                  </m:r>
                </m:e>
                <m:sub>
                  <m:r>
                    <w:rPr>
                      <w:rFonts w:ascii="Cambria Math" w:hAnsi="Cambria Math"/>
                    </w:rPr>
                    <m:t>EGF</m:t>
                  </m:r>
                </m:sub>
              </m:sSub>
              <m:d>
                <m:dPr>
                  <m:ctrlPr>
                    <w:rPr>
                      <w:rFonts w:ascii="Cambria Math" w:hAnsi="Cambria Math"/>
                      <w:i/>
                    </w:rPr>
                  </m:ctrlPr>
                </m:dPr>
                <m:e>
                  <m:r>
                    <w:rPr>
                      <w:rFonts w:ascii="Cambria Math" w:hAnsi="Cambria Math"/>
                    </w:rPr>
                    <m:t>x,y,t</m:t>
                  </m:r>
                </m:e>
              </m:d>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EGF,Tear</m:t>
                  </m:r>
                </m:sub>
              </m:sSub>
              <m:r>
                <w:rPr>
                  <w:rFonts w:ascii="Cambria Math" w:hAnsi="Cambria Math"/>
                </w:rPr>
                <m:t>-</m:t>
              </m:r>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d</m:t>
                      </m:r>
                    </m:e>
                    <m:sub>
                      <m:r>
                        <w:rPr>
                          <w:rFonts w:ascii="Cambria Math" w:hAnsi="Cambria Math"/>
                        </w:rPr>
                        <m:t>EGF</m:t>
                      </m:r>
                    </m:sub>
                  </m:sSub>
                </m:sub>
              </m:sSub>
              <m:r>
                <w:rPr>
                  <w:rFonts w:ascii="Cambria Math" w:hAnsi="Cambria Math"/>
                </w:rPr>
                <m:t>-</m:t>
              </m:r>
              <m:nary>
                <m:naryPr>
                  <m:chr m:val="∑"/>
                  <m:supHide m:val="1"/>
                  <m:ctrlPr>
                    <w:rPr>
                      <w:rFonts w:ascii="Cambria Math" w:hAnsi="Cambria Math"/>
                      <w:bCs/>
                      <w:i/>
                    </w:rPr>
                  </m:ctrlPr>
                </m:naryPr>
                <m:sub>
                  <m:r>
                    <w:rPr>
                      <w:rFonts w:ascii="Cambria Math" w:hAnsi="Cambria Math"/>
                    </w:rPr>
                    <m:t>i</m:t>
                  </m:r>
                </m:sub>
                <m:sup/>
                <m:e>
                  <m:sSub>
                    <m:sSubPr>
                      <m:ctrlPr>
                        <w:rPr>
                          <w:rFonts w:ascii="Cambria Math" w:hAnsi="Cambria Math"/>
                          <w:i/>
                        </w:rPr>
                      </m:ctrlPr>
                    </m:sSubPr>
                    <m:e>
                      <m:r>
                        <w:rPr>
                          <w:rFonts w:ascii="Cambria Math" w:hAnsi="Cambria Math"/>
                        </w:rPr>
                        <m:t>μ</m:t>
                      </m:r>
                    </m:e>
                    <m:sub>
                      <m:r>
                        <w:rPr>
                          <w:rFonts w:ascii="Cambria Math" w:hAnsi="Cambria Math"/>
                        </w:rPr>
                        <m:t>EGF,i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EGF</m:t>
                      </m:r>
                    </m:sub>
                  </m:sSub>
                  <m:d>
                    <m:dPr>
                      <m:ctrlPr>
                        <w:rPr>
                          <w:rFonts w:ascii="Cambria Math" w:hAnsi="Cambria Math"/>
                          <w:i/>
                        </w:rPr>
                      </m:ctrlPr>
                    </m:dPr>
                    <m:e>
                      <m:r>
                        <w:rPr>
                          <w:rFonts w:ascii="Cambria Math" w:hAnsi="Cambria Math"/>
                        </w:rPr>
                        <m:t>x,y</m:t>
                      </m:r>
                    </m:e>
                  </m:d>
                </m:e>
              </m:nary>
              <w:bookmarkEnd w:id="6"/>
              <m:r>
                <w:rPr>
                  <w:rFonts w:ascii="Cambria Math" w:hAnsi="Cambria Math"/>
                </w:rPr>
                <m:t>#</m:t>
              </m:r>
              <w:bookmarkStart w:id="7" w:name="E37"/>
              <w:bookmarkEnd w:id="7"/>
              <m:d>
                <m:dPr>
                  <m:ctrlPr>
                    <w:rPr>
                      <w:rFonts w:ascii="Cambria Math" w:hAnsi="Cambria Math"/>
                      <w:i/>
                    </w:rPr>
                  </m:ctrlPr>
                </m:dPr>
                <m:e>
                  <m:r>
                    <w:rPr>
                      <w:rFonts w:ascii="Cambria Math" w:hAnsi="Cambria Math"/>
                    </w:rPr>
                    <m:t>S40</m:t>
                  </m:r>
                </m:e>
              </m:d>
            </m:e>
          </m:eqArr>
        </m:oMath>
      </m:oMathPara>
    </w:p>
    <w:p w14:paraId="4E4AF4DC" w14:textId="77777777" w:rsidR="0053152C" w:rsidRDefault="0053152C" w:rsidP="00035505">
      <w:pPr>
        <w:jc w:val="both"/>
        <w:rPr>
          <w:rFonts w:ascii="Palatino Linotype" w:hAnsi="Palatino Linotype"/>
        </w:rPr>
      </w:pPr>
      <w:r>
        <w:rPr>
          <w:rFonts w:ascii="Palatino Linotype" w:hAnsi="Palatino Linotype"/>
        </w:rPr>
        <w:t>w</w:t>
      </w:r>
      <w:r w:rsidRPr="00437A98">
        <w:rPr>
          <w:rFonts w:ascii="Palatino Linotype" w:hAnsi="Palatino Linotype"/>
        </w:rPr>
        <w:t>here</w:t>
      </w:r>
      <w:r>
        <w:rPr>
          <w:rFonts w:ascii="Palatino Linotype" w:hAnsi="Palatino Linotype"/>
        </w:rPr>
        <w:t xml:space="preserve"> </w:t>
      </w:r>
      <m:oMath>
        <m:sSub>
          <m:sSubPr>
            <m:ctrlPr>
              <w:rPr>
                <w:rFonts w:ascii="Cambria Math" w:hAnsi="Cambria Math"/>
                <w:i/>
              </w:rPr>
            </m:ctrlPr>
          </m:sSubPr>
          <m:e>
            <m:r>
              <w:rPr>
                <w:rFonts w:ascii="Cambria Math" w:hAnsi="Cambria Math"/>
              </w:rPr>
              <m:t>φ</m:t>
            </m:r>
          </m:e>
          <m:sub>
            <m:r>
              <w:rPr>
                <w:rFonts w:ascii="Cambria Math" w:hAnsi="Cambria Math"/>
              </w:rPr>
              <m:t>EGF,tear</m:t>
            </m:r>
          </m:sub>
        </m:sSub>
        <m:r>
          <w:rPr>
            <w:rFonts w:ascii="Cambria Math" w:hAnsi="Cambria Math"/>
          </w:rPr>
          <m:t xml:space="preserve"> = 1.0</m:t>
        </m:r>
      </m:oMath>
      <w:r w:rsidRPr="00437A98">
        <w:rPr>
          <w:rFonts w:ascii="Palatino Linotype" w:hAnsi="Palatino Linotype"/>
        </w:rPr>
        <w:t xml:space="preserve"> is the constant secretion rate by tear cells</w:t>
      </w:r>
      <w:r>
        <w:rPr>
          <w:rFonts w:ascii="Palatino Linotype" w:hAnsi="Palatino Linotype"/>
        </w:rPr>
        <w:t xml:space="preserve">. And </w:t>
      </w:r>
      <m:oMath>
        <m:sSub>
          <m:sSubPr>
            <m:ctrlPr>
              <w:rPr>
                <w:rFonts w:ascii="Cambria Math" w:hAnsi="Cambria Math"/>
                <w:i/>
              </w:rPr>
            </m:ctrlPr>
          </m:sSubPr>
          <m:e>
            <m:r>
              <w:rPr>
                <w:rFonts w:ascii="Cambria Math" w:hAnsi="Cambria Math"/>
              </w:rPr>
              <m:t>μ</m:t>
            </m:r>
          </m:e>
          <m:sub>
            <m:r>
              <w:rPr>
                <w:rFonts w:ascii="Cambria Math" w:hAnsi="Cambria Math"/>
              </w:rPr>
              <m:t>EGF,i</m:t>
            </m:r>
          </m:sub>
        </m:sSub>
      </m:oMath>
      <w:r w:rsidRPr="00437A98">
        <w:rPr>
          <w:rFonts w:ascii="Palatino Linotype" w:hAnsi="Palatino Linotype"/>
        </w:rPr>
        <w:t xml:space="preserve"> are cell-type specific uptake rates</w:t>
      </w:r>
      <w:r>
        <w:rPr>
          <w:rFonts w:ascii="Palatino Linotype" w:hAnsi="Palatino Linotype"/>
        </w:rPr>
        <w:t xml:space="preserve"> </w:t>
      </w:r>
      <m:oMath>
        <m:sSub>
          <m:sSubPr>
            <m:ctrlPr>
              <w:rPr>
                <w:rFonts w:ascii="Cambria Math" w:hAnsi="Cambria Math"/>
                <w:i/>
              </w:rPr>
            </m:ctrlPr>
          </m:sSubPr>
          <m:e>
            <m:r>
              <w:rPr>
                <w:rFonts w:ascii="Cambria Math" w:hAnsi="Cambria Math"/>
              </w:rPr>
              <m:t>μ</m:t>
            </m:r>
          </m:e>
          <m:sub>
            <m:r>
              <w:rPr>
                <w:rFonts w:ascii="Cambria Math" w:hAnsi="Cambria Math"/>
              </w:rPr>
              <m:t>EGF,basal</m:t>
            </m:r>
          </m:sub>
        </m:sSub>
      </m:oMath>
      <w:r w:rsidRPr="00437A98">
        <w:rPr>
          <w:rFonts w:ascii="Palatino Linotype" w:hAnsi="Palatino Linotype"/>
        </w:rPr>
        <w:t xml:space="preserve"> = 0.0 for basal cells</w:t>
      </w:r>
      <w:r>
        <w:rPr>
          <w:rFonts w:ascii="Palatino Linotype" w:hAnsi="Palatino Linotype"/>
        </w:rPr>
        <w:t xml:space="preserve">, </w:t>
      </w:r>
      <m:oMath>
        <m:sSub>
          <m:sSubPr>
            <m:ctrlPr>
              <w:rPr>
                <w:rFonts w:ascii="Cambria Math" w:hAnsi="Cambria Math"/>
                <w:i/>
              </w:rPr>
            </m:ctrlPr>
          </m:sSubPr>
          <m:e>
            <m:r>
              <w:rPr>
                <w:rFonts w:ascii="Cambria Math" w:hAnsi="Cambria Math"/>
              </w:rPr>
              <m:t>μ</m:t>
            </m:r>
          </m:e>
          <m:sub>
            <m:r>
              <w:rPr>
                <w:rFonts w:ascii="Cambria Math" w:hAnsi="Cambria Math"/>
              </w:rPr>
              <m:t>EGF,stem</m:t>
            </m:r>
          </m:sub>
        </m:sSub>
      </m:oMath>
      <w:r w:rsidRPr="00437A98">
        <w:rPr>
          <w:rFonts w:ascii="Palatino Linotype" w:hAnsi="Palatino Linotype"/>
        </w:rPr>
        <w:t xml:space="preserve"> = 0.0 for stem cells</w:t>
      </w:r>
      <w:r>
        <w:rPr>
          <w:rFonts w:ascii="Palatino Linotype" w:hAnsi="Palatino Linotype"/>
        </w:rPr>
        <w:t xml:space="preserve">, </w:t>
      </w:r>
      <m:oMath>
        <m:sSub>
          <m:sSubPr>
            <m:ctrlPr>
              <w:rPr>
                <w:rFonts w:ascii="Cambria Math" w:hAnsi="Cambria Math"/>
                <w:i/>
              </w:rPr>
            </m:ctrlPr>
          </m:sSubPr>
          <m:e>
            <m:r>
              <w:rPr>
                <w:rFonts w:ascii="Cambria Math" w:hAnsi="Cambria Math"/>
              </w:rPr>
              <m:t>μ</m:t>
            </m:r>
          </m:e>
          <m:sub>
            <m:r>
              <w:rPr>
                <w:rFonts w:ascii="Cambria Math" w:hAnsi="Cambria Math"/>
              </w:rPr>
              <m:t>EGF,super</m:t>
            </m:r>
          </m:sub>
        </m:sSub>
      </m:oMath>
      <w:r w:rsidRPr="00437A98">
        <w:rPr>
          <w:rFonts w:ascii="Palatino Linotype" w:hAnsi="Palatino Linotype"/>
        </w:rPr>
        <w:t xml:space="preserve"> = 0.0 for superficial cells</w:t>
      </w:r>
      <w:r>
        <w:rPr>
          <w:rFonts w:ascii="Palatino Linotype" w:hAnsi="Palatino Linotype"/>
        </w:rPr>
        <w:t xml:space="preserve">, </w:t>
      </w:r>
      <m:oMath>
        <m:sSub>
          <m:sSubPr>
            <m:ctrlPr>
              <w:rPr>
                <w:rFonts w:ascii="Cambria Math" w:hAnsi="Cambria Math"/>
                <w:i/>
              </w:rPr>
            </m:ctrlPr>
          </m:sSubPr>
          <m:e>
            <m:r>
              <w:rPr>
                <w:rFonts w:ascii="Cambria Math" w:hAnsi="Cambria Math"/>
              </w:rPr>
              <m:t>μ</m:t>
            </m:r>
          </m:e>
          <m:sub>
            <m:r>
              <w:rPr>
                <w:rFonts w:ascii="Cambria Math" w:hAnsi="Cambria Math"/>
              </w:rPr>
              <m:t>EGF,wing</m:t>
            </m:r>
          </m:sub>
        </m:sSub>
      </m:oMath>
      <w:r w:rsidRPr="00437A98">
        <w:rPr>
          <w:rFonts w:ascii="Palatino Linotype" w:hAnsi="Palatino Linotype"/>
        </w:rPr>
        <w:t xml:space="preserve"> = 0.0 for wing cells</w:t>
      </w:r>
      <w:r>
        <w:rPr>
          <w:rFonts w:ascii="Palatino Linotype" w:hAnsi="Palatino Linotype"/>
        </w:rPr>
        <w:t xml:space="preserve">, since we are using </w:t>
      </w:r>
      <w:proofErr w:type="spellStart"/>
      <w:r>
        <w:rPr>
          <w:rFonts w:ascii="Palatino Linotype" w:hAnsi="Palatino Linotype"/>
        </w:rPr>
        <w:t>a</w:t>
      </w:r>
      <w:proofErr w:type="spellEnd"/>
      <w:r>
        <w:rPr>
          <w:rFonts w:ascii="Palatino Linotype" w:hAnsi="Palatino Linotype"/>
        </w:rPr>
        <w:t xml:space="preserve"> increase global decay as a surrogate to these individual cells uptakes for simplicity.</w:t>
      </w:r>
    </w:p>
    <w:p w14:paraId="2CA06F65" w14:textId="182802CA" w:rsidR="0053152C" w:rsidRPr="00731638" w:rsidRDefault="0053152C" w:rsidP="00035505">
      <w:pPr>
        <w:jc w:val="both"/>
        <w:rPr>
          <w:rFonts w:ascii="Palatino Linotype" w:hAnsi="Palatino Linotype"/>
        </w:rPr>
      </w:pPr>
      <w:r w:rsidRPr="00731638">
        <w:rPr>
          <w:rFonts w:ascii="Palatino Linotype" w:hAnsi="Palatino Linotype"/>
        </w:rPr>
        <w:t>The global decay constant for EGF</w:t>
      </w:r>
      <w:r>
        <w:rPr>
          <w:rFonts w:ascii="Palatino Linotype" w:hAnsi="Palatino Linotype"/>
        </w:rPr>
        <w:t xml:space="preserve"> </w:t>
      </w:r>
      <m:oMath>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d</m:t>
                </m:r>
              </m:e>
              <m:sub>
                <m:r>
                  <w:rPr>
                    <w:rFonts w:ascii="Cambria Math" w:hAnsi="Cambria Math"/>
                  </w:rPr>
                  <m:t>EGF</m:t>
                </m:r>
              </m:sub>
            </m:sSub>
          </m:sub>
        </m:sSub>
      </m:oMath>
      <w:r w:rsidRPr="00731638">
        <w:rPr>
          <w:rFonts w:ascii="Palatino Linotype" w:hAnsi="Palatino Linotype"/>
        </w:rPr>
        <w:t xml:space="preserve"> was set to 0.5 per MCS to account for multiple biological processes affecting EGF availability. Using published data on EGF circulating half-life ranging from 42 to 114 minutes </w:t>
      </w:r>
      <w:r>
        <w:rPr>
          <w:rFonts w:ascii="Palatino Linotype" w:hAnsi="Palatino Linotype"/>
        </w:rPr>
        <w:fldChar w:fldCharType="begin"/>
      </w:r>
      <w:r w:rsidR="00906A7F">
        <w:rPr>
          <w:rFonts w:ascii="Palatino Linotype" w:hAnsi="Palatino Linotype"/>
        </w:rPr>
        <w:instrText xml:space="preserve"> ADDIN ZOTERO_ITEM CSL_CITATION {"citationID":"a1eoojeia0u","properties":{"formattedCitation":"(3)","plainCitation":"(3)","noteIndex":0},"citationItems":[{"id":276,"uris":["http://zotero.org/users/local/kXPGHtSM/items/HQD83PET","http://zotero.org/users/10714330/items/HQD83PET"],"itemData":{"id":276,"type":"article-journal","abstract":"This study investigated the pharmacokinetics of recombinant human epidermal growth factor (EGF) in the eyes of live rabbits and enucleated human eyes. After intracameral injection of 1.2 muCi (1.1 micrograms) of 125I-EGF into rabbit eyes, tissues in the anterior segment were analyzed for uptake of 125I-EGF after 1, 2, 4, and 24 hr. The half-life of EGF during the initial 4 hr was 1.3 +/- 0.6 hr (+/- the confidence limit at P = 0.05) in the cornea, 0.7 +/- 0.4 hr in the iris, 1.9 +/- 0.9 hr in the lens, and 0.6 +/- 0.5 hr in the aqueous humor (n = 18 for each tissue). Between 4-24 hr, the percent retention of EGF in the tissues (relative to the initial amount in respective tissue) is in the order of lens greater than cornea greater than iris greater than aqueous humor. The kinetics of EGF uptake by excised human corneas was determined by incubating the endothelial surface with 1.2 muCi/ml (100 ng/ml) of 125I-EGF for 4 hr at 37 degrees C or 4 degrees C. After 4 hr, the total amount of EGF accumulated in the corneas was 2.3 +/- 0.2 ng (+/- standard deviation; n = 6) at 37 degrees C, and 1.4 +/- 0.1 ng at 4 degrees C.(ABSTRACT TRUNCATED AT 250 WORDS)","container-title":"Investigative Ophthalmology &amp; Visual Science","ISSN":"0146-0404","issue":"13","journalAbbreviation":"Invest Ophthalmol Vis Sci","language":"eng","note":"PMID: 1748552","page":"3209-3215","source":"PubMed","title":"Pharmacokinetic study of recombinant human epidermal growth factor in the anterior eye","volume":"32","author":[{"family":"Chan","given":"K. Y."},{"family":"Lindquist","given":"T. D."},{"family":"Edenfield","given":"M. J."},{"family":"Nicolson","given":"M. A."},{"family":"Banks","given":"A. R."}],"issued":{"date-parts":[["1991",12]]}}}],"schema":"https://github.com/citation-style-language/schema/raw/master/csl-citation.json"} </w:instrText>
      </w:r>
      <w:r>
        <w:rPr>
          <w:rFonts w:ascii="Palatino Linotype" w:hAnsi="Palatino Linotype"/>
        </w:rPr>
        <w:fldChar w:fldCharType="separate"/>
      </w:r>
      <w:r w:rsidR="00906A7F" w:rsidRPr="00906A7F">
        <w:rPr>
          <w:rFonts w:ascii="Palatino Linotype" w:hAnsi="Palatino Linotype"/>
        </w:rPr>
        <w:t>(3)</w:t>
      </w:r>
      <w:r>
        <w:rPr>
          <w:rFonts w:ascii="Palatino Linotype" w:hAnsi="Palatino Linotype"/>
        </w:rPr>
        <w:fldChar w:fldCharType="end"/>
      </w:r>
      <w:r w:rsidRPr="00731638">
        <w:rPr>
          <w:rFonts w:ascii="Palatino Linotype" w:hAnsi="Palatino Linotype"/>
        </w:rPr>
        <w:t>, we calculated corresponding decay constants between 0.099 and 0.036 per MCS in our simulation units (1 hour = 10 MCS).</w:t>
      </w:r>
    </w:p>
    <w:p w14:paraId="64DDD145" w14:textId="26CAAF74" w:rsidR="0053152C" w:rsidRDefault="0053152C" w:rsidP="00035505">
      <w:pPr>
        <w:jc w:val="both"/>
        <w:rPr>
          <w:rFonts w:ascii="Palatino Linotype" w:hAnsi="Palatino Linotype"/>
        </w:rPr>
      </w:pPr>
      <w:r w:rsidRPr="00731638">
        <w:rPr>
          <w:rFonts w:ascii="Palatino Linotype" w:hAnsi="Palatino Linotype"/>
        </w:rPr>
        <w:t>Our implemented decay value (0.5) is intentionally higher than these physiological baseline values to implicitly incorporate additional processes not explicitly modeled, including cellular uptake, receptor-mediated endocytosis, proteolytic degradation, and sequestration by extracellular matrix components. This higher decay rate also ensures appropriate diffusion length scales within our simulation domain.</w:t>
      </w:r>
    </w:p>
    <w:p w14:paraId="15D6CB1C" w14:textId="77777777" w:rsidR="00D8684B" w:rsidRPr="00437A98" w:rsidRDefault="00D8684B" w:rsidP="0053152C">
      <w:pPr>
        <w:rPr>
          <w:rFonts w:ascii="Palatino Linotype" w:hAnsi="Palatino Linotype"/>
        </w:rPr>
      </w:pPr>
    </w:p>
    <w:p w14:paraId="2CB23F2D" w14:textId="6287F47A" w:rsidR="0053152C" w:rsidRPr="00AD5436" w:rsidRDefault="00444A2F" w:rsidP="0053152C">
      <w:pPr>
        <w:pStyle w:val="Heading2"/>
        <w:rPr>
          <w:rFonts w:ascii="Palatino Linotype" w:hAnsi="Palatino Linotype"/>
          <w:b/>
          <w:bCs/>
        </w:rPr>
      </w:pPr>
      <w:r w:rsidRPr="00444A2F">
        <w:rPr>
          <w:rFonts w:ascii="Palatino Linotype" w:hAnsi="Palatino Linotype"/>
        </w:rPr>
        <w:t>S</w:t>
      </w:r>
      <w:r>
        <w:rPr>
          <w:rFonts w:ascii="Palatino Linotype" w:hAnsi="Palatino Linotype"/>
        </w:rPr>
        <w:t>5</w:t>
      </w:r>
      <w:r w:rsidR="0053152C" w:rsidRPr="00AD5436">
        <w:rPr>
          <w:rFonts w:ascii="Palatino Linotype" w:hAnsi="Palatino Linotype"/>
        </w:rPr>
        <w:t>.4 Boundary Conditions</w:t>
      </w:r>
    </w:p>
    <w:p w14:paraId="4D2E6588" w14:textId="77777777" w:rsidR="0053152C" w:rsidRPr="0006241C" w:rsidRDefault="0053152C" w:rsidP="0053152C">
      <w:pPr>
        <w:rPr>
          <w:rFonts w:ascii="Palatino Linotype" w:hAnsi="Palatino Linotype"/>
          <w:b/>
          <w:bCs/>
        </w:rPr>
      </w:pPr>
      <w:r w:rsidRPr="0006241C">
        <w:rPr>
          <w:rFonts w:ascii="Palatino Linotype" w:hAnsi="Palatino Linotype"/>
          <w:b/>
          <w:bCs/>
        </w:rPr>
        <w:t>Physical Domain Structure</w:t>
      </w:r>
    </w:p>
    <w:p w14:paraId="07F9F77D" w14:textId="77777777" w:rsidR="0053152C" w:rsidRPr="00373B32" w:rsidRDefault="0053152C" w:rsidP="0053152C">
      <w:pPr>
        <w:rPr>
          <w:rFonts w:ascii="Palatino Linotype" w:hAnsi="Palatino Linotype"/>
        </w:rPr>
      </w:pPr>
      <w:r w:rsidRPr="00373B32">
        <w:rPr>
          <w:rFonts w:ascii="Palatino Linotype" w:hAnsi="Palatino Linotype"/>
        </w:rPr>
        <w:t>The simulation domain is bounded by non-diffusive wall cells at</w:t>
      </w:r>
    </w:p>
    <w:p w14:paraId="1B982B2A" w14:textId="13855EDE" w:rsidR="0053152C" w:rsidRPr="007F78D9" w:rsidRDefault="00000000" w:rsidP="0053152C">
      <w:pPr>
        <w:rPr>
          <w:rFonts w:ascii="Palatino Linotype" w:eastAsiaTheme="minorEastAsia" w:hAnsi="Palatino Linotype"/>
        </w:rPr>
      </w:pPr>
      <m:oMathPara>
        <m:oMath>
          <m:eqArr>
            <m:eqArrPr>
              <m:maxDist m:val="1"/>
              <m:ctrlPr>
                <w:rPr>
                  <w:rFonts w:ascii="Cambria Math" w:hAnsi="Cambria Math"/>
                  <w:i/>
                </w:rPr>
              </m:ctrlPr>
            </m:eqArrPr>
            <m:e>
              <m:r>
                <w:rPr>
                  <w:rFonts w:ascii="Cambria Math" w:hAnsi="Cambria Math"/>
                </w:rPr>
                <m:t xml:space="preserve">x=0 </m:t>
              </m:r>
              <m:r>
                <m:rPr>
                  <m:sty m:val="p"/>
                </m:rPr>
                <w:rPr>
                  <w:rFonts w:ascii="Cambria Math" w:hAnsi="Cambria Math"/>
                </w:rPr>
                <m:t>and</m:t>
              </m:r>
              <m:r>
                <w:rPr>
                  <w:rFonts w:ascii="Cambria Math" w:hAnsi="Cambria Math"/>
                </w:rPr>
                <m:t xml:space="preserve"> x=</m:t>
              </m:r>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m:t>
              </m:r>
              <m:d>
                <m:dPr>
                  <m:ctrlPr>
                    <w:rPr>
                      <w:rFonts w:ascii="Cambria Math" w:hAnsi="Cambria Math"/>
                      <w:i/>
                    </w:rPr>
                  </m:ctrlPr>
                </m:dPr>
                <m:e>
                  <m:r>
                    <m:rPr>
                      <m:sty m:val="p"/>
                    </m:rPr>
                    <w:rPr>
                      <w:rFonts w:ascii="Cambria Math" w:hAnsi="Cambria Math"/>
                    </w:rPr>
                    <m:t>wall cells</m:t>
                  </m:r>
                </m:e>
              </m:d>
              <m:r>
                <w:rPr>
                  <w:rFonts w:ascii="Cambria Math" w:hAnsi="Cambria Math"/>
                </w:rPr>
                <m:t>#</m:t>
              </m:r>
              <m:d>
                <m:dPr>
                  <m:ctrlPr>
                    <w:rPr>
                      <w:rFonts w:ascii="Cambria Math" w:hAnsi="Cambria Math"/>
                      <w:i/>
                    </w:rPr>
                  </m:ctrlPr>
                </m:dPr>
                <m:e>
                  <m:r>
                    <w:rPr>
                      <w:rFonts w:ascii="Cambria Math" w:hAnsi="Cambria Math"/>
                    </w:rPr>
                    <m:t>S41</m:t>
                  </m:r>
                </m:e>
              </m:d>
            </m:e>
          </m:eqArr>
        </m:oMath>
      </m:oMathPara>
    </w:p>
    <w:p w14:paraId="37BC98F0" w14:textId="77777777" w:rsidR="0053152C" w:rsidRDefault="0053152C" w:rsidP="0053152C">
      <w:pPr>
        <w:rPr>
          <w:rFonts w:ascii="Palatino Linotype" w:hAnsi="Palatino Linotype"/>
        </w:rPr>
      </w:pPr>
      <w:r>
        <w:rPr>
          <w:rFonts w:ascii="Palatino Linotype" w:hAnsi="Palatino Linotype"/>
        </w:rPr>
        <w:t>w</w:t>
      </w:r>
      <w:r w:rsidRPr="00373B32">
        <w:rPr>
          <w:rFonts w:ascii="Palatino Linotype" w:hAnsi="Palatino Linotype"/>
        </w:rPr>
        <w:t>here</w:t>
      </w:r>
      <w:r>
        <w:rPr>
          <w:rFonts w:ascii="Palatino Linotype" w:hAnsi="Palatino Linotype"/>
        </w:rPr>
        <w:t xml:space="preserve"> w</w:t>
      </w:r>
      <w:r w:rsidRPr="00373B32">
        <w:rPr>
          <w:rFonts w:ascii="Palatino Linotype" w:hAnsi="Palatino Linotype"/>
        </w:rPr>
        <w:t xml:space="preserve">all cells have </w:t>
      </w:r>
      <m:oMath>
        <m:sSub>
          <m:sSubPr>
            <m:ctrlPr>
              <w:rPr>
                <w:rFonts w:ascii="Cambria Math" w:hAnsi="Cambria Math"/>
                <w:i/>
              </w:rPr>
            </m:ctrlPr>
          </m:sSubPr>
          <m:e>
            <m:r>
              <w:rPr>
                <w:rFonts w:ascii="Cambria Math" w:hAnsi="Cambria Math"/>
              </w:rPr>
              <m:t>D</m:t>
            </m:r>
          </m:e>
          <m:sub>
            <m:r>
              <w:rPr>
                <w:rFonts w:ascii="Cambria Math" w:hAnsi="Cambria Math"/>
              </w:rPr>
              <m:t>EGF,wall</m:t>
            </m:r>
          </m:sub>
        </m:sSub>
        <m:r>
          <w:rPr>
            <w:rFonts w:ascii="Cambria Math" w:hAnsi="Cambria Math"/>
          </w:rPr>
          <m:t xml:space="preserve"> = 0</m:t>
        </m:r>
      </m:oMath>
      <w:r w:rsidRPr="00373B32">
        <w:rPr>
          <w:rFonts w:ascii="Palatino Linotype" w:hAnsi="Palatino Linotype"/>
        </w:rPr>
        <w:t xml:space="preserve"> (no diffusion)</w:t>
      </w:r>
      <w:r>
        <w:rPr>
          <w:rFonts w:ascii="Palatino Linotype" w:hAnsi="Palatino Linotype"/>
        </w:rPr>
        <w:t>. T</w:t>
      </w:r>
      <w:r w:rsidRPr="00373B32">
        <w:rPr>
          <w:rFonts w:ascii="Palatino Linotype" w:hAnsi="Palatino Linotype"/>
        </w:rPr>
        <w:t>hese cells create effective no-flux boundaries by blocking EGF transport</w:t>
      </w:r>
      <w:r>
        <w:rPr>
          <w:rFonts w:ascii="Palatino Linotype" w:hAnsi="Palatino Linotype"/>
        </w:rPr>
        <w:t>.</w:t>
      </w:r>
    </w:p>
    <w:p w14:paraId="59440F3F" w14:textId="77777777" w:rsidR="0053152C" w:rsidRPr="008E7C01" w:rsidRDefault="0053152C" w:rsidP="0053152C">
      <w:pPr>
        <w:rPr>
          <w:rFonts w:ascii="Palatino Linotype" w:hAnsi="Palatino Linotype"/>
          <w:b/>
          <w:bCs/>
        </w:rPr>
      </w:pPr>
      <w:r w:rsidRPr="008E7C01">
        <w:rPr>
          <w:rFonts w:ascii="Palatino Linotype" w:hAnsi="Palatino Linotype"/>
          <w:b/>
          <w:bCs/>
        </w:rPr>
        <w:t>Mathematical Boundary Conditions</w:t>
      </w:r>
    </w:p>
    <w:p w14:paraId="2309B87C" w14:textId="77777777" w:rsidR="0053152C" w:rsidRPr="00437A98" w:rsidRDefault="0053152C" w:rsidP="0053152C">
      <w:pPr>
        <w:rPr>
          <w:rFonts w:ascii="Palatino Linotype" w:hAnsi="Palatino Linotype"/>
          <w:i/>
          <w:iCs/>
        </w:rPr>
      </w:pPr>
      <w:r w:rsidRPr="00437A98">
        <w:rPr>
          <w:rFonts w:ascii="Palatino Linotype" w:hAnsi="Palatino Linotype"/>
          <w:i/>
          <w:iCs/>
        </w:rPr>
        <w:t>Horizontal Boundaries</w:t>
      </w:r>
    </w:p>
    <w:p w14:paraId="46F7234B" w14:textId="77777777" w:rsidR="0053152C" w:rsidRPr="008E7C01" w:rsidRDefault="0053152C" w:rsidP="0053152C">
      <w:pPr>
        <w:rPr>
          <w:rFonts w:ascii="Palatino Linotype" w:hAnsi="Palatino Linotype"/>
        </w:rPr>
      </w:pPr>
      <w:r w:rsidRPr="008E7C01">
        <w:rPr>
          <w:rFonts w:ascii="Palatino Linotype" w:hAnsi="Palatino Linotype"/>
        </w:rPr>
        <w:t>Effective no-flux condition due to combination of:</w:t>
      </w:r>
    </w:p>
    <w:p w14:paraId="1211E192" w14:textId="77777777" w:rsidR="0053152C" w:rsidRPr="008E7C01" w:rsidRDefault="0053152C" w:rsidP="0053152C">
      <w:pPr>
        <w:numPr>
          <w:ilvl w:val="0"/>
          <w:numId w:val="76"/>
        </w:numPr>
        <w:rPr>
          <w:rFonts w:ascii="Palatino Linotype" w:hAnsi="Palatino Linotype"/>
        </w:rPr>
      </w:pPr>
      <w:r w:rsidRPr="008E7C01">
        <w:rPr>
          <w:rFonts w:ascii="Palatino Linotype" w:hAnsi="Palatino Linotype"/>
        </w:rPr>
        <w:t xml:space="preserve">Zero-derivative boundary condition at domain edges: </w:t>
      </w:r>
    </w:p>
    <w:p w14:paraId="5307520A" w14:textId="2AC94BA9" w:rsidR="0053152C" w:rsidRPr="00BC47D0" w:rsidRDefault="00000000" w:rsidP="0053152C">
      <w:pPr>
        <w:rPr>
          <w:rFonts w:ascii="Palatino Linotype" w:eastAsiaTheme="minorEastAsia" w:hAnsi="Palatino Linotype"/>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 xml:space="preserve">=0  </m:t>
              </m:r>
              <m:r>
                <m:rPr>
                  <m:sty m:val="p"/>
                </m:rPr>
                <w:rPr>
                  <w:rFonts w:ascii="Cambria Math" w:hAnsi="Cambria Math"/>
                </w:rPr>
                <m:t>at</m:t>
              </m:r>
              <m:r>
                <w:rPr>
                  <w:rFonts w:ascii="Cambria Math" w:hAnsi="Cambria Math"/>
                </w:rPr>
                <m:t xml:space="preserve"> x=0,</m:t>
              </m:r>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m:t>
              </m:r>
              <m:d>
                <m:dPr>
                  <m:ctrlPr>
                    <w:rPr>
                      <w:rFonts w:ascii="Cambria Math" w:hAnsi="Cambria Math"/>
                      <w:i/>
                    </w:rPr>
                  </m:ctrlPr>
                </m:dPr>
                <m:e>
                  <m:r>
                    <w:rPr>
                      <w:rFonts w:ascii="Cambria Math" w:hAnsi="Cambria Math"/>
                    </w:rPr>
                    <m:t>S42</m:t>
                  </m:r>
                </m:e>
              </m:d>
            </m:e>
          </m:eqArr>
        </m:oMath>
      </m:oMathPara>
    </w:p>
    <w:p w14:paraId="5AE325B8" w14:textId="77777777" w:rsidR="0053152C" w:rsidRPr="008E7C01" w:rsidRDefault="0053152C" w:rsidP="0053152C">
      <w:pPr>
        <w:numPr>
          <w:ilvl w:val="0"/>
          <w:numId w:val="76"/>
        </w:numPr>
        <w:rPr>
          <w:rFonts w:ascii="Palatino Linotype" w:hAnsi="Palatino Linotype"/>
        </w:rPr>
      </w:pPr>
      <w:r w:rsidRPr="008E7C01">
        <w:rPr>
          <w:rFonts w:ascii="Palatino Linotype" w:hAnsi="Palatino Linotype"/>
        </w:rPr>
        <w:t xml:space="preserve">Impermeable wall cells creating physical barriers: </w:t>
      </w:r>
    </w:p>
    <w:p w14:paraId="572AE6BF" w14:textId="30AE3D03" w:rsidR="0053152C" w:rsidRPr="00BC47D0" w:rsidRDefault="00000000" w:rsidP="0053152C">
      <w:pPr>
        <w:rPr>
          <w:rFonts w:ascii="Palatino Linotype" w:eastAsiaTheme="minorEastAsia" w:hAnsi="Palatino Linotype"/>
        </w:rPr>
      </w:pPr>
      <m:oMathPara>
        <m:oMath>
          <m:eqArr>
            <m:eqArrPr>
              <m:maxDist m:val="1"/>
              <m:ctrlPr>
                <w:rPr>
                  <w:rFonts w:ascii="Cambria Math" w:hAnsi="Cambria Math"/>
                  <w:i/>
                </w:rPr>
              </m:ctrlPr>
            </m:eqArrPr>
            <m:e>
              <m:r>
                <w:rPr>
                  <w:rFonts w:ascii="Cambria Math" w:hAnsi="Cambria Math"/>
                </w:rPr>
                <m:t xml:space="preserve">D=0  </m:t>
              </m:r>
              <m:r>
                <m:rPr>
                  <m:sty m:val="p"/>
                </m:rPr>
                <w:rPr>
                  <w:rFonts w:ascii="Cambria Math" w:hAnsi="Cambria Math"/>
                </w:rPr>
                <m:t>in wall cells</m:t>
              </m:r>
              <m:r>
                <w:rPr>
                  <w:rFonts w:ascii="Cambria Math" w:hAnsi="Cambria Math"/>
                </w:rPr>
                <m:t xml:space="preserve"> </m:t>
              </m:r>
              <m:r>
                <m:rPr>
                  <m:sty m:val="p"/>
                </m:rPr>
                <w:rPr>
                  <w:rFonts w:ascii="Cambria Math" w:hAnsi="Cambria Math"/>
                </w:rPr>
                <m:t>at</m:t>
              </m:r>
              <m:r>
                <w:rPr>
                  <w:rFonts w:ascii="Cambria Math" w:hAnsi="Cambria Math"/>
                </w:rPr>
                <m:t xml:space="preserve"> x=0,</m:t>
              </m:r>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m:t>
              </m:r>
              <m:d>
                <m:dPr>
                  <m:ctrlPr>
                    <w:rPr>
                      <w:rFonts w:ascii="Cambria Math" w:hAnsi="Cambria Math"/>
                      <w:i/>
                    </w:rPr>
                  </m:ctrlPr>
                </m:dPr>
                <m:e>
                  <m:r>
                    <w:rPr>
                      <w:rFonts w:ascii="Cambria Math" w:hAnsi="Cambria Math"/>
                    </w:rPr>
                    <m:t>S43</m:t>
                  </m:r>
                </m:e>
              </m:d>
            </m:e>
          </m:eqArr>
        </m:oMath>
      </m:oMathPara>
    </w:p>
    <w:p w14:paraId="23E3249A" w14:textId="77777777" w:rsidR="0053152C" w:rsidRPr="00FF4F0C" w:rsidRDefault="0053152C" w:rsidP="0053152C">
      <w:pPr>
        <w:rPr>
          <w:rFonts w:ascii="Palatino Linotype" w:hAnsi="Palatino Linotype"/>
          <w:i/>
          <w:iCs/>
        </w:rPr>
      </w:pPr>
      <w:r w:rsidRPr="00FF4F0C">
        <w:rPr>
          <w:rFonts w:ascii="Palatino Linotype" w:hAnsi="Palatino Linotype"/>
          <w:i/>
          <w:iCs/>
        </w:rPr>
        <w:lastRenderedPageBreak/>
        <w:t>Vertical Boundaries</w:t>
      </w:r>
    </w:p>
    <w:p w14:paraId="5BFFDB0C" w14:textId="77777777" w:rsidR="0053152C" w:rsidRPr="008E7C01" w:rsidRDefault="0053152C" w:rsidP="0053152C">
      <w:pPr>
        <w:rPr>
          <w:rFonts w:ascii="Palatino Linotype" w:hAnsi="Palatino Linotype"/>
        </w:rPr>
      </w:pPr>
      <w:r w:rsidRPr="008E7C01">
        <w:rPr>
          <w:rFonts w:ascii="Palatino Linotype" w:hAnsi="Palatino Linotype"/>
        </w:rPr>
        <w:t>Fixed concentration at top and bottom:</w:t>
      </w:r>
    </w:p>
    <w:p w14:paraId="0183308F" w14:textId="701AB467" w:rsidR="0053152C" w:rsidRPr="00BC47D0" w:rsidRDefault="00000000" w:rsidP="0053152C">
      <w:pPr>
        <w:rPr>
          <w:rFonts w:ascii="Palatino Linotype" w:eastAsiaTheme="minorEastAsia" w:hAnsi="Palatino Linotype"/>
        </w:rPr>
      </w:pPr>
      <m:oMathPara>
        <m:oMath>
          <m:eqArr>
            <m:eqArrPr>
              <m:maxDist m:val="1"/>
              <m:ctrlPr>
                <w:rPr>
                  <w:rFonts w:ascii="Cambria Math" w:hAnsi="Cambria Math"/>
                  <w:i/>
                </w:rPr>
              </m:ctrlPr>
            </m:eqArrPr>
            <m:e>
              <m:r>
                <w:rPr>
                  <w:rFonts w:ascii="Cambria Math" w:hAnsi="Cambria Math"/>
                </w:rPr>
                <m:t xml:space="preserve">c=0 </m:t>
              </m:r>
              <m:r>
                <m:rPr>
                  <m:sty m:val="p"/>
                </m:rPr>
                <w:rPr>
                  <w:rFonts w:ascii="Cambria Math" w:hAnsi="Cambria Math"/>
                </w:rPr>
                <m:t>at</m:t>
              </m:r>
              <m:r>
                <w:rPr>
                  <w:rFonts w:ascii="Cambria Math" w:hAnsi="Cambria Math"/>
                </w:rPr>
                <m:t xml:space="preserve"> y=0,</m:t>
              </m:r>
              <m:sSub>
                <m:sSubPr>
                  <m:ctrlPr>
                    <w:rPr>
                      <w:rFonts w:ascii="Cambria Math" w:hAnsi="Cambria Math"/>
                      <w:i/>
                    </w:rPr>
                  </m:ctrlPr>
                </m:sSubPr>
                <m:e>
                  <m:r>
                    <w:rPr>
                      <w:rFonts w:ascii="Cambria Math" w:hAnsi="Cambria Math"/>
                    </w:rPr>
                    <m:t>L</m:t>
                  </m:r>
                </m:e>
                <m:sub>
                  <m:r>
                    <w:rPr>
                      <w:rFonts w:ascii="Cambria Math" w:hAnsi="Cambria Math"/>
                    </w:rPr>
                    <m:t>y</m:t>
                  </m:r>
                </m:sub>
              </m:sSub>
              <m:r>
                <w:rPr>
                  <w:rFonts w:ascii="Cambria Math" w:hAnsi="Cambria Math"/>
                </w:rPr>
                <m:t>#</m:t>
              </m:r>
              <m:d>
                <m:dPr>
                  <m:ctrlPr>
                    <w:rPr>
                      <w:rFonts w:ascii="Cambria Math" w:hAnsi="Cambria Math"/>
                      <w:i/>
                    </w:rPr>
                  </m:ctrlPr>
                </m:dPr>
                <m:e>
                  <m:r>
                    <w:rPr>
                      <w:rFonts w:ascii="Cambria Math" w:hAnsi="Cambria Math"/>
                    </w:rPr>
                    <m:t>S4</m:t>
                  </m:r>
                  <w:bookmarkStart w:id="8" w:name="E41"/>
                  <w:bookmarkEnd w:id="8"/>
                  <m:r>
                    <w:rPr>
                      <w:rFonts w:ascii="Cambria Math" w:hAnsi="Cambria Math"/>
                    </w:rPr>
                    <m:t>4</m:t>
                  </m:r>
                </m:e>
              </m:d>
            </m:e>
          </m:eqArr>
        </m:oMath>
      </m:oMathPara>
    </w:p>
    <w:p w14:paraId="20EA7F38" w14:textId="77777777" w:rsidR="0053152C" w:rsidRPr="008E7C01" w:rsidRDefault="0053152C" w:rsidP="0053152C">
      <w:pPr>
        <w:rPr>
          <w:rFonts w:ascii="Palatino Linotype" w:hAnsi="Palatino Linotype"/>
        </w:rPr>
      </w:pPr>
      <w:r w:rsidRPr="008E7C01">
        <w:rPr>
          <w:rFonts w:ascii="Palatino Linotype" w:hAnsi="Palatino Linotype"/>
        </w:rPr>
        <w:t>This configuration creates a physically confined system where:</w:t>
      </w:r>
    </w:p>
    <w:p w14:paraId="5F1F53B2" w14:textId="77777777" w:rsidR="0053152C" w:rsidRPr="008E7C01" w:rsidRDefault="0053152C" w:rsidP="0053152C">
      <w:pPr>
        <w:ind w:left="720"/>
        <w:rPr>
          <w:rFonts w:ascii="Palatino Linotype" w:hAnsi="Palatino Linotype"/>
        </w:rPr>
      </w:pPr>
      <w:r w:rsidRPr="008E7C01">
        <w:rPr>
          <w:rFonts w:ascii="Palatino Linotype" w:hAnsi="Palatino Linotype"/>
        </w:rPr>
        <w:t>EGF cannot escape through the lateral boundaries (wall cells + no-flux conditions)</w:t>
      </w:r>
    </w:p>
    <w:p w14:paraId="4FDABC87" w14:textId="77777777" w:rsidR="0053152C" w:rsidRPr="008E7C01" w:rsidRDefault="0053152C" w:rsidP="0053152C">
      <w:pPr>
        <w:ind w:left="720"/>
        <w:rPr>
          <w:rFonts w:ascii="Palatino Linotype" w:hAnsi="Palatino Linotype"/>
        </w:rPr>
      </w:pPr>
      <w:r w:rsidRPr="008E7C01">
        <w:rPr>
          <w:rFonts w:ascii="Palatino Linotype" w:hAnsi="Palatino Linotype"/>
        </w:rPr>
        <w:t>Top and bottom boundaries maintain zero concentration</w:t>
      </w:r>
    </w:p>
    <w:p w14:paraId="157F5592" w14:textId="77777777" w:rsidR="0053152C" w:rsidRDefault="0053152C" w:rsidP="0053152C">
      <w:pPr>
        <w:ind w:left="720"/>
        <w:rPr>
          <w:rFonts w:ascii="Palatino Linotype" w:hAnsi="Palatino Linotype"/>
        </w:rPr>
      </w:pPr>
      <w:r w:rsidRPr="008E7C01">
        <w:rPr>
          <w:rFonts w:ascii="Palatino Linotype" w:hAnsi="Palatino Linotype"/>
        </w:rPr>
        <w:t>Effective transport is confined to the region between wall cells</w:t>
      </w:r>
    </w:p>
    <w:p w14:paraId="5102834D" w14:textId="77777777" w:rsidR="0053152C" w:rsidRPr="008E7C01" w:rsidRDefault="0053152C" w:rsidP="0053152C">
      <w:pPr>
        <w:ind w:left="720"/>
        <w:rPr>
          <w:rFonts w:ascii="Palatino Linotype" w:hAnsi="Palatino Linotype"/>
        </w:rPr>
      </w:pPr>
    </w:p>
    <w:p w14:paraId="687402D4" w14:textId="0536A89F" w:rsidR="0053152C" w:rsidRPr="00AD5436" w:rsidRDefault="00444A2F" w:rsidP="0053152C">
      <w:pPr>
        <w:pStyle w:val="Heading2"/>
        <w:rPr>
          <w:rFonts w:ascii="Palatino Linotype" w:hAnsi="Palatino Linotype"/>
        </w:rPr>
      </w:pPr>
      <w:r w:rsidRPr="00444A2F">
        <w:rPr>
          <w:rFonts w:ascii="Palatino Linotype" w:hAnsi="Palatino Linotype"/>
        </w:rPr>
        <w:t>S</w:t>
      </w:r>
      <w:r>
        <w:rPr>
          <w:rFonts w:ascii="Palatino Linotype" w:hAnsi="Palatino Linotype"/>
        </w:rPr>
        <w:t>5</w:t>
      </w:r>
      <w:r w:rsidR="0053152C" w:rsidRPr="00AD5436">
        <w:rPr>
          <w:rFonts w:ascii="Palatino Linotype" w:hAnsi="Palatino Linotype"/>
        </w:rPr>
        <w:t>.5 Spatial and Temporal Scales</w:t>
      </w:r>
    </w:p>
    <w:p w14:paraId="459D6165" w14:textId="77777777" w:rsidR="0053152C" w:rsidRPr="00437A98" w:rsidRDefault="0053152C" w:rsidP="0053152C">
      <w:pPr>
        <w:rPr>
          <w:rFonts w:ascii="Palatino Linotype" w:hAnsi="Palatino Linotype"/>
        </w:rPr>
      </w:pPr>
      <w:r w:rsidRPr="00437A98">
        <w:rPr>
          <w:rFonts w:ascii="Palatino Linotype" w:hAnsi="Palatino Linotype"/>
        </w:rPr>
        <w:t xml:space="preserve">Spatial: </w:t>
      </w:r>
    </w:p>
    <w:p w14:paraId="41AE4C7D" w14:textId="77777777" w:rsidR="0053152C" w:rsidRPr="00437A98" w:rsidRDefault="0053152C" w:rsidP="0053152C">
      <w:pPr>
        <w:ind w:firstLine="720"/>
        <w:rPr>
          <w:rFonts w:ascii="Palatino Linotype" w:hAnsi="Palatino Linotype"/>
        </w:rPr>
      </w:pPr>
      <w:r w:rsidRPr="00437A98">
        <w:rPr>
          <w:rFonts w:ascii="Palatino Linotype" w:hAnsi="Palatino Linotype"/>
        </w:rPr>
        <w:t xml:space="preserve">Lattice spacing: </w:t>
      </w:r>
      <m:oMath>
        <m:r>
          <m:rPr>
            <m:sty m:val="p"/>
          </m:rPr>
          <w:rPr>
            <w:rFonts w:ascii="Cambria Math" w:hAnsi="Cambria Math"/>
          </w:rPr>
          <m:t>Δ</m:t>
        </m:r>
        <m:r>
          <w:rPr>
            <w:rFonts w:ascii="Cambria Math" w:hAnsi="Cambria Math"/>
          </w:rPr>
          <m:t xml:space="preserve">x = </m:t>
        </m:r>
        <m:r>
          <m:rPr>
            <m:sty m:val="p"/>
          </m:rPr>
          <w:rPr>
            <w:rFonts w:ascii="Cambria Math" w:hAnsi="Cambria Math"/>
          </w:rPr>
          <m:t>Δ</m:t>
        </m:r>
        <m:r>
          <w:rPr>
            <w:rFonts w:ascii="Cambria Math" w:hAnsi="Cambria Math"/>
          </w:rPr>
          <m:t>y = 1 voxel = 2 μm</m:t>
        </m:r>
      </m:oMath>
    </w:p>
    <w:p w14:paraId="56B9275C" w14:textId="77777777" w:rsidR="0053152C" w:rsidRPr="00437A98" w:rsidRDefault="0053152C" w:rsidP="0053152C">
      <w:pPr>
        <w:ind w:firstLine="720"/>
        <w:rPr>
          <w:rFonts w:ascii="Palatino Linotype" w:hAnsi="Palatino Linotype"/>
        </w:rPr>
      </w:pPr>
      <w:r w:rsidRPr="00437A98">
        <w:rPr>
          <w:rFonts w:ascii="Palatino Linotype" w:hAnsi="Palatino Linotype"/>
        </w:rPr>
        <w:t xml:space="preserve">Domain size: </w:t>
      </w:r>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 200 voxels, </m:t>
        </m:r>
        <m:sSub>
          <m:sSubPr>
            <m:ctrlPr>
              <w:rPr>
                <w:rFonts w:ascii="Cambria Math" w:hAnsi="Cambria Math"/>
                <w:i/>
              </w:rPr>
            </m:ctrlPr>
          </m:sSubPr>
          <m:e>
            <m:r>
              <w:rPr>
                <w:rFonts w:ascii="Cambria Math" w:hAnsi="Cambria Math"/>
              </w:rPr>
              <m:t>L</m:t>
            </m:r>
          </m:e>
          <m:sub>
            <m:r>
              <w:rPr>
                <w:rFonts w:ascii="Cambria Math" w:hAnsi="Cambria Math"/>
              </w:rPr>
              <m:t>y</m:t>
            </m:r>
          </m:sub>
        </m:sSub>
        <m:r>
          <w:rPr>
            <w:rFonts w:ascii="Cambria Math" w:hAnsi="Cambria Math"/>
          </w:rPr>
          <m:t xml:space="preserve"> = 90 voxels</m:t>
        </m:r>
      </m:oMath>
    </w:p>
    <w:p w14:paraId="1827C6FF" w14:textId="77777777" w:rsidR="0053152C" w:rsidRPr="00437A98" w:rsidRDefault="0053152C" w:rsidP="0053152C">
      <w:pPr>
        <w:rPr>
          <w:rFonts w:ascii="Palatino Linotype" w:hAnsi="Palatino Linotype"/>
        </w:rPr>
      </w:pPr>
      <w:r w:rsidRPr="00437A98">
        <w:rPr>
          <w:rFonts w:ascii="Palatino Linotype" w:hAnsi="Palatino Linotype"/>
        </w:rPr>
        <w:t xml:space="preserve">Temporal: </w:t>
      </w:r>
    </w:p>
    <w:p w14:paraId="4909DE8E" w14:textId="14F711F1" w:rsidR="00CB44CD" w:rsidRDefault="0053152C" w:rsidP="0053152C">
      <w:pPr>
        <w:ind w:firstLine="720"/>
        <w:rPr>
          <w:rFonts w:ascii="Palatino Linotype" w:hAnsi="Palatino Linotype"/>
        </w:rPr>
      </w:pPr>
      <w:r>
        <w:rPr>
          <w:rFonts w:ascii="Palatino Linotype" w:hAnsi="Palatino Linotype"/>
        </w:rPr>
        <w:t xml:space="preserve">1 </w:t>
      </w:r>
      <w:r w:rsidRPr="00437A98">
        <w:rPr>
          <w:rFonts w:ascii="Palatino Linotype" w:hAnsi="Palatino Linotype"/>
        </w:rPr>
        <w:t>Monte Carlo Step (MCS) = 6 minutes</w:t>
      </w:r>
    </w:p>
    <w:p w14:paraId="3439F677" w14:textId="77777777" w:rsidR="00906A7F" w:rsidRPr="00607A1B" w:rsidRDefault="00906A7F" w:rsidP="00906A7F">
      <w:pPr>
        <w:pStyle w:val="Heading1"/>
        <w:rPr>
          <w:rFonts w:ascii="Palatino Linotype" w:hAnsi="Palatino Linotype"/>
        </w:rPr>
      </w:pPr>
      <w:r w:rsidRPr="00607A1B">
        <w:rPr>
          <w:rFonts w:ascii="Palatino Linotype" w:hAnsi="Palatino Linotype"/>
        </w:rPr>
        <w:t>References</w:t>
      </w:r>
    </w:p>
    <w:p w14:paraId="6282D96F" w14:textId="05A9699C" w:rsidR="00906A7F" w:rsidRPr="00906A7F" w:rsidRDefault="00906A7F" w:rsidP="00906A7F">
      <w:pPr>
        <w:pStyle w:val="Bibliography"/>
        <w:rPr>
          <w:rFonts w:ascii="Palatino Linotype" w:hAnsi="Palatino Linotype"/>
        </w:rPr>
      </w:pPr>
      <w:r>
        <w:rPr>
          <w:rFonts w:ascii="Palatino Linotype" w:hAnsi="Palatino Linotype"/>
        </w:rPr>
        <w:fldChar w:fldCharType="begin"/>
      </w:r>
      <w:r>
        <w:rPr>
          <w:rFonts w:ascii="Palatino Linotype" w:hAnsi="Palatino Linotype"/>
        </w:rPr>
        <w:instrText xml:space="preserve"> ADDIN ZOTERO_BIBL {"uncited":[],"omitted":[],"custom":[]} CSL_BIBLIOGRAPHY </w:instrText>
      </w:r>
      <w:r>
        <w:rPr>
          <w:rFonts w:ascii="Palatino Linotype" w:hAnsi="Palatino Linotype"/>
        </w:rPr>
        <w:fldChar w:fldCharType="separate"/>
      </w:r>
      <w:r w:rsidRPr="00906A7F">
        <w:rPr>
          <w:rFonts w:ascii="Palatino Linotype" w:hAnsi="Palatino Linotype"/>
        </w:rPr>
        <w:t>1.</w:t>
      </w:r>
      <w:r w:rsidRPr="00906A7F">
        <w:rPr>
          <w:rFonts w:ascii="Palatino Linotype" w:hAnsi="Palatino Linotype"/>
        </w:rPr>
        <w:tab/>
        <w:t xml:space="preserve">Thorne RG, Hrabětová S, Nicholson C. Diffusion of Epidermal Growth Factor in Rat Brain Extracellular Space Measured by Integrative Optical Imaging. Journal of Neurophysiology. 2004 Dec;92(6):3471–81. </w:t>
      </w:r>
    </w:p>
    <w:p w14:paraId="50DC59A1" w14:textId="77777777" w:rsidR="00906A7F" w:rsidRPr="00906A7F" w:rsidRDefault="00906A7F" w:rsidP="00906A7F">
      <w:pPr>
        <w:pStyle w:val="Bibliography"/>
        <w:rPr>
          <w:rFonts w:ascii="Palatino Linotype" w:hAnsi="Palatino Linotype"/>
        </w:rPr>
      </w:pPr>
      <w:r w:rsidRPr="00906A7F">
        <w:rPr>
          <w:rFonts w:ascii="Palatino Linotype" w:hAnsi="Palatino Linotype"/>
        </w:rPr>
        <w:t>2.</w:t>
      </w:r>
      <w:r w:rsidRPr="00906A7F">
        <w:rPr>
          <w:rFonts w:ascii="Palatino Linotype" w:hAnsi="Palatino Linotype"/>
        </w:rPr>
        <w:tab/>
        <w:t xml:space="preserve">Kuo CY, Eranki A, Placone JK, Rhodes KR, Aranda-Espinoza H, Fernandes R, et al. Development of a 3D Printed, Bioengineered Placenta Model to Evaluate the Role of Trophoblast Migration in Preeclampsia. ACS Biomater Sci Eng. 2016 Oct 10;2(10):1817–26. </w:t>
      </w:r>
    </w:p>
    <w:p w14:paraId="30675B51" w14:textId="77777777" w:rsidR="00906A7F" w:rsidRPr="00906A7F" w:rsidRDefault="00906A7F" w:rsidP="00906A7F">
      <w:pPr>
        <w:pStyle w:val="Bibliography"/>
        <w:rPr>
          <w:rFonts w:ascii="Palatino Linotype" w:hAnsi="Palatino Linotype"/>
        </w:rPr>
      </w:pPr>
      <w:r w:rsidRPr="00906A7F">
        <w:rPr>
          <w:rFonts w:ascii="Palatino Linotype" w:hAnsi="Palatino Linotype"/>
        </w:rPr>
        <w:t>3.</w:t>
      </w:r>
      <w:r w:rsidRPr="00906A7F">
        <w:rPr>
          <w:rFonts w:ascii="Palatino Linotype" w:hAnsi="Palatino Linotype"/>
        </w:rPr>
        <w:tab/>
        <w:t xml:space="preserve">Chan KY, Lindquist TD, Edenfield MJ, Nicolson MA, Banks AR. Pharmacokinetic study of recombinant human epidermal growth factor in the anterior eye. Invest Ophthalmol Vis Sci. 1991 Dec;32(13):3209–15. </w:t>
      </w:r>
    </w:p>
    <w:p w14:paraId="602663ED" w14:textId="601988AF" w:rsidR="00FB1CE5" w:rsidRPr="00035505" w:rsidRDefault="00906A7F" w:rsidP="00035505">
      <w:pPr>
        <w:rPr>
          <w:rFonts w:ascii="Palatino Linotype" w:hAnsi="Palatino Linotype"/>
        </w:rPr>
      </w:pPr>
      <w:r>
        <w:rPr>
          <w:rFonts w:ascii="Palatino Linotype" w:hAnsi="Palatino Linotype"/>
        </w:rPr>
        <w:fldChar w:fldCharType="end"/>
      </w:r>
    </w:p>
    <w:sectPr w:rsidR="00FB1CE5" w:rsidRPr="00035505" w:rsidSect="0053152C">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45pt;visibility:visible;mso-wrap-style:square" o:bullet="t">
        <v:imagedata r:id="rId1" o:title=""/>
      </v:shape>
    </w:pict>
  </w:numPicBullet>
  <w:abstractNum w:abstractNumId="0" w15:restartNumberingAfterBreak="0">
    <w:nsid w:val="026E692A"/>
    <w:multiLevelType w:val="multilevel"/>
    <w:tmpl w:val="A0B6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50AA8"/>
    <w:multiLevelType w:val="multilevel"/>
    <w:tmpl w:val="EB7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3483"/>
    <w:multiLevelType w:val="multilevel"/>
    <w:tmpl w:val="9CC0D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463A3"/>
    <w:multiLevelType w:val="multilevel"/>
    <w:tmpl w:val="758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32256"/>
    <w:multiLevelType w:val="multilevel"/>
    <w:tmpl w:val="0D00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91031"/>
    <w:multiLevelType w:val="multilevel"/>
    <w:tmpl w:val="947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E6B57"/>
    <w:multiLevelType w:val="multilevel"/>
    <w:tmpl w:val="896087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2126D"/>
    <w:multiLevelType w:val="multilevel"/>
    <w:tmpl w:val="2B9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F2DB6"/>
    <w:multiLevelType w:val="multilevel"/>
    <w:tmpl w:val="9CAA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64B4E"/>
    <w:multiLevelType w:val="multilevel"/>
    <w:tmpl w:val="5546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33AA7"/>
    <w:multiLevelType w:val="multilevel"/>
    <w:tmpl w:val="C1A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27291"/>
    <w:multiLevelType w:val="multilevel"/>
    <w:tmpl w:val="E31A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66E30"/>
    <w:multiLevelType w:val="multilevel"/>
    <w:tmpl w:val="E87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F3968"/>
    <w:multiLevelType w:val="multilevel"/>
    <w:tmpl w:val="0CD4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2124D"/>
    <w:multiLevelType w:val="multilevel"/>
    <w:tmpl w:val="9DBC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25896"/>
    <w:multiLevelType w:val="multilevel"/>
    <w:tmpl w:val="86A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30FA0"/>
    <w:multiLevelType w:val="multilevel"/>
    <w:tmpl w:val="24DA04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90EE3"/>
    <w:multiLevelType w:val="multilevel"/>
    <w:tmpl w:val="9B4AD0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C35D74"/>
    <w:multiLevelType w:val="multilevel"/>
    <w:tmpl w:val="CC78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1665C7"/>
    <w:multiLevelType w:val="multilevel"/>
    <w:tmpl w:val="A9A6C2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F3F4758"/>
    <w:multiLevelType w:val="multilevel"/>
    <w:tmpl w:val="6048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4C45BA"/>
    <w:multiLevelType w:val="multilevel"/>
    <w:tmpl w:val="66F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F7EDC"/>
    <w:multiLevelType w:val="multilevel"/>
    <w:tmpl w:val="061A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F1F84"/>
    <w:multiLevelType w:val="multilevel"/>
    <w:tmpl w:val="676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40EFE"/>
    <w:multiLevelType w:val="multilevel"/>
    <w:tmpl w:val="AB5E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75C53"/>
    <w:multiLevelType w:val="multilevel"/>
    <w:tmpl w:val="37D66A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B2FFD"/>
    <w:multiLevelType w:val="multilevel"/>
    <w:tmpl w:val="4D6E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5210E"/>
    <w:multiLevelType w:val="multilevel"/>
    <w:tmpl w:val="76F882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A340D78"/>
    <w:multiLevelType w:val="multilevel"/>
    <w:tmpl w:val="DBF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848E7"/>
    <w:multiLevelType w:val="multilevel"/>
    <w:tmpl w:val="F87A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EC1988"/>
    <w:multiLevelType w:val="multilevel"/>
    <w:tmpl w:val="4254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44F6C"/>
    <w:multiLevelType w:val="multilevel"/>
    <w:tmpl w:val="322A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52A28"/>
    <w:multiLevelType w:val="hybridMultilevel"/>
    <w:tmpl w:val="728E20E8"/>
    <w:lvl w:ilvl="0" w:tplc="ACAA94C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881ABD"/>
    <w:multiLevelType w:val="multilevel"/>
    <w:tmpl w:val="CFC0A7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FD2D9D"/>
    <w:multiLevelType w:val="multilevel"/>
    <w:tmpl w:val="1C46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657B7"/>
    <w:multiLevelType w:val="multilevel"/>
    <w:tmpl w:val="8FE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4714A9"/>
    <w:multiLevelType w:val="multilevel"/>
    <w:tmpl w:val="981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25CDC"/>
    <w:multiLevelType w:val="multilevel"/>
    <w:tmpl w:val="4898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64710"/>
    <w:multiLevelType w:val="multilevel"/>
    <w:tmpl w:val="FF4A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330DB5"/>
    <w:multiLevelType w:val="multilevel"/>
    <w:tmpl w:val="F79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207575"/>
    <w:multiLevelType w:val="multilevel"/>
    <w:tmpl w:val="B77A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BD61E9"/>
    <w:multiLevelType w:val="multilevel"/>
    <w:tmpl w:val="DC2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1E"/>
    <w:multiLevelType w:val="multilevel"/>
    <w:tmpl w:val="9B26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07E1A"/>
    <w:multiLevelType w:val="multilevel"/>
    <w:tmpl w:val="003E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146C2D"/>
    <w:multiLevelType w:val="multilevel"/>
    <w:tmpl w:val="A47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86068F"/>
    <w:multiLevelType w:val="hybridMultilevel"/>
    <w:tmpl w:val="7AEC30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3C2E56"/>
    <w:multiLevelType w:val="multilevel"/>
    <w:tmpl w:val="9C04D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625BA6"/>
    <w:multiLevelType w:val="multilevel"/>
    <w:tmpl w:val="859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7257C"/>
    <w:multiLevelType w:val="multilevel"/>
    <w:tmpl w:val="6D82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7E00D2"/>
    <w:multiLevelType w:val="multilevel"/>
    <w:tmpl w:val="34A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541677"/>
    <w:multiLevelType w:val="multilevel"/>
    <w:tmpl w:val="036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62378"/>
    <w:multiLevelType w:val="multilevel"/>
    <w:tmpl w:val="F58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9B7AEF"/>
    <w:multiLevelType w:val="multilevel"/>
    <w:tmpl w:val="DE1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E14EA2"/>
    <w:multiLevelType w:val="multilevel"/>
    <w:tmpl w:val="AECC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257BF1"/>
    <w:multiLevelType w:val="multilevel"/>
    <w:tmpl w:val="5298F6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FB0C04"/>
    <w:multiLevelType w:val="multilevel"/>
    <w:tmpl w:val="30E4E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2C439A"/>
    <w:multiLevelType w:val="multilevel"/>
    <w:tmpl w:val="65DE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620019"/>
    <w:multiLevelType w:val="multilevel"/>
    <w:tmpl w:val="E2BE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DB27AA"/>
    <w:multiLevelType w:val="multilevel"/>
    <w:tmpl w:val="D84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A31D93"/>
    <w:multiLevelType w:val="multilevel"/>
    <w:tmpl w:val="A6D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B25EF3"/>
    <w:multiLevelType w:val="hybridMultilevel"/>
    <w:tmpl w:val="A8AAF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BCD6322"/>
    <w:multiLevelType w:val="multilevel"/>
    <w:tmpl w:val="9488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327F52"/>
    <w:multiLevelType w:val="multilevel"/>
    <w:tmpl w:val="A61A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4127C1"/>
    <w:multiLevelType w:val="multilevel"/>
    <w:tmpl w:val="C2E6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474A9F"/>
    <w:multiLevelType w:val="multilevel"/>
    <w:tmpl w:val="1A9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6B5755"/>
    <w:multiLevelType w:val="multilevel"/>
    <w:tmpl w:val="3F6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B1740B"/>
    <w:multiLevelType w:val="multilevel"/>
    <w:tmpl w:val="2DE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C740FC"/>
    <w:multiLevelType w:val="multilevel"/>
    <w:tmpl w:val="AD7E3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3002FF"/>
    <w:multiLevelType w:val="multilevel"/>
    <w:tmpl w:val="419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1C578C"/>
    <w:multiLevelType w:val="multilevel"/>
    <w:tmpl w:val="BA5A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60754D"/>
    <w:multiLevelType w:val="multilevel"/>
    <w:tmpl w:val="9CB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43A4B"/>
    <w:multiLevelType w:val="multilevel"/>
    <w:tmpl w:val="39BA2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066710">
    <w:abstractNumId w:val="20"/>
  </w:num>
  <w:num w:numId="2" w16cid:durableId="1331985345">
    <w:abstractNumId w:val="41"/>
  </w:num>
  <w:num w:numId="3" w16cid:durableId="1594627185">
    <w:abstractNumId w:val="51"/>
  </w:num>
  <w:num w:numId="4" w16cid:durableId="2088456231">
    <w:abstractNumId w:val="53"/>
  </w:num>
  <w:num w:numId="5" w16cid:durableId="720400048">
    <w:abstractNumId w:val="24"/>
  </w:num>
  <w:num w:numId="6" w16cid:durableId="1328365331">
    <w:abstractNumId w:val="4"/>
  </w:num>
  <w:num w:numId="7" w16cid:durableId="1306468292">
    <w:abstractNumId w:val="70"/>
  </w:num>
  <w:num w:numId="8" w16cid:durableId="840585228">
    <w:abstractNumId w:val="56"/>
  </w:num>
  <w:num w:numId="9" w16cid:durableId="1766531316">
    <w:abstractNumId w:val="7"/>
  </w:num>
  <w:num w:numId="10" w16cid:durableId="1319075294">
    <w:abstractNumId w:val="48"/>
  </w:num>
  <w:num w:numId="11" w16cid:durableId="76053656">
    <w:abstractNumId w:val="67"/>
  </w:num>
  <w:num w:numId="12" w16cid:durableId="553587489">
    <w:abstractNumId w:val="15"/>
  </w:num>
  <w:num w:numId="13" w16cid:durableId="1155146189">
    <w:abstractNumId w:val="29"/>
  </w:num>
  <w:num w:numId="14" w16cid:durableId="223413079">
    <w:abstractNumId w:val="66"/>
  </w:num>
  <w:num w:numId="15" w16cid:durableId="1674647502">
    <w:abstractNumId w:val="61"/>
  </w:num>
  <w:num w:numId="16" w16cid:durableId="63994015">
    <w:abstractNumId w:val="39"/>
  </w:num>
  <w:num w:numId="17" w16cid:durableId="617102410">
    <w:abstractNumId w:val="62"/>
  </w:num>
  <w:num w:numId="18" w16cid:durableId="529537743">
    <w:abstractNumId w:val="44"/>
  </w:num>
  <w:num w:numId="19" w16cid:durableId="369230883">
    <w:abstractNumId w:val="23"/>
  </w:num>
  <w:num w:numId="20" w16cid:durableId="2092503959">
    <w:abstractNumId w:val="18"/>
  </w:num>
  <w:num w:numId="21" w16cid:durableId="1557277384">
    <w:abstractNumId w:val="34"/>
  </w:num>
  <w:num w:numId="22" w16cid:durableId="527839618">
    <w:abstractNumId w:val="55"/>
  </w:num>
  <w:num w:numId="23" w16cid:durableId="2083672168">
    <w:abstractNumId w:val="33"/>
  </w:num>
  <w:num w:numId="24" w16cid:durableId="1267925743">
    <w:abstractNumId w:val="33"/>
    <w:lvlOverride w:ilvl="1">
      <w:lvl w:ilvl="1">
        <w:numFmt w:val="lowerLetter"/>
        <w:lvlText w:val="%2."/>
        <w:lvlJc w:val="left"/>
      </w:lvl>
    </w:lvlOverride>
  </w:num>
  <w:num w:numId="25" w16cid:durableId="414783819">
    <w:abstractNumId w:val="33"/>
    <w:lvlOverride w:ilvl="1">
      <w:lvl w:ilvl="1">
        <w:numFmt w:val="lowerLetter"/>
        <w:lvlText w:val="%2."/>
        <w:lvlJc w:val="left"/>
      </w:lvl>
    </w:lvlOverride>
  </w:num>
  <w:num w:numId="26" w16cid:durableId="1369379900">
    <w:abstractNumId w:val="33"/>
    <w:lvlOverride w:ilvl="1">
      <w:lvl w:ilvl="1">
        <w:numFmt w:val="lowerLetter"/>
        <w:lvlText w:val="%2."/>
        <w:lvlJc w:val="left"/>
      </w:lvl>
    </w:lvlOverride>
  </w:num>
  <w:num w:numId="27" w16cid:durableId="688027823">
    <w:abstractNumId w:val="33"/>
    <w:lvlOverride w:ilvl="1">
      <w:lvl w:ilvl="1">
        <w:numFmt w:val="lowerLetter"/>
        <w:lvlText w:val="%2."/>
        <w:lvlJc w:val="left"/>
      </w:lvl>
    </w:lvlOverride>
  </w:num>
  <w:num w:numId="28" w16cid:durableId="584262875">
    <w:abstractNumId w:val="33"/>
    <w:lvlOverride w:ilvl="1">
      <w:lvl w:ilvl="1">
        <w:numFmt w:val="lowerLetter"/>
        <w:lvlText w:val="%2."/>
        <w:lvlJc w:val="left"/>
      </w:lvl>
    </w:lvlOverride>
  </w:num>
  <w:num w:numId="29" w16cid:durableId="2132362847">
    <w:abstractNumId w:val="17"/>
  </w:num>
  <w:num w:numId="30" w16cid:durableId="402534971">
    <w:abstractNumId w:val="17"/>
    <w:lvlOverride w:ilvl="1">
      <w:lvl w:ilvl="1">
        <w:numFmt w:val="lowerLetter"/>
        <w:lvlText w:val="%2."/>
        <w:lvlJc w:val="left"/>
      </w:lvl>
    </w:lvlOverride>
  </w:num>
  <w:num w:numId="31" w16cid:durableId="1438867770">
    <w:abstractNumId w:val="17"/>
    <w:lvlOverride w:ilvl="1">
      <w:lvl w:ilvl="1">
        <w:numFmt w:val="lowerLetter"/>
        <w:lvlText w:val="%2."/>
        <w:lvlJc w:val="left"/>
      </w:lvl>
    </w:lvlOverride>
  </w:num>
  <w:num w:numId="32" w16cid:durableId="1564825596">
    <w:abstractNumId w:val="17"/>
    <w:lvlOverride w:ilvl="1">
      <w:lvl w:ilvl="1">
        <w:numFmt w:val="lowerLetter"/>
        <w:lvlText w:val="%2."/>
        <w:lvlJc w:val="left"/>
      </w:lvl>
    </w:lvlOverride>
  </w:num>
  <w:num w:numId="33" w16cid:durableId="955015982">
    <w:abstractNumId w:val="6"/>
  </w:num>
  <w:num w:numId="34" w16cid:durableId="14813049">
    <w:abstractNumId w:val="6"/>
    <w:lvlOverride w:ilvl="1">
      <w:lvl w:ilvl="1">
        <w:numFmt w:val="lowerLetter"/>
        <w:lvlText w:val="%2."/>
        <w:lvlJc w:val="left"/>
      </w:lvl>
    </w:lvlOverride>
  </w:num>
  <w:num w:numId="35" w16cid:durableId="276983401">
    <w:abstractNumId w:val="25"/>
    <w:lvlOverride w:ilvl="0">
      <w:lvl w:ilvl="0">
        <w:numFmt w:val="decimal"/>
        <w:lvlText w:val="%1."/>
        <w:lvlJc w:val="left"/>
      </w:lvl>
    </w:lvlOverride>
  </w:num>
  <w:num w:numId="36" w16cid:durableId="1646356589">
    <w:abstractNumId w:val="63"/>
    <w:lvlOverride w:ilvl="0">
      <w:lvl w:ilvl="0">
        <w:numFmt w:val="lowerLetter"/>
        <w:lvlText w:val="%1."/>
        <w:lvlJc w:val="left"/>
      </w:lvl>
    </w:lvlOverride>
  </w:num>
  <w:num w:numId="37" w16cid:durableId="484585198">
    <w:abstractNumId w:val="16"/>
  </w:num>
  <w:num w:numId="38" w16cid:durableId="27335257">
    <w:abstractNumId w:val="16"/>
    <w:lvlOverride w:ilvl="1">
      <w:lvl w:ilvl="1">
        <w:numFmt w:val="lowerLetter"/>
        <w:lvlText w:val="%2."/>
        <w:lvlJc w:val="left"/>
      </w:lvl>
    </w:lvlOverride>
  </w:num>
  <w:num w:numId="39" w16cid:durableId="1296056965">
    <w:abstractNumId w:val="16"/>
    <w:lvlOverride w:ilvl="1">
      <w:lvl w:ilvl="1">
        <w:numFmt w:val="lowerLetter"/>
        <w:lvlText w:val="%2."/>
        <w:lvlJc w:val="left"/>
      </w:lvl>
    </w:lvlOverride>
  </w:num>
  <w:num w:numId="40" w16cid:durableId="2006979799">
    <w:abstractNumId w:val="16"/>
    <w:lvlOverride w:ilvl="1">
      <w:lvl w:ilvl="1">
        <w:numFmt w:val="lowerLetter"/>
        <w:lvlText w:val="%2."/>
        <w:lvlJc w:val="left"/>
      </w:lvl>
    </w:lvlOverride>
  </w:num>
  <w:num w:numId="41" w16cid:durableId="1888909059">
    <w:abstractNumId w:val="16"/>
    <w:lvlOverride w:ilvl="1">
      <w:lvl w:ilvl="1">
        <w:numFmt w:val="lowerLetter"/>
        <w:lvlText w:val="%2."/>
        <w:lvlJc w:val="left"/>
      </w:lvl>
    </w:lvlOverride>
  </w:num>
  <w:num w:numId="42" w16cid:durableId="1089472735">
    <w:abstractNumId w:val="54"/>
  </w:num>
  <w:num w:numId="43" w16cid:durableId="1300723587">
    <w:abstractNumId w:val="54"/>
    <w:lvlOverride w:ilvl="1">
      <w:lvl w:ilvl="1">
        <w:numFmt w:val="lowerLetter"/>
        <w:lvlText w:val="%2."/>
        <w:lvlJc w:val="left"/>
      </w:lvl>
    </w:lvlOverride>
  </w:num>
  <w:num w:numId="44" w16cid:durableId="2108111985">
    <w:abstractNumId w:val="54"/>
    <w:lvlOverride w:ilvl="1">
      <w:lvl w:ilvl="1">
        <w:numFmt w:val="lowerLetter"/>
        <w:lvlText w:val="%2."/>
        <w:lvlJc w:val="left"/>
      </w:lvl>
    </w:lvlOverride>
  </w:num>
  <w:num w:numId="45" w16cid:durableId="899242541">
    <w:abstractNumId w:val="64"/>
  </w:num>
  <w:num w:numId="46" w16cid:durableId="1796286703">
    <w:abstractNumId w:val="10"/>
  </w:num>
  <w:num w:numId="47" w16cid:durableId="1188179115">
    <w:abstractNumId w:val="5"/>
  </w:num>
  <w:num w:numId="48" w16cid:durableId="2078358901">
    <w:abstractNumId w:val="1"/>
  </w:num>
  <w:num w:numId="49" w16cid:durableId="277641549">
    <w:abstractNumId w:val="65"/>
  </w:num>
  <w:num w:numId="50" w16cid:durableId="2030644618">
    <w:abstractNumId w:val="42"/>
  </w:num>
  <w:num w:numId="51" w16cid:durableId="1012074016">
    <w:abstractNumId w:val="35"/>
  </w:num>
  <w:num w:numId="52" w16cid:durableId="2045136304">
    <w:abstractNumId w:val="19"/>
  </w:num>
  <w:num w:numId="53" w16cid:durableId="1993489113">
    <w:abstractNumId w:val="49"/>
  </w:num>
  <w:num w:numId="54" w16cid:durableId="449209972">
    <w:abstractNumId w:val="52"/>
  </w:num>
  <w:num w:numId="55" w16cid:durableId="371459765">
    <w:abstractNumId w:val="28"/>
  </w:num>
  <w:num w:numId="56" w16cid:durableId="458765590">
    <w:abstractNumId w:val="68"/>
  </w:num>
  <w:num w:numId="57" w16cid:durableId="770974410">
    <w:abstractNumId w:val="30"/>
  </w:num>
  <w:num w:numId="58" w16cid:durableId="1232615033">
    <w:abstractNumId w:val="40"/>
  </w:num>
  <w:num w:numId="59" w16cid:durableId="344018638">
    <w:abstractNumId w:val="0"/>
  </w:num>
  <w:num w:numId="60" w16cid:durableId="715160534">
    <w:abstractNumId w:val="59"/>
  </w:num>
  <w:num w:numId="61" w16cid:durableId="318656270">
    <w:abstractNumId w:val="14"/>
  </w:num>
  <w:num w:numId="62" w16cid:durableId="263194959">
    <w:abstractNumId w:val="8"/>
  </w:num>
  <w:num w:numId="63" w16cid:durableId="1361518006">
    <w:abstractNumId w:val="12"/>
  </w:num>
  <w:num w:numId="64" w16cid:durableId="256134747">
    <w:abstractNumId w:val="13"/>
  </w:num>
  <w:num w:numId="65" w16cid:durableId="793332157">
    <w:abstractNumId w:val="9"/>
  </w:num>
  <w:num w:numId="66" w16cid:durableId="960959174">
    <w:abstractNumId w:val="50"/>
  </w:num>
  <w:num w:numId="67" w16cid:durableId="615019682">
    <w:abstractNumId w:val="37"/>
  </w:num>
  <w:num w:numId="68" w16cid:durableId="50465258">
    <w:abstractNumId w:val="57"/>
  </w:num>
  <w:num w:numId="69" w16cid:durableId="1157382588">
    <w:abstractNumId w:val="36"/>
  </w:num>
  <w:num w:numId="70" w16cid:durableId="1657564974">
    <w:abstractNumId w:val="43"/>
  </w:num>
  <w:num w:numId="71" w16cid:durableId="1135684943">
    <w:abstractNumId w:val="47"/>
  </w:num>
  <w:num w:numId="72" w16cid:durableId="1967731684">
    <w:abstractNumId w:val="46"/>
  </w:num>
  <w:num w:numId="73" w16cid:durableId="781388163">
    <w:abstractNumId w:val="71"/>
  </w:num>
  <w:num w:numId="74" w16cid:durableId="678194326">
    <w:abstractNumId w:val="21"/>
  </w:num>
  <w:num w:numId="75" w16cid:durableId="129133735">
    <w:abstractNumId w:val="22"/>
  </w:num>
  <w:num w:numId="76" w16cid:durableId="1685354800">
    <w:abstractNumId w:val="38"/>
  </w:num>
  <w:num w:numId="77" w16cid:durableId="567498690">
    <w:abstractNumId w:val="3"/>
  </w:num>
  <w:num w:numId="78" w16cid:durableId="673995851">
    <w:abstractNumId w:val="60"/>
  </w:num>
  <w:num w:numId="79" w16cid:durableId="239558827">
    <w:abstractNumId w:val="45"/>
  </w:num>
  <w:num w:numId="80" w16cid:durableId="730466643">
    <w:abstractNumId w:val="32"/>
  </w:num>
  <w:num w:numId="81" w16cid:durableId="2110588709">
    <w:abstractNumId w:val="2"/>
  </w:num>
  <w:num w:numId="82" w16cid:durableId="650139334">
    <w:abstractNumId w:val="31"/>
  </w:num>
  <w:num w:numId="83" w16cid:durableId="341975497">
    <w:abstractNumId w:val="26"/>
  </w:num>
  <w:num w:numId="84" w16cid:durableId="1599825048">
    <w:abstractNumId w:val="27"/>
  </w:num>
  <w:num w:numId="85" w16cid:durableId="1394768373">
    <w:abstractNumId w:val="11"/>
  </w:num>
  <w:num w:numId="86" w16cid:durableId="1965308249">
    <w:abstractNumId w:val="69"/>
  </w:num>
  <w:num w:numId="87" w16cid:durableId="104923265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2C"/>
    <w:rsid w:val="000240EB"/>
    <w:rsid w:val="00035505"/>
    <w:rsid w:val="00045A36"/>
    <w:rsid w:val="00055F87"/>
    <w:rsid w:val="000813FA"/>
    <w:rsid w:val="000841E0"/>
    <w:rsid w:val="00096740"/>
    <w:rsid w:val="000E2596"/>
    <w:rsid w:val="0010088E"/>
    <w:rsid w:val="0012014B"/>
    <w:rsid w:val="00136376"/>
    <w:rsid w:val="00140FBD"/>
    <w:rsid w:val="00154C00"/>
    <w:rsid w:val="001637BB"/>
    <w:rsid w:val="00166A26"/>
    <w:rsid w:val="0017205F"/>
    <w:rsid w:val="001801D9"/>
    <w:rsid w:val="001D2842"/>
    <w:rsid w:val="001D3524"/>
    <w:rsid w:val="001F33E6"/>
    <w:rsid w:val="001F7015"/>
    <w:rsid w:val="00216DE1"/>
    <w:rsid w:val="002833A3"/>
    <w:rsid w:val="00284EF9"/>
    <w:rsid w:val="00294426"/>
    <w:rsid w:val="0029460D"/>
    <w:rsid w:val="002A2CA5"/>
    <w:rsid w:val="002A79E3"/>
    <w:rsid w:val="002B4703"/>
    <w:rsid w:val="002B74F3"/>
    <w:rsid w:val="002E4D32"/>
    <w:rsid w:val="002E540E"/>
    <w:rsid w:val="002F5F61"/>
    <w:rsid w:val="00334BEB"/>
    <w:rsid w:val="00367AD7"/>
    <w:rsid w:val="003803C5"/>
    <w:rsid w:val="003B3E5B"/>
    <w:rsid w:val="003C78BC"/>
    <w:rsid w:val="003E27C3"/>
    <w:rsid w:val="003F7156"/>
    <w:rsid w:val="00425EC2"/>
    <w:rsid w:val="00444A2F"/>
    <w:rsid w:val="0044768B"/>
    <w:rsid w:val="00450DE0"/>
    <w:rsid w:val="00491815"/>
    <w:rsid w:val="004E2DE8"/>
    <w:rsid w:val="004F7921"/>
    <w:rsid w:val="0053152C"/>
    <w:rsid w:val="005369B8"/>
    <w:rsid w:val="00562E16"/>
    <w:rsid w:val="005A3671"/>
    <w:rsid w:val="005E5FAF"/>
    <w:rsid w:val="005F251E"/>
    <w:rsid w:val="005F7124"/>
    <w:rsid w:val="00616C2C"/>
    <w:rsid w:val="00637DCC"/>
    <w:rsid w:val="00643B34"/>
    <w:rsid w:val="006808D9"/>
    <w:rsid w:val="006A7C19"/>
    <w:rsid w:val="006F5A47"/>
    <w:rsid w:val="00700E6A"/>
    <w:rsid w:val="00714B36"/>
    <w:rsid w:val="00737014"/>
    <w:rsid w:val="0074076B"/>
    <w:rsid w:val="00742405"/>
    <w:rsid w:val="0075015D"/>
    <w:rsid w:val="00764994"/>
    <w:rsid w:val="00780013"/>
    <w:rsid w:val="00784089"/>
    <w:rsid w:val="00793BAC"/>
    <w:rsid w:val="007D56C0"/>
    <w:rsid w:val="00820A9F"/>
    <w:rsid w:val="008772F8"/>
    <w:rsid w:val="00885D41"/>
    <w:rsid w:val="008963BF"/>
    <w:rsid w:val="008B63F6"/>
    <w:rsid w:val="008D459D"/>
    <w:rsid w:val="008D701D"/>
    <w:rsid w:val="008E5FA1"/>
    <w:rsid w:val="008F5EF0"/>
    <w:rsid w:val="00906A7F"/>
    <w:rsid w:val="00915F8F"/>
    <w:rsid w:val="00930A0B"/>
    <w:rsid w:val="0093481A"/>
    <w:rsid w:val="00985453"/>
    <w:rsid w:val="00986E5E"/>
    <w:rsid w:val="009A1902"/>
    <w:rsid w:val="009B4317"/>
    <w:rsid w:val="009B5522"/>
    <w:rsid w:val="009C5B14"/>
    <w:rsid w:val="009D606F"/>
    <w:rsid w:val="009D67E7"/>
    <w:rsid w:val="009E486D"/>
    <w:rsid w:val="00A12FFD"/>
    <w:rsid w:val="00A40D49"/>
    <w:rsid w:val="00A770E0"/>
    <w:rsid w:val="00A81C13"/>
    <w:rsid w:val="00AB6F6E"/>
    <w:rsid w:val="00AD49E3"/>
    <w:rsid w:val="00B00B5C"/>
    <w:rsid w:val="00B132F8"/>
    <w:rsid w:val="00B61050"/>
    <w:rsid w:val="00B9439C"/>
    <w:rsid w:val="00BA2E95"/>
    <w:rsid w:val="00BF6C0B"/>
    <w:rsid w:val="00C04E14"/>
    <w:rsid w:val="00C125CF"/>
    <w:rsid w:val="00C325D1"/>
    <w:rsid w:val="00C443AB"/>
    <w:rsid w:val="00C5403A"/>
    <w:rsid w:val="00CA770F"/>
    <w:rsid w:val="00CB44CD"/>
    <w:rsid w:val="00CC13EA"/>
    <w:rsid w:val="00D00E3E"/>
    <w:rsid w:val="00D05C57"/>
    <w:rsid w:val="00D20305"/>
    <w:rsid w:val="00D30B97"/>
    <w:rsid w:val="00D7626C"/>
    <w:rsid w:val="00D8684B"/>
    <w:rsid w:val="00DA3FEE"/>
    <w:rsid w:val="00DC0096"/>
    <w:rsid w:val="00E02109"/>
    <w:rsid w:val="00E34011"/>
    <w:rsid w:val="00E37614"/>
    <w:rsid w:val="00E418DB"/>
    <w:rsid w:val="00E720ED"/>
    <w:rsid w:val="00E8210A"/>
    <w:rsid w:val="00EB54EE"/>
    <w:rsid w:val="00EB67DC"/>
    <w:rsid w:val="00EE0250"/>
    <w:rsid w:val="00EE243F"/>
    <w:rsid w:val="00EE3BDB"/>
    <w:rsid w:val="00EF6C89"/>
    <w:rsid w:val="00F02185"/>
    <w:rsid w:val="00F32373"/>
    <w:rsid w:val="00F33EA8"/>
    <w:rsid w:val="00F669B5"/>
    <w:rsid w:val="00F846B3"/>
    <w:rsid w:val="00F976E4"/>
    <w:rsid w:val="00F97CC8"/>
    <w:rsid w:val="00FB1CE5"/>
    <w:rsid w:val="00FB4D49"/>
    <w:rsid w:val="00FB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26603"/>
  <w15:chartTrackingRefBased/>
  <w15:docId w15:val="{FC9A504E-07CE-4F2B-81F2-E9DD9EA3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1E0"/>
  </w:style>
  <w:style w:type="paragraph" w:styleId="Heading1">
    <w:name w:val="heading 1"/>
    <w:basedOn w:val="Normal"/>
    <w:next w:val="Normal"/>
    <w:link w:val="Heading1Char"/>
    <w:uiPriority w:val="9"/>
    <w:qFormat/>
    <w:rsid w:val="00531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1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1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52C"/>
    <w:rPr>
      <w:rFonts w:eastAsiaTheme="majorEastAsia" w:cstheme="majorBidi"/>
      <w:color w:val="272727" w:themeColor="text1" w:themeTint="D8"/>
    </w:rPr>
  </w:style>
  <w:style w:type="paragraph" w:styleId="Title">
    <w:name w:val="Title"/>
    <w:basedOn w:val="Normal"/>
    <w:next w:val="Normal"/>
    <w:link w:val="TitleChar"/>
    <w:uiPriority w:val="10"/>
    <w:qFormat/>
    <w:rsid w:val="00531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52C"/>
    <w:pPr>
      <w:spacing w:before="160"/>
      <w:jc w:val="center"/>
    </w:pPr>
    <w:rPr>
      <w:i/>
      <w:iCs/>
      <w:color w:val="404040" w:themeColor="text1" w:themeTint="BF"/>
    </w:rPr>
  </w:style>
  <w:style w:type="character" w:customStyle="1" w:styleId="QuoteChar">
    <w:name w:val="Quote Char"/>
    <w:basedOn w:val="DefaultParagraphFont"/>
    <w:link w:val="Quote"/>
    <w:uiPriority w:val="29"/>
    <w:rsid w:val="0053152C"/>
    <w:rPr>
      <w:i/>
      <w:iCs/>
      <w:color w:val="404040" w:themeColor="text1" w:themeTint="BF"/>
    </w:rPr>
  </w:style>
  <w:style w:type="paragraph" w:styleId="ListParagraph">
    <w:name w:val="List Paragraph"/>
    <w:basedOn w:val="Normal"/>
    <w:uiPriority w:val="34"/>
    <w:qFormat/>
    <w:rsid w:val="0053152C"/>
    <w:pPr>
      <w:ind w:left="720"/>
      <w:contextualSpacing/>
    </w:pPr>
  </w:style>
  <w:style w:type="character" w:styleId="IntenseEmphasis">
    <w:name w:val="Intense Emphasis"/>
    <w:basedOn w:val="DefaultParagraphFont"/>
    <w:uiPriority w:val="21"/>
    <w:qFormat/>
    <w:rsid w:val="0053152C"/>
    <w:rPr>
      <w:i/>
      <w:iCs/>
      <w:color w:val="0F4761" w:themeColor="accent1" w:themeShade="BF"/>
    </w:rPr>
  </w:style>
  <w:style w:type="paragraph" w:styleId="IntenseQuote">
    <w:name w:val="Intense Quote"/>
    <w:basedOn w:val="Normal"/>
    <w:next w:val="Normal"/>
    <w:link w:val="IntenseQuoteChar"/>
    <w:uiPriority w:val="30"/>
    <w:qFormat/>
    <w:rsid w:val="00531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52C"/>
    <w:rPr>
      <w:i/>
      <w:iCs/>
      <w:color w:val="0F4761" w:themeColor="accent1" w:themeShade="BF"/>
    </w:rPr>
  </w:style>
  <w:style w:type="character" w:styleId="IntenseReference">
    <w:name w:val="Intense Reference"/>
    <w:basedOn w:val="DefaultParagraphFont"/>
    <w:uiPriority w:val="32"/>
    <w:qFormat/>
    <w:rsid w:val="0053152C"/>
    <w:rPr>
      <w:b/>
      <w:bCs/>
      <w:smallCaps/>
      <w:color w:val="0F4761" w:themeColor="accent1" w:themeShade="BF"/>
      <w:spacing w:val="5"/>
    </w:rPr>
  </w:style>
  <w:style w:type="character" w:styleId="Hyperlink">
    <w:name w:val="Hyperlink"/>
    <w:basedOn w:val="DefaultParagraphFont"/>
    <w:uiPriority w:val="99"/>
    <w:unhideWhenUsed/>
    <w:rsid w:val="0053152C"/>
    <w:rPr>
      <w:color w:val="467886" w:themeColor="hyperlink"/>
      <w:u w:val="single"/>
    </w:rPr>
  </w:style>
  <w:style w:type="character" w:styleId="UnresolvedMention">
    <w:name w:val="Unresolved Mention"/>
    <w:basedOn w:val="DefaultParagraphFont"/>
    <w:uiPriority w:val="99"/>
    <w:semiHidden/>
    <w:unhideWhenUsed/>
    <w:rsid w:val="0053152C"/>
    <w:rPr>
      <w:color w:val="605E5C"/>
      <w:shd w:val="clear" w:color="auto" w:fill="E1DFDD"/>
    </w:rPr>
  </w:style>
  <w:style w:type="character" w:styleId="CommentReference">
    <w:name w:val="annotation reference"/>
    <w:basedOn w:val="DefaultParagraphFont"/>
    <w:uiPriority w:val="99"/>
    <w:semiHidden/>
    <w:unhideWhenUsed/>
    <w:rsid w:val="0053152C"/>
    <w:rPr>
      <w:sz w:val="16"/>
      <w:szCs w:val="16"/>
    </w:rPr>
  </w:style>
  <w:style w:type="paragraph" w:styleId="CommentText">
    <w:name w:val="annotation text"/>
    <w:basedOn w:val="Normal"/>
    <w:link w:val="CommentTextChar"/>
    <w:uiPriority w:val="99"/>
    <w:unhideWhenUsed/>
    <w:rsid w:val="0053152C"/>
    <w:pPr>
      <w:spacing w:line="240" w:lineRule="auto"/>
    </w:pPr>
    <w:rPr>
      <w:sz w:val="20"/>
      <w:szCs w:val="20"/>
    </w:rPr>
  </w:style>
  <w:style w:type="character" w:customStyle="1" w:styleId="CommentTextChar">
    <w:name w:val="Comment Text Char"/>
    <w:basedOn w:val="DefaultParagraphFont"/>
    <w:link w:val="CommentText"/>
    <w:uiPriority w:val="99"/>
    <w:rsid w:val="0053152C"/>
    <w:rPr>
      <w:sz w:val="20"/>
      <w:szCs w:val="20"/>
    </w:rPr>
  </w:style>
  <w:style w:type="paragraph" w:styleId="Caption">
    <w:name w:val="caption"/>
    <w:basedOn w:val="Normal"/>
    <w:next w:val="Normal"/>
    <w:uiPriority w:val="35"/>
    <w:unhideWhenUsed/>
    <w:qFormat/>
    <w:rsid w:val="0053152C"/>
    <w:pPr>
      <w:spacing w:after="200" w:line="240" w:lineRule="auto"/>
    </w:pPr>
    <w:rPr>
      <w:i/>
      <w:iCs/>
      <w:color w:val="0E2841" w:themeColor="text2"/>
      <w:sz w:val="18"/>
      <w:szCs w:val="18"/>
    </w:rPr>
  </w:style>
  <w:style w:type="paragraph" w:styleId="Revision">
    <w:name w:val="Revision"/>
    <w:hidden/>
    <w:uiPriority w:val="99"/>
    <w:semiHidden/>
    <w:rsid w:val="0053152C"/>
    <w:pPr>
      <w:spacing w:after="0" w:line="240" w:lineRule="auto"/>
    </w:pPr>
  </w:style>
  <w:style w:type="paragraph" w:customStyle="1" w:styleId="MDPI21heading1">
    <w:name w:val="MDPI_2.1_heading1"/>
    <w:qFormat/>
    <w:rsid w:val="0053152C"/>
    <w:pPr>
      <w:adjustRightInd w:val="0"/>
      <w:snapToGrid w:val="0"/>
      <w:spacing w:before="240" w:after="60" w:line="228" w:lineRule="auto"/>
      <w:ind w:left="2608"/>
      <w:outlineLvl w:val="0"/>
    </w:pPr>
    <w:rPr>
      <w:rFonts w:ascii="Palatino Linotype" w:eastAsia="Times New Roman" w:hAnsi="Palatino Linotype" w:cs="Times New Roman"/>
      <w:b/>
      <w:color w:val="000000"/>
      <w:kern w:val="0"/>
      <w:sz w:val="20"/>
      <w:lang w:eastAsia="de-DE" w:bidi="en-US"/>
      <w14:ligatures w14:val="none"/>
    </w:rPr>
  </w:style>
  <w:style w:type="character" w:customStyle="1" w:styleId="mord">
    <w:name w:val="mord"/>
    <w:basedOn w:val="DefaultParagraphFont"/>
    <w:rsid w:val="0053152C"/>
  </w:style>
  <w:style w:type="paragraph" w:styleId="NormalWeb">
    <w:name w:val="Normal (Web)"/>
    <w:basedOn w:val="Normal"/>
    <w:uiPriority w:val="99"/>
    <w:unhideWhenUsed/>
    <w:rsid w:val="005315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531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3152C"/>
    <w:rPr>
      <w:color w:val="666666"/>
    </w:rPr>
  </w:style>
  <w:style w:type="paragraph" w:styleId="CommentSubject">
    <w:name w:val="annotation subject"/>
    <w:basedOn w:val="CommentText"/>
    <w:next w:val="CommentText"/>
    <w:link w:val="CommentSubjectChar"/>
    <w:uiPriority w:val="99"/>
    <w:semiHidden/>
    <w:unhideWhenUsed/>
    <w:rsid w:val="0053152C"/>
    <w:rPr>
      <w:b/>
      <w:bCs/>
    </w:rPr>
  </w:style>
  <w:style w:type="character" w:customStyle="1" w:styleId="CommentSubjectChar">
    <w:name w:val="Comment Subject Char"/>
    <w:basedOn w:val="CommentTextChar"/>
    <w:link w:val="CommentSubject"/>
    <w:uiPriority w:val="99"/>
    <w:semiHidden/>
    <w:rsid w:val="0053152C"/>
    <w:rPr>
      <w:b/>
      <w:bCs/>
      <w:sz w:val="20"/>
      <w:szCs w:val="20"/>
    </w:rPr>
  </w:style>
  <w:style w:type="paragraph" w:styleId="Bibliography">
    <w:name w:val="Bibliography"/>
    <w:basedOn w:val="Normal"/>
    <w:next w:val="Normal"/>
    <w:uiPriority w:val="37"/>
    <w:unhideWhenUsed/>
    <w:rsid w:val="0053152C"/>
    <w:pPr>
      <w:tabs>
        <w:tab w:val="left" w:pos="504"/>
      </w:tabs>
      <w:spacing w:after="240" w:line="240" w:lineRule="auto"/>
      <w:ind w:left="504" w:hanging="504"/>
    </w:pPr>
  </w:style>
  <w:style w:type="table" w:styleId="PlainTable4">
    <w:name w:val="Plain Table 4"/>
    <w:basedOn w:val="TableNormal"/>
    <w:uiPriority w:val="44"/>
    <w:rsid w:val="005315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31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52C"/>
  </w:style>
  <w:style w:type="paragraph" w:styleId="Footer">
    <w:name w:val="footer"/>
    <w:basedOn w:val="Normal"/>
    <w:link w:val="FooterChar"/>
    <w:uiPriority w:val="99"/>
    <w:unhideWhenUsed/>
    <w:rsid w:val="00531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52C"/>
  </w:style>
  <w:style w:type="paragraph" w:customStyle="1" w:styleId="whitespace-pre-wrap">
    <w:name w:val="whitespace-pre-wrap"/>
    <w:basedOn w:val="Normal"/>
    <w:rsid w:val="005315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Mention">
    <w:name w:val="Mention"/>
    <w:basedOn w:val="DefaultParagraphFont"/>
    <w:uiPriority w:val="99"/>
    <w:unhideWhenUsed/>
    <w:rsid w:val="0053152C"/>
    <w:rPr>
      <w:color w:val="2B579A"/>
      <w:shd w:val="clear" w:color="auto" w:fill="E1DFDD"/>
    </w:rPr>
  </w:style>
  <w:style w:type="table" w:styleId="PlainTable1">
    <w:name w:val="Plain Table 1"/>
    <w:basedOn w:val="TableNormal"/>
    <w:uiPriority w:val="41"/>
    <w:rsid w:val="005315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53152C"/>
    <w:rPr>
      <w:i/>
      <w:iCs/>
    </w:rPr>
  </w:style>
  <w:style w:type="character" w:styleId="FollowedHyperlink">
    <w:name w:val="FollowedHyperlink"/>
    <w:basedOn w:val="DefaultParagraphFont"/>
    <w:uiPriority w:val="99"/>
    <w:semiHidden/>
    <w:unhideWhenUsed/>
    <w:rsid w:val="0053152C"/>
    <w:rPr>
      <w:color w:val="96607D" w:themeColor="followedHyperlink"/>
      <w:u w:val="single"/>
    </w:rPr>
  </w:style>
  <w:style w:type="character" w:styleId="LineNumber">
    <w:name w:val="line number"/>
    <w:basedOn w:val="DefaultParagraphFont"/>
    <w:uiPriority w:val="99"/>
    <w:semiHidden/>
    <w:unhideWhenUsed/>
    <w:rsid w:val="0053152C"/>
  </w:style>
  <w:style w:type="paragraph" w:styleId="HTMLPreformatted">
    <w:name w:val="HTML Preformatted"/>
    <w:basedOn w:val="Normal"/>
    <w:link w:val="HTMLPreformattedChar"/>
    <w:uiPriority w:val="99"/>
    <w:semiHidden/>
    <w:unhideWhenUsed/>
    <w:rsid w:val="0053152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3152C"/>
    <w:rPr>
      <w:rFonts w:ascii="Consolas" w:hAnsi="Consolas"/>
      <w:sz w:val="20"/>
      <w:szCs w:val="20"/>
    </w:rPr>
  </w:style>
  <w:style w:type="character" w:styleId="Strong">
    <w:name w:val="Strong"/>
    <w:basedOn w:val="DefaultParagraphFont"/>
    <w:uiPriority w:val="22"/>
    <w:qFormat/>
    <w:rsid w:val="00491815"/>
    <w:rPr>
      <w:b/>
      <w:bCs/>
    </w:rPr>
  </w:style>
  <w:style w:type="character" w:customStyle="1" w:styleId="relative">
    <w:name w:val="relative"/>
    <w:basedOn w:val="DefaultParagraphFont"/>
    <w:rsid w:val="00491815"/>
  </w:style>
  <w:style w:type="paragraph" w:customStyle="1" w:styleId="not-prose">
    <w:name w:val="not-prose"/>
    <w:basedOn w:val="Normal"/>
    <w:rsid w:val="004918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stTable6Colorful">
    <w:name w:val="List Table 6 Colorful"/>
    <w:basedOn w:val="TableNormal"/>
    <w:uiPriority w:val="51"/>
    <w:rsid w:val="00BA2E9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1778</Words>
  <Characters>11064</Characters>
  <Application>Microsoft Office Word</Application>
  <DocSecurity>0</DocSecurity>
  <Lines>257</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 Joel</dc:creator>
  <cp:keywords/>
  <dc:description/>
  <cp:lastModifiedBy>Vanin, Joel</cp:lastModifiedBy>
  <cp:revision>4</cp:revision>
  <dcterms:created xsi:type="dcterms:W3CDTF">2025-12-15T21:51:00Z</dcterms:created>
  <dcterms:modified xsi:type="dcterms:W3CDTF">2025-12-15T22:47:00Z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id="WPh5a4Zc"/&gt;&lt;style id="http://www.zotero.org/styles/vancouver" locale="en-US" hasBibliography="1" bibliographyStyleHasBeenSet="1"/&gt;&lt;prefs&gt;&lt;pref name="fieldType" value="Field"/&gt;&lt;/prefs&gt;&lt;/data&gt;</vt:lpwstr>
  </property>
</Properties>
</file>