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E465" w14:textId="34093C2E" w:rsidR="006D769D" w:rsidRDefault="006D769D" w:rsidP="006D769D">
      <w:pPr>
        <w:pStyle w:val="Title"/>
        <w:rPr>
          <w:rFonts w:ascii="Palatino Linotype" w:hAnsi="Palatino Linotype"/>
        </w:rPr>
      </w:pPr>
      <w:bookmarkStart w:id="0" w:name="_S3._Movement_Implementation"/>
      <w:bookmarkStart w:id="1" w:name="_Hlk216709206"/>
      <w:bookmarkStart w:id="2" w:name="_Hlk216709602"/>
      <w:bookmarkEnd w:id="0"/>
      <w:r w:rsidRPr="00CB7956">
        <w:rPr>
          <w:rFonts w:ascii="Palatino Linotype" w:hAnsi="Palatino Linotype"/>
          <w:sz w:val="22"/>
          <w:szCs w:val="22"/>
        </w:rPr>
        <w:t>S</w:t>
      </w:r>
      <w:r>
        <w:rPr>
          <w:rFonts w:ascii="Palatino Linotype" w:hAnsi="Palatino Linotype"/>
          <w:sz w:val="22"/>
          <w:szCs w:val="22"/>
        </w:rPr>
        <w:t>7</w:t>
      </w:r>
      <w:r w:rsidRPr="00CB7956">
        <w:rPr>
          <w:rFonts w:ascii="Palatino Linotype" w:hAnsi="Palatino Linotype"/>
          <w:sz w:val="22"/>
          <w:szCs w:val="22"/>
        </w:rPr>
        <w:t xml:space="preserve"> T</w:t>
      </w:r>
      <w:r>
        <w:rPr>
          <w:rFonts w:ascii="Palatino Linotype" w:hAnsi="Palatino Linotype"/>
          <w:sz w:val="22"/>
          <w:szCs w:val="22"/>
        </w:rPr>
        <w:t>able</w:t>
      </w:r>
      <w:r w:rsidRPr="00CB7956">
        <w:rPr>
          <w:rFonts w:ascii="Palatino Linotype" w:hAnsi="Palatino Linotype"/>
          <w:sz w:val="22"/>
          <w:szCs w:val="22"/>
        </w:rPr>
        <w:t>. V</w:t>
      </w:r>
      <w:r w:rsidRPr="00CB7956">
        <w:rPr>
          <w:rFonts w:ascii="Palatino Linotype" w:hAnsi="Palatino Linotype" w:cstheme="minorBidi"/>
          <w:sz w:val="22"/>
          <w:szCs w:val="22"/>
        </w:rPr>
        <w:t>‑</w:t>
      </w:r>
      <w:r w:rsidRPr="00CB7956">
        <w:rPr>
          <w:rFonts w:ascii="Palatino Linotype" w:hAnsi="Palatino Linotype"/>
          <w:sz w:val="22"/>
          <w:szCs w:val="22"/>
        </w:rPr>
        <w:t xml:space="preserve">Cornea supplemental </w:t>
      </w:r>
      <w:r>
        <w:rPr>
          <w:rFonts w:ascii="Palatino Linotype" w:hAnsi="Palatino Linotype"/>
          <w:sz w:val="22"/>
          <w:szCs w:val="22"/>
        </w:rPr>
        <w:t>parameters tables</w:t>
      </w:r>
      <w:r w:rsidRPr="00CB7956">
        <w:rPr>
          <w:rStyle w:val="Emphasis"/>
          <w:rFonts w:eastAsiaTheme="minorHAnsi" w:cstheme="minorBidi"/>
          <w:spacing w:val="0"/>
          <w:kern w:val="2"/>
          <w:sz w:val="22"/>
          <w:szCs w:val="22"/>
        </w:rPr>
        <w:br/>
      </w:r>
      <w:r w:rsidRPr="00CB7956">
        <w:rPr>
          <w:rFonts w:ascii="Palatino Linotype" w:eastAsiaTheme="minorHAnsi" w:hAnsi="Palatino Linotype" w:cstheme="minorBidi"/>
          <w:spacing w:val="0"/>
          <w:kern w:val="2"/>
          <w:sz w:val="22"/>
          <w:szCs w:val="22"/>
        </w:rPr>
        <w:t xml:space="preserve">Manuscript Title: </w:t>
      </w:r>
      <w:r w:rsidRPr="00CB7956">
        <w:rPr>
          <w:rFonts w:ascii="Palatino Linotype" w:hAnsi="Palatino Linotype"/>
          <w:sz w:val="22"/>
          <w:szCs w:val="22"/>
        </w:rPr>
        <w:t>V-Cornea: A computational model of corneal epithelium homeostasis, injury, and recovery</w:t>
      </w:r>
      <w:r w:rsidRPr="00CB7956">
        <w:rPr>
          <w:rFonts w:ascii="Palatino Linotype" w:hAnsi="Palatino Linotype"/>
          <w:sz w:val="22"/>
          <w:szCs w:val="22"/>
        </w:rPr>
        <w:br/>
        <w:t xml:space="preserve">Authors: 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Joel Vanin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Michael Getz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Catherine Mahony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b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, Thomas B. Knudsen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&amp; James A. Glazier </w:t>
      </w:r>
      <w:r w:rsidRPr="00CB7956">
        <w:rPr>
          <w:rStyle w:val="Emphasis"/>
          <w:rFonts w:ascii="Palatino Linotype" w:hAnsi="Palatino Linotype"/>
          <w:sz w:val="22"/>
          <w:szCs w:val="22"/>
          <w:vertAlign w:val="superscript"/>
        </w:rPr>
        <w:t>a*</w:t>
      </w:r>
      <w:r w:rsidRPr="00CB7956">
        <w:rPr>
          <w:rStyle w:val="Emphasis"/>
          <w:rFonts w:ascii="Palatino Linotype" w:hAnsi="Palatino Linotype"/>
          <w:sz w:val="22"/>
          <w:szCs w:val="22"/>
        </w:rPr>
        <w:t xml:space="preserve"> </w:t>
      </w:r>
      <w:r w:rsidRPr="00CB7956">
        <w:rPr>
          <w:rStyle w:val="Emphasis"/>
          <w:rFonts w:ascii="Palatino Linotype" w:hAnsi="Palatino Linotype"/>
          <w:sz w:val="22"/>
          <w:szCs w:val="22"/>
        </w:rPr>
        <w:br/>
        <w:t xml:space="preserve">Affiliations: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vertAlign w:val="superscript"/>
          <w:lang w:eastAsia="de-DE" w:bidi="en-US"/>
          <w14:ligatures w14:val="none"/>
        </w:rPr>
        <w:t>a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Department of Intelligent Systems Engineering and Biocomplexity Institute, Indiana University, Bloomington, Indiana, United States of America;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16"/>
          <w:szCs w:val="16"/>
          <w:lang w:eastAsia="de-DE" w:bidi="en-US"/>
          <w14:ligatures w14:val="none"/>
        </w:rPr>
        <w:t xml:space="preserve">  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4"/>
          <w:vertAlign w:val="superscript"/>
          <w:lang w:eastAsia="de-DE" w:bidi="en-US"/>
          <w14:ligatures w14:val="none"/>
        </w:rPr>
        <w:t>b</w:t>
      </w:r>
      <w:r w:rsidRPr="00CB7956">
        <w:rPr>
          <w:rFonts w:ascii="Palatino Linotype" w:eastAsia="Times New Roman" w:hAnsi="Palatino Linotype" w:cs="Times New Roman"/>
          <w:color w:val="000000"/>
          <w:kern w:val="0"/>
          <w:sz w:val="22"/>
          <w:szCs w:val="22"/>
          <w:lang w:eastAsia="de-DE" w:bidi="en-US"/>
          <w14:ligatures w14:val="none"/>
        </w:rPr>
        <w:t xml:space="preserve"> Procter &amp; Gamble Technical Centre, Reading, United Kingdom;</w:t>
      </w:r>
    </w:p>
    <w:bookmarkEnd w:id="1"/>
    <w:bookmarkEnd w:id="2"/>
    <w:p w14:paraId="1F60761D" w14:textId="77777777" w:rsidR="006D769D" w:rsidRDefault="006D769D" w:rsidP="006D769D">
      <w:pPr>
        <w:rPr>
          <w:rFonts w:ascii="Palatino Linotype" w:hAnsi="Palatino Linotype"/>
          <w:i/>
          <w:iCs/>
        </w:rPr>
      </w:pPr>
    </w:p>
    <w:p w14:paraId="04FB4AB0" w14:textId="11846697" w:rsidR="006D769D" w:rsidRDefault="006D769D" w:rsidP="006D769D">
      <w:pPr>
        <w:rPr>
          <w:rFonts w:ascii="Palatino Linotype" w:hAnsi="Palatino Linotype"/>
          <w:iCs/>
        </w:rPr>
      </w:pPr>
      <w:r w:rsidRPr="00246823">
        <w:rPr>
          <w:rFonts w:ascii="Palatino Linotype" w:hAnsi="Palatino Linotype"/>
          <w:i/>
          <w:iCs/>
        </w:rPr>
        <w:t xml:space="preserve">Table </w:t>
      </w:r>
      <w:r>
        <w:rPr>
          <w:rFonts w:ascii="Palatino Linotype" w:hAnsi="Palatino Linotype"/>
          <w:i/>
          <w:iCs/>
        </w:rPr>
        <w:t>S7</w:t>
      </w:r>
      <w:r w:rsidRPr="00246823">
        <w:rPr>
          <w:rFonts w:ascii="Palatino Linotype" w:hAnsi="Palatino Linotype"/>
          <w:i/>
          <w:iCs/>
        </w:rPr>
        <w:t xml:space="preserve"> </w:t>
      </w:r>
      <w:r>
        <w:rPr>
          <w:rFonts w:ascii="Palatino Linotype" w:hAnsi="Palatino Linotype"/>
          <w:i/>
          <w:iCs/>
        </w:rPr>
        <w:t>–</w:t>
      </w:r>
      <w:r w:rsidRPr="00246823">
        <w:rPr>
          <w:rFonts w:ascii="Palatino Linotype" w:hAnsi="Palatino Linotype"/>
          <w:i/>
          <w:iCs/>
        </w:rPr>
        <w:t xml:space="preserve"> </w:t>
      </w:r>
      <w:r>
        <w:rPr>
          <w:rFonts w:ascii="Palatino Linotype" w:hAnsi="Palatino Linotype"/>
          <w:i/>
          <w:iCs/>
        </w:rPr>
        <w:t>Fields descriptions</w:t>
      </w:r>
    </w:p>
    <w:tbl>
      <w:tblPr>
        <w:tblStyle w:val="PlainTable1"/>
        <w:tblW w:w="10350" w:type="dxa"/>
        <w:tblInd w:w="-360" w:type="dxa"/>
        <w:tblLook w:val="04A0" w:firstRow="1" w:lastRow="0" w:firstColumn="1" w:lastColumn="0" w:noHBand="0" w:noVBand="1"/>
      </w:tblPr>
      <w:tblGrid>
        <w:gridCol w:w="1446"/>
        <w:gridCol w:w="1971"/>
        <w:gridCol w:w="2172"/>
        <w:gridCol w:w="2013"/>
        <w:gridCol w:w="2748"/>
      </w:tblGrid>
      <w:tr w:rsidR="006D769D" w:rsidRPr="00C5394D" w14:paraId="2737296A" w14:textId="77777777" w:rsidTr="00C92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76CE5FB" w14:textId="77777777" w:rsidR="006D769D" w:rsidRPr="00C5394D" w:rsidRDefault="006D769D" w:rsidP="00C922A1">
            <w:pPr>
              <w:spacing w:after="160" w:line="259" w:lineRule="auto"/>
              <w:jc w:val="center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Field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BF8FD2" w14:textId="77777777" w:rsidR="006D769D" w:rsidRPr="00C5394D" w:rsidRDefault="006D769D" w:rsidP="00C922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Definition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FD49A0" w14:textId="77777777" w:rsidR="006D769D" w:rsidRPr="00C5394D" w:rsidRDefault="006D769D" w:rsidP="00C922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Role / Properties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FE4CE7" w14:textId="77777777" w:rsidR="006D769D" w:rsidRPr="00C5394D" w:rsidRDefault="006D769D" w:rsidP="00C922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Units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D9023A" w14:textId="77777777" w:rsidR="006D769D" w:rsidRPr="00C5394D" w:rsidRDefault="006D769D" w:rsidP="00C922A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Processes</w:t>
            </w:r>
          </w:p>
        </w:tc>
      </w:tr>
      <w:tr w:rsidR="006D769D" w:rsidRPr="00C5394D" w14:paraId="49C3D4E4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3C7FC8" w14:textId="77777777" w:rsidR="006D769D" w:rsidRPr="00C5394D" w:rsidRDefault="006D769D" w:rsidP="00C922A1">
            <w:pPr>
              <w:spacing w:after="160" w:line="259" w:lineRule="auto"/>
              <w:rPr>
                <w:rFonts w:ascii="Palatino Linotype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EGF</m:t>
                    </m:r>
                  </m:sub>
                </m:sSub>
              </m:oMath>
            </m:oMathPara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EDEF1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long-diffusing proliferative factor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BA1BC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-regulates cell growth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88F80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proofErr w:type="spellStart"/>
            <w:r w:rsidRPr="00C5394D">
              <w:rPr>
                <w:rFonts w:ascii="Palatino Linotype" w:hAnsi="Palatino Linotype"/>
                <w:iCs/>
              </w:rPr>
              <w:t>nM</w:t>
            </w:r>
            <w:proofErr w:type="spellEnd"/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F20B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-diffuses</w:t>
            </w:r>
          </w:p>
          <w:p w14:paraId="6E839A50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-decays</w:t>
            </w:r>
          </w:p>
        </w:tc>
      </w:tr>
      <w:tr w:rsidR="006D769D" w:rsidRPr="00C5394D" w14:paraId="36A453D1" w14:textId="77777777" w:rsidTr="00C922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CB02F8" w14:textId="77777777" w:rsidR="006D769D" w:rsidRPr="00C5394D" w:rsidRDefault="006D769D" w:rsidP="00C922A1">
            <w:pPr>
              <w:spacing w:after="160" w:line="259" w:lineRule="auto"/>
              <w:rPr>
                <w:rFonts w:ascii="Palatino Linotype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Mbias</m:t>
                    </m:r>
                  </m:sub>
                </m:sSub>
              </m:oMath>
            </m:oMathPara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3DE3A0" w14:textId="77777777" w:rsidR="006D769D" w:rsidRPr="00C5394D" w:rsidRDefault="006D769D" w:rsidP="00C922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short-diffusing chemoattractant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522A99" w14:textId="77777777" w:rsidR="006D769D" w:rsidRPr="00C5394D" w:rsidRDefault="006D769D" w:rsidP="00C922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-regulates cell movement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8EF44" w14:textId="77777777" w:rsidR="006D769D" w:rsidRPr="00C5394D" w:rsidRDefault="006D769D" w:rsidP="00C922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proofErr w:type="spellStart"/>
            <w:r w:rsidRPr="00C5394D">
              <w:rPr>
                <w:rFonts w:ascii="Palatino Linotype" w:hAnsi="Palatino Linotype"/>
                <w:iCs/>
              </w:rPr>
              <w:t>nM</w:t>
            </w:r>
            <w:proofErr w:type="spellEnd"/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40130A" w14:textId="77777777" w:rsidR="006D769D" w:rsidRPr="00C5394D" w:rsidRDefault="006D769D" w:rsidP="00C922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-diffuses</w:t>
            </w:r>
          </w:p>
          <w:p w14:paraId="232752E8" w14:textId="77777777" w:rsidR="006D769D" w:rsidRPr="00C5394D" w:rsidRDefault="006D769D" w:rsidP="00C922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-uptake by Basal and Stem</w:t>
            </w:r>
          </w:p>
        </w:tc>
      </w:tr>
      <w:tr w:rsidR="006D769D" w:rsidRPr="00C5394D" w14:paraId="2CBA24B6" w14:textId="77777777" w:rsidTr="00C92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3041FB" w14:textId="77777777" w:rsidR="006D769D" w:rsidRPr="00C5394D" w:rsidRDefault="006D769D" w:rsidP="00C922A1">
            <w:pPr>
              <w:spacing w:after="160" w:line="259" w:lineRule="auto"/>
              <w:rPr>
                <w:rFonts w:ascii="Palatino Linotype" w:hAnsi="Palatino Linotype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chem</m:t>
                    </m:r>
                  </m:sub>
                </m:sSub>
              </m:oMath>
            </m:oMathPara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017D8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long-diffusing chemical injury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9542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-regulates cell viability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DCC02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629DE1B8">
              <w:rPr>
                <w:rFonts w:ascii="Palatino Linotype" w:hAnsi="Palatino Linotype"/>
              </w:rPr>
              <w:t xml:space="preserve">scaled concentration </w:t>
            </w:r>
            <w:r w:rsidRPr="3035607F">
              <w:rPr>
                <w:rFonts w:ascii="Palatino Linotype" w:hAnsi="Palatino Linotype"/>
              </w:rPr>
              <w:t>(amount per voxel)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4A0F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-diffuses</w:t>
            </w:r>
          </w:p>
          <w:p w14:paraId="179DF96B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-uptake</w:t>
            </w:r>
            <w:r>
              <w:rPr>
                <w:rFonts w:ascii="Palatino Linotype" w:hAnsi="Palatino Linotype"/>
                <w:iCs/>
              </w:rPr>
              <w:t xml:space="preserve"> </w:t>
            </w:r>
            <w:r w:rsidRPr="00C5394D">
              <w:rPr>
                <w:rFonts w:ascii="Palatino Linotype" w:hAnsi="Palatino Linotype"/>
                <w:iCs/>
              </w:rPr>
              <w:t>(cleared) by Tear</w:t>
            </w:r>
          </w:p>
          <w:p w14:paraId="22763ACA" w14:textId="77777777" w:rsidR="006D769D" w:rsidRPr="00C5394D" w:rsidRDefault="006D769D" w:rsidP="00C922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iCs/>
              </w:rPr>
            </w:pPr>
            <w:r w:rsidRPr="00C5394D">
              <w:rPr>
                <w:rFonts w:ascii="Palatino Linotype" w:hAnsi="Palatino Linotype"/>
                <w:iCs/>
              </w:rPr>
              <w:t>-uptake</w:t>
            </w:r>
            <w:r>
              <w:rPr>
                <w:rFonts w:ascii="Palatino Linotype" w:hAnsi="Palatino Linotype"/>
                <w:iCs/>
              </w:rPr>
              <w:t xml:space="preserve"> </w:t>
            </w:r>
            <w:r w:rsidRPr="00C5394D">
              <w:rPr>
                <w:rFonts w:ascii="Palatino Linotype" w:hAnsi="Palatino Linotype"/>
                <w:iCs/>
              </w:rPr>
              <w:t>(cleared) by cell death</w:t>
            </w:r>
          </w:p>
        </w:tc>
      </w:tr>
    </w:tbl>
    <w:p w14:paraId="647E018E" w14:textId="71E5A1FD" w:rsidR="000813FA" w:rsidRDefault="000813FA"/>
    <w:sectPr w:rsidR="000813FA" w:rsidSect="0028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9D"/>
    <w:rsid w:val="000813FA"/>
    <w:rsid w:val="001F7015"/>
    <w:rsid w:val="002833A3"/>
    <w:rsid w:val="005A3671"/>
    <w:rsid w:val="006808D9"/>
    <w:rsid w:val="006D769D"/>
    <w:rsid w:val="00AB6F6E"/>
    <w:rsid w:val="00CB44E2"/>
    <w:rsid w:val="00D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16F4"/>
  <w15:chartTrackingRefBased/>
  <w15:docId w15:val="{77D93294-82E9-45AF-9D4C-2735D287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69D"/>
  </w:style>
  <w:style w:type="paragraph" w:styleId="Heading1">
    <w:name w:val="heading 1"/>
    <w:basedOn w:val="Normal"/>
    <w:next w:val="Normal"/>
    <w:link w:val="Heading1Char"/>
    <w:uiPriority w:val="9"/>
    <w:qFormat/>
    <w:rsid w:val="006D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9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D76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6D76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797</Characters>
  <Application>Microsoft Office Word</Application>
  <DocSecurity>0</DocSecurity>
  <Lines>45</Lines>
  <Paragraphs>26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Vanin, Joel</dc:creator>
  <cp:keywords/>
  <dc:description/>
  <cp:lastModifiedBy>Vanin, Joel</cp:lastModifiedBy>
  <cp:revision>2</cp:revision>
  <dcterms:created xsi:type="dcterms:W3CDTF">2025-12-15T22:12:00Z</dcterms:created>
  <dcterms:modified xsi:type="dcterms:W3CDTF">2025-12-15T22:13:00Z</dcterms:modified>
</cp:coreProperties>
</file>