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CA3CF" w14:textId="581D9637" w:rsidR="00D1007E" w:rsidRDefault="00D1007E" w:rsidP="00D1007E">
      <w:pPr>
        <w:pStyle w:val="Title"/>
        <w:rPr>
          <w:rFonts w:ascii="Palatino Linotype" w:eastAsia="Times New Roman" w:hAnsi="Palatino Linotype" w:cs="Times New Roman"/>
          <w:color w:val="000000"/>
          <w:kern w:val="0"/>
          <w:sz w:val="22"/>
          <w:szCs w:val="22"/>
          <w:lang w:eastAsia="de-DE" w:bidi="en-US"/>
          <w14:ligatures w14:val="none"/>
        </w:rPr>
      </w:pPr>
      <w:bookmarkStart w:id="0" w:name="_S3._Movement_Implementation"/>
      <w:bookmarkStart w:id="1" w:name="_Hlk216709206"/>
      <w:bookmarkStart w:id="2" w:name="_Hlk216709602"/>
      <w:bookmarkEnd w:id="0"/>
      <w:r w:rsidRPr="00CB7956">
        <w:rPr>
          <w:rFonts w:ascii="Palatino Linotype" w:hAnsi="Palatino Linotype"/>
          <w:sz w:val="22"/>
          <w:szCs w:val="22"/>
        </w:rPr>
        <w:t>S</w:t>
      </w:r>
      <w:r>
        <w:rPr>
          <w:rFonts w:ascii="Palatino Linotype" w:hAnsi="Palatino Linotype"/>
          <w:sz w:val="22"/>
          <w:szCs w:val="22"/>
        </w:rPr>
        <w:t>9</w:t>
      </w:r>
      <w:r w:rsidRPr="00CB7956">
        <w:rPr>
          <w:rFonts w:ascii="Palatino Linotype" w:hAnsi="Palatino Linotype"/>
          <w:sz w:val="22"/>
          <w:szCs w:val="22"/>
        </w:rPr>
        <w:t xml:space="preserve"> T</w:t>
      </w:r>
      <w:r>
        <w:rPr>
          <w:rFonts w:ascii="Palatino Linotype" w:hAnsi="Palatino Linotype"/>
          <w:sz w:val="22"/>
          <w:szCs w:val="22"/>
        </w:rPr>
        <w:t>able</w:t>
      </w:r>
      <w:r w:rsidRPr="00CB7956">
        <w:rPr>
          <w:rFonts w:ascii="Palatino Linotype" w:hAnsi="Palatino Linotype"/>
          <w:sz w:val="22"/>
          <w:szCs w:val="22"/>
        </w:rPr>
        <w:t>. V</w:t>
      </w:r>
      <w:r w:rsidRPr="00CB7956">
        <w:rPr>
          <w:rFonts w:ascii="Palatino Linotype" w:hAnsi="Palatino Linotype" w:cstheme="minorBidi"/>
          <w:sz w:val="22"/>
          <w:szCs w:val="22"/>
        </w:rPr>
        <w:t>‑</w:t>
      </w:r>
      <w:r w:rsidRPr="00CB7956">
        <w:rPr>
          <w:rFonts w:ascii="Palatino Linotype" w:hAnsi="Palatino Linotype"/>
          <w:sz w:val="22"/>
          <w:szCs w:val="22"/>
        </w:rPr>
        <w:t xml:space="preserve">Cornea supplemental </w:t>
      </w:r>
      <w:r>
        <w:rPr>
          <w:rFonts w:ascii="Palatino Linotype" w:hAnsi="Palatino Linotype"/>
          <w:sz w:val="22"/>
          <w:szCs w:val="22"/>
        </w:rPr>
        <w:t>parameters tables</w:t>
      </w:r>
      <w:r w:rsidRPr="00CB7956">
        <w:rPr>
          <w:rStyle w:val="Emphasis"/>
          <w:rFonts w:eastAsiaTheme="minorHAnsi" w:cstheme="minorBidi"/>
          <w:spacing w:val="0"/>
          <w:kern w:val="2"/>
          <w:sz w:val="22"/>
          <w:szCs w:val="22"/>
        </w:rPr>
        <w:br/>
      </w:r>
      <w:r w:rsidRPr="00CB7956">
        <w:rPr>
          <w:rFonts w:ascii="Palatino Linotype" w:eastAsiaTheme="minorHAnsi" w:hAnsi="Palatino Linotype" w:cstheme="minorBidi"/>
          <w:spacing w:val="0"/>
          <w:kern w:val="2"/>
          <w:sz w:val="22"/>
          <w:szCs w:val="22"/>
        </w:rPr>
        <w:t xml:space="preserve">Manuscript Title: </w:t>
      </w:r>
      <w:r w:rsidRPr="00CB7956">
        <w:rPr>
          <w:rFonts w:ascii="Palatino Linotype" w:hAnsi="Palatino Linotype"/>
          <w:sz w:val="22"/>
          <w:szCs w:val="22"/>
        </w:rPr>
        <w:t>V-Cornea: A computational model of corneal epithelium homeostasis, injury, and recovery</w:t>
      </w:r>
      <w:r w:rsidRPr="00CB7956">
        <w:rPr>
          <w:rFonts w:ascii="Palatino Linotype" w:hAnsi="Palatino Linotype"/>
          <w:sz w:val="22"/>
          <w:szCs w:val="22"/>
        </w:rPr>
        <w:br/>
        <w:t xml:space="preserve">Authors: </w:t>
      </w:r>
      <w:r w:rsidRPr="00CB7956">
        <w:rPr>
          <w:rStyle w:val="Emphasis"/>
          <w:rFonts w:ascii="Palatino Linotype" w:hAnsi="Palatino Linotype"/>
          <w:sz w:val="22"/>
          <w:szCs w:val="22"/>
        </w:rPr>
        <w:t xml:space="preserve">Joel Vanin </w:t>
      </w:r>
      <w:r w:rsidRPr="00CB7956">
        <w:rPr>
          <w:rStyle w:val="Emphasis"/>
          <w:rFonts w:ascii="Palatino Linotype" w:hAnsi="Palatino Linotype"/>
          <w:sz w:val="22"/>
          <w:szCs w:val="22"/>
          <w:vertAlign w:val="superscript"/>
        </w:rPr>
        <w:t>a</w:t>
      </w:r>
      <w:r w:rsidRPr="00CB7956">
        <w:rPr>
          <w:rStyle w:val="Emphasis"/>
          <w:rFonts w:ascii="Palatino Linotype" w:hAnsi="Palatino Linotype"/>
          <w:sz w:val="22"/>
          <w:szCs w:val="22"/>
        </w:rPr>
        <w:t xml:space="preserve">, Michael Getz </w:t>
      </w:r>
      <w:r w:rsidRPr="00CB7956">
        <w:rPr>
          <w:rStyle w:val="Emphasis"/>
          <w:rFonts w:ascii="Palatino Linotype" w:hAnsi="Palatino Linotype"/>
          <w:sz w:val="22"/>
          <w:szCs w:val="22"/>
          <w:vertAlign w:val="superscript"/>
        </w:rPr>
        <w:t>a</w:t>
      </w:r>
      <w:r w:rsidRPr="00CB7956">
        <w:rPr>
          <w:rStyle w:val="Emphasis"/>
          <w:rFonts w:ascii="Palatino Linotype" w:hAnsi="Palatino Linotype"/>
          <w:sz w:val="22"/>
          <w:szCs w:val="22"/>
        </w:rPr>
        <w:t xml:space="preserve">, Catherine Mahony </w:t>
      </w:r>
      <w:r w:rsidRPr="00CB7956">
        <w:rPr>
          <w:rStyle w:val="Emphasis"/>
          <w:rFonts w:ascii="Palatino Linotype" w:hAnsi="Palatino Linotype"/>
          <w:sz w:val="22"/>
          <w:szCs w:val="22"/>
          <w:vertAlign w:val="superscript"/>
        </w:rPr>
        <w:t>b</w:t>
      </w:r>
      <w:r w:rsidRPr="00CB7956">
        <w:rPr>
          <w:rStyle w:val="Emphasis"/>
          <w:rFonts w:ascii="Palatino Linotype" w:hAnsi="Palatino Linotype"/>
          <w:sz w:val="22"/>
          <w:szCs w:val="22"/>
        </w:rPr>
        <w:t xml:space="preserve">, Thomas B. Knudsen </w:t>
      </w:r>
      <w:r w:rsidRPr="00CB7956">
        <w:rPr>
          <w:rStyle w:val="Emphasis"/>
          <w:rFonts w:ascii="Palatino Linotype" w:hAnsi="Palatino Linotype"/>
          <w:sz w:val="22"/>
          <w:szCs w:val="22"/>
          <w:vertAlign w:val="superscript"/>
        </w:rPr>
        <w:t>a</w:t>
      </w:r>
      <w:r w:rsidRPr="00CB7956">
        <w:rPr>
          <w:rStyle w:val="Emphasis"/>
          <w:rFonts w:ascii="Palatino Linotype" w:hAnsi="Palatino Linotype"/>
          <w:sz w:val="22"/>
          <w:szCs w:val="22"/>
        </w:rPr>
        <w:t xml:space="preserve"> &amp; James A. Glazier </w:t>
      </w:r>
      <w:r w:rsidRPr="00CB7956">
        <w:rPr>
          <w:rStyle w:val="Emphasis"/>
          <w:rFonts w:ascii="Palatino Linotype" w:hAnsi="Palatino Linotype"/>
          <w:sz w:val="22"/>
          <w:szCs w:val="22"/>
          <w:vertAlign w:val="superscript"/>
        </w:rPr>
        <w:t>a*</w:t>
      </w:r>
      <w:r w:rsidRPr="00CB7956">
        <w:rPr>
          <w:rStyle w:val="Emphasis"/>
          <w:rFonts w:ascii="Palatino Linotype" w:hAnsi="Palatino Linotype"/>
          <w:sz w:val="22"/>
          <w:szCs w:val="22"/>
        </w:rPr>
        <w:t xml:space="preserve"> </w:t>
      </w:r>
      <w:r w:rsidRPr="00CB7956">
        <w:rPr>
          <w:rStyle w:val="Emphasis"/>
          <w:rFonts w:ascii="Palatino Linotype" w:hAnsi="Palatino Linotype"/>
          <w:sz w:val="22"/>
          <w:szCs w:val="22"/>
        </w:rPr>
        <w:br/>
        <w:t xml:space="preserve">Affiliations: </w:t>
      </w:r>
      <w:r w:rsidRPr="00CB7956">
        <w:rPr>
          <w:rFonts w:ascii="Palatino Linotype" w:eastAsia="Times New Roman" w:hAnsi="Palatino Linotype" w:cs="Times New Roman"/>
          <w:color w:val="000000"/>
          <w:kern w:val="0"/>
          <w:sz w:val="22"/>
          <w:szCs w:val="22"/>
          <w:vertAlign w:val="superscript"/>
          <w:lang w:eastAsia="de-DE" w:bidi="en-US"/>
          <w14:ligatures w14:val="none"/>
        </w:rPr>
        <w:t>a</w:t>
      </w:r>
      <w:r w:rsidRPr="00CB7956">
        <w:rPr>
          <w:rFonts w:ascii="Palatino Linotype" w:eastAsia="Times New Roman" w:hAnsi="Palatino Linotype" w:cs="Times New Roman"/>
          <w:color w:val="000000"/>
          <w:kern w:val="0"/>
          <w:sz w:val="22"/>
          <w:szCs w:val="22"/>
          <w:lang w:eastAsia="de-DE" w:bidi="en-US"/>
          <w14:ligatures w14:val="none"/>
        </w:rPr>
        <w:t xml:space="preserve"> Department of Intelligent Systems Engineering and Biocomplexity Institute, Indiana University, Bloomington, Indiana, United States of America;</w:t>
      </w:r>
      <w:r w:rsidRPr="00CB7956">
        <w:rPr>
          <w:rFonts w:ascii="Palatino Linotype" w:eastAsia="Times New Roman" w:hAnsi="Palatino Linotype" w:cs="Times New Roman"/>
          <w:color w:val="000000"/>
          <w:kern w:val="0"/>
          <w:sz w:val="16"/>
          <w:szCs w:val="16"/>
          <w:lang w:eastAsia="de-DE" w:bidi="en-US"/>
          <w14:ligatures w14:val="none"/>
        </w:rPr>
        <w:t xml:space="preserve">  </w:t>
      </w:r>
      <w:r w:rsidRPr="00CB7956">
        <w:rPr>
          <w:rFonts w:ascii="Palatino Linotype" w:eastAsia="Times New Roman" w:hAnsi="Palatino Linotype" w:cs="Times New Roman"/>
          <w:color w:val="000000"/>
          <w:kern w:val="0"/>
          <w:sz w:val="22"/>
          <w:szCs w:val="24"/>
          <w:vertAlign w:val="superscript"/>
          <w:lang w:eastAsia="de-DE" w:bidi="en-US"/>
          <w14:ligatures w14:val="none"/>
        </w:rPr>
        <w:t>b</w:t>
      </w:r>
      <w:r w:rsidRPr="00CB7956">
        <w:rPr>
          <w:rFonts w:ascii="Palatino Linotype" w:eastAsia="Times New Roman" w:hAnsi="Palatino Linotype" w:cs="Times New Roman"/>
          <w:color w:val="000000"/>
          <w:kern w:val="0"/>
          <w:sz w:val="22"/>
          <w:szCs w:val="22"/>
          <w:lang w:eastAsia="de-DE" w:bidi="en-US"/>
          <w14:ligatures w14:val="none"/>
        </w:rPr>
        <w:t xml:space="preserve"> Procter &amp; Gamble Technical Centre, Reading, United Kingdom;</w:t>
      </w:r>
      <w:bookmarkEnd w:id="1"/>
      <w:bookmarkEnd w:id="2"/>
    </w:p>
    <w:p w14:paraId="3E044DE7" w14:textId="77777777" w:rsidR="00D1007E" w:rsidRPr="00D1007E" w:rsidRDefault="00D1007E" w:rsidP="00D1007E">
      <w:pPr>
        <w:rPr>
          <w:lang w:eastAsia="de-DE" w:bidi="en-US"/>
        </w:rPr>
      </w:pPr>
    </w:p>
    <w:p w14:paraId="6AA502B4" w14:textId="77777777" w:rsidR="00D1007E" w:rsidRDefault="00D1007E" w:rsidP="00D1007E">
      <w:pPr>
        <w:rPr>
          <w:rFonts w:ascii="Palatino Linotype" w:hAnsi="Palatino Linotype"/>
          <w:i/>
          <w:iCs/>
        </w:rPr>
      </w:pPr>
      <w:r w:rsidRPr="00246823">
        <w:rPr>
          <w:rFonts w:ascii="Palatino Linotype" w:hAnsi="Palatino Linotype"/>
          <w:i/>
          <w:iCs/>
        </w:rPr>
        <w:t xml:space="preserve">Table </w:t>
      </w:r>
      <w:r>
        <w:rPr>
          <w:rFonts w:ascii="Palatino Linotype" w:hAnsi="Palatino Linotype"/>
          <w:i/>
          <w:iCs/>
        </w:rPr>
        <w:t xml:space="preserve">S9 </w:t>
      </w:r>
      <w:r w:rsidRPr="00246823">
        <w:rPr>
          <w:rFonts w:ascii="Palatino Linotype" w:hAnsi="Palatino Linotype"/>
          <w:i/>
          <w:iCs/>
        </w:rPr>
        <w:t xml:space="preserve">- Initial </w:t>
      </w:r>
      <w:r>
        <w:rPr>
          <w:rFonts w:ascii="Palatino Linotype" w:hAnsi="Palatino Linotype"/>
          <w:i/>
          <w:iCs/>
        </w:rPr>
        <w:t>parameters (</w:t>
      </w:r>
      <w:r w:rsidRPr="000C1D81">
        <w:rPr>
          <w:rFonts w:ascii="Palatino Linotype" w:hAnsi="Palatino Linotype"/>
          <w:i/>
          <w:iCs/>
        </w:rPr>
        <w:t xml:space="preserve">Chemical Fields </w:t>
      </w:r>
      <w:r>
        <w:rPr>
          <w:rFonts w:ascii="Palatino Linotype" w:hAnsi="Palatino Linotype"/>
          <w:i/>
          <w:iCs/>
        </w:rPr>
        <w:t>[</w:t>
      </w:r>
      <w:r w:rsidRPr="000C1D81">
        <w:rPr>
          <w:rFonts w:ascii="Palatino Linotype" w:hAnsi="Palatino Linotype"/>
          <w:i/>
          <w:iCs/>
        </w:rPr>
        <w:t>EGF, SLS, Movement Bias</w:t>
      </w:r>
      <w:r>
        <w:rPr>
          <w:rFonts w:ascii="Palatino Linotype" w:hAnsi="Palatino Linotype"/>
          <w:i/>
          <w:iCs/>
        </w:rPr>
        <w:t>])</w:t>
      </w:r>
    </w:p>
    <w:tbl>
      <w:tblPr>
        <w:tblStyle w:val="TableGrid"/>
        <w:tblW w:w="0" w:type="auto"/>
        <w:tblLook w:val="04A0" w:firstRow="1" w:lastRow="0" w:firstColumn="1" w:lastColumn="0" w:noHBand="0" w:noVBand="1"/>
      </w:tblPr>
      <w:tblGrid>
        <w:gridCol w:w="2658"/>
        <w:gridCol w:w="1770"/>
        <w:gridCol w:w="1341"/>
        <w:gridCol w:w="1205"/>
        <w:gridCol w:w="2376"/>
      </w:tblGrid>
      <w:tr w:rsidR="00D1007E" w:rsidRPr="00C44F37" w14:paraId="0B146C79" w14:textId="77777777" w:rsidTr="00C922A1">
        <w:tc>
          <w:tcPr>
            <w:tcW w:w="2673" w:type="dxa"/>
            <w:tcBorders>
              <w:bottom w:val="single" w:sz="4" w:space="0" w:color="auto"/>
            </w:tcBorders>
            <w:shd w:val="clear" w:color="auto" w:fill="D1D1D1" w:themeFill="background2" w:themeFillShade="E6"/>
            <w:vAlign w:val="center"/>
          </w:tcPr>
          <w:p w14:paraId="5765B0AB" w14:textId="77777777" w:rsidR="00D1007E" w:rsidRPr="00C44F37" w:rsidRDefault="00D1007E" w:rsidP="00C922A1">
            <w:pPr>
              <w:spacing w:before="100" w:beforeAutospacing="1" w:after="100" w:afterAutospacing="1"/>
              <w:contextualSpacing/>
              <w:jc w:val="center"/>
              <w:rPr>
                <w:rFonts w:ascii="Palatino Linotype" w:hAnsi="Palatino Linotype"/>
                <w:b/>
                <w:bCs/>
                <w:iCs/>
                <w:lang w:bidi="en-US"/>
              </w:rPr>
            </w:pPr>
            <w:r w:rsidRPr="00C44F37">
              <w:rPr>
                <w:rFonts w:ascii="Palatino Linotype" w:hAnsi="Palatino Linotype"/>
                <w:b/>
                <w:bCs/>
                <w:iCs/>
                <w:lang w:bidi="en-US"/>
              </w:rPr>
              <w:t>Parameter</w:t>
            </w:r>
          </w:p>
        </w:tc>
        <w:tc>
          <w:tcPr>
            <w:tcW w:w="1775" w:type="dxa"/>
            <w:tcBorders>
              <w:bottom w:val="single" w:sz="4" w:space="0" w:color="auto"/>
            </w:tcBorders>
            <w:shd w:val="clear" w:color="auto" w:fill="D1D1D1" w:themeFill="background2" w:themeFillShade="E6"/>
            <w:vAlign w:val="center"/>
          </w:tcPr>
          <w:p w14:paraId="733784EE" w14:textId="77777777" w:rsidR="00D1007E" w:rsidRPr="00C44F37" w:rsidRDefault="00D1007E" w:rsidP="00C922A1">
            <w:pPr>
              <w:spacing w:before="100" w:beforeAutospacing="1" w:after="100" w:afterAutospacing="1"/>
              <w:contextualSpacing/>
              <w:jc w:val="center"/>
              <w:rPr>
                <w:rFonts w:ascii="Palatino Linotype" w:hAnsi="Palatino Linotype"/>
                <w:b/>
                <w:bCs/>
                <w:iCs/>
                <w:lang w:bidi="en-US"/>
              </w:rPr>
            </w:pPr>
            <w:r w:rsidRPr="00C44F37">
              <w:rPr>
                <w:rFonts w:ascii="Palatino Linotype" w:hAnsi="Palatino Linotype"/>
                <w:b/>
                <w:bCs/>
                <w:iCs/>
                <w:lang w:bidi="en-US"/>
              </w:rPr>
              <w:t>Symbol</w:t>
            </w:r>
          </w:p>
        </w:tc>
        <w:tc>
          <w:tcPr>
            <w:tcW w:w="1341" w:type="dxa"/>
            <w:tcBorders>
              <w:bottom w:val="single" w:sz="4" w:space="0" w:color="auto"/>
            </w:tcBorders>
            <w:shd w:val="clear" w:color="auto" w:fill="D1D1D1" w:themeFill="background2" w:themeFillShade="E6"/>
            <w:vAlign w:val="center"/>
          </w:tcPr>
          <w:p w14:paraId="33F3A57C" w14:textId="77777777" w:rsidR="00D1007E" w:rsidRPr="00C44F37" w:rsidRDefault="00D1007E" w:rsidP="00C922A1">
            <w:pPr>
              <w:spacing w:before="100" w:beforeAutospacing="1" w:after="100" w:afterAutospacing="1"/>
              <w:contextualSpacing/>
              <w:jc w:val="center"/>
              <w:rPr>
                <w:rFonts w:ascii="Palatino Linotype" w:hAnsi="Palatino Linotype"/>
                <w:b/>
                <w:bCs/>
                <w:iCs/>
                <w:lang w:bidi="en-US"/>
              </w:rPr>
            </w:pPr>
            <w:r w:rsidRPr="00C44F37">
              <w:rPr>
                <w:rFonts w:ascii="Palatino Linotype" w:hAnsi="Palatino Linotype"/>
                <w:b/>
                <w:bCs/>
                <w:iCs/>
                <w:lang w:bidi="en-US"/>
              </w:rPr>
              <w:t>Simulation Value</w:t>
            </w:r>
          </w:p>
        </w:tc>
        <w:tc>
          <w:tcPr>
            <w:tcW w:w="1046" w:type="dxa"/>
            <w:tcBorders>
              <w:bottom w:val="single" w:sz="4" w:space="0" w:color="auto"/>
            </w:tcBorders>
            <w:shd w:val="clear" w:color="auto" w:fill="D1D1D1" w:themeFill="background2" w:themeFillShade="E6"/>
            <w:vAlign w:val="center"/>
          </w:tcPr>
          <w:p w14:paraId="252045D0" w14:textId="77777777" w:rsidR="00D1007E" w:rsidRDefault="00D1007E" w:rsidP="00C922A1">
            <w:pPr>
              <w:spacing w:before="100" w:beforeAutospacing="1" w:after="100" w:afterAutospacing="1"/>
              <w:contextualSpacing/>
              <w:jc w:val="center"/>
              <w:rPr>
                <w:rFonts w:ascii="Palatino Linotype" w:hAnsi="Palatino Linotype"/>
                <w:b/>
                <w:bCs/>
                <w:iCs/>
                <w:lang w:bidi="en-US"/>
              </w:rPr>
            </w:pPr>
            <w:r>
              <w:rPr>
                <w:rFonts w:ascii="Palatino Linotype" w:hAnsi="Palatino Linotype"/>
                <w:b/>
                <w:bCs/>
                <w:iCs/>
                <w:lang w:bidi="en-US"/>
              </w:rPr>
              <w:t>Literature</w:t>
            </w:r>
          </w:p>
          <w:p w14:paraId="62230624" w14:textId="77777777" w:rsidR="00D1007E" w:rsidRPr="00C44F37" w:rsidRDefault="00D1007E" w:rsidP="00C922A1">
            <w:pPr>
              <w:spacing w:before="100" w:beforeAutospacing="1" w:after="100" w:afterAutospacing="1"/>
              <w:contextualSpacing/>
              <w:jc w:val="center"/>
              <w:rPr>
                <w:rFonts w:ascii="Palatino Linotype" w:hAnsi="Palatino Linotype"/>
                <w:b/>
                <w:bCs/>
                <w:iCs/>
                <w:lang w:bidi="en-US"/>
              </w:rPr>
            </w:pPr>
            <w:r>
              <w:rPr>
                <w:rFonts w:ascii="Palatino Linotype" w:hAnsi="Palatino Linotype"/>
                <w:b/>
                <w:bCs/>
                <w:iCs/>
                <w:lang w:bidi="en-US"/>
              </w:rPr>
              <w:t>Ref.</w:t>
            </w:r>
          </w:p>
        </w:tc>
        <w:tc>
          <w:tcPr>
            <w:tcW w:w="2515" w:type="dxa"/>
            <w:shd w:val="clear" w:color="auto" w:fill="D1D1D1" w:themeFill="background2" w:themeFillShade="E6"/>
            <w:vAlign w:val="center"/>
          </w:tcPr>
          <w:p w14:paraId="74AF7B27" w14:textId="77777777" w:rsidR="00D1007E" w:rsidRPr="00C44F37" w:rsidRDefault="00D1007E" w:rsidP="00C922A1">
            <w:pPr>
              <w:spacing w:before="100" w:beforeAutospacing="1" w:after="100" w:afterAutospacing="1"/>
              <w:contextualSpacing/>
              <w:jc w:val="center"/>
              <w:rPr>
                <w:rFonts w:ascii="Palatino Linotype" w:hAnsi="Palatino Linotype"/>
                <w:b/>
                <w:bCs/>
                <w:iCs/>
                <w:lang w:bidi="en-US"/>
              </w:rPr>
            </w:pPr>
            <w:r w:rsidRPr="00C44F37">
              <w:rPr>
                <w:rFonts w:ascii="Palatino Linotype" w:hAnsi="Palatino Linotype"/>
                <w:b/>
                <w:bCs/>
                <w:iCs/>
                <w:lang w:bidi="en-US"/>
              </w:rPr>
              <w:t>Description</w:t>
            </w:r>
          </w:p>
        </w:tc>
      </w:tr>
      <w:tr w:rsidR="00D1007E" w14:paraId="5D12F912" w14:textId="77777777" w:rsidTr="00C922A1">
        <w:tc>
          <w:tcPr>
            <w:tcW w:w="2673" w:type="dxa"/>
            <w:tcBorders>
              <w:right w:val="nil"/>
            </w:tcBorders>
            <w:vAlign w:val="center"/>
          </w:tcPr>
          <w:p w14:paraId="2992279D" w14:textId="77777777" w:rsidR="00D1007E" w:rsidRPr="00C5435E" w:rsidRDefault="00D1007E" w:rsidP="00C922A1">
            <w:pPr>
              <w:rPr>
                <w:rFonts w:ascii="Palatino Linotype" w:hAnsi="Palatino Linotype"/>
                <w:b/>
                <w:bCs/>
              </w:rPr>
            </w:pPr>
            <w:r w:rsidRPr="000C51C1">
              <w:rPr>
                <w:rFonts w:ascii="Palatino Linotype" w:hAnsi="Palatino Linotype"/>
                <w:b/>
                <w:bCs/>
                <w:sz w:val="18"/>
                <w:szCs w:val="18"/>
              </w:rPr>
              <w:t>SLS Diffusion</w:t>
            </w:r>
          </w:p>
        </w:tc>
        <w:tc>
          <w:tcPr>
            <w:tcW w:w="1775" w:type="dxa"/>
            <w:tcBorders>
              <w:left w:val="nil"/>
              <w:right w:val="nil"/>
            </w:tcBorders>
          </w:tcPr>
          <w:p w14:paraId="67067AB7" w14:textId="77777777" w:rsidR="00D1007E" w:rsidRDefault="00D1007E" w:rsidP="00C922A1">
            <w:pPr>
              <w:rPr>
                <w:rFonts w:ascii="Palatino Linotype" w:hAnsi="Palatino Linotype"/>
                <w:i/>
                <w:iCs/>
              </w:rPr>
            </w:pPr>
          </w:p>
        </w:tc>
        <w:tc>
          <w:tcPr>
            <w:tcW w:w="1341" w:type="dxa"/>
            <w:tcBorders>
              <w:left w:val="nil"/>
              <w:right w:val="nil"/>
            </w:tcBorders>
          </w:tcPr>
          <w:p w14:paraId="7E9E9FA9" w14:textId="77777777" w:rsidR="00D1007E" w:rsidRDefault="00D1007E" w:rsidP="00C922A1">
            <w:pPr>
              <w:jc w:val="center"/>
              <w:rPr>
                <w:rFonts w:ascii="Palatino Linotype" w:hAnsi="Palatino Linotype"/>
                <w:i/>
                <w:iCs/>
              </w:rPr>
            </w:pPr>
          </w:p>
        </w:tc>
        <w:tc>
          <w:tcPr>
            <w:tcW w:w="1046" w:type="dxa"/>
            <w:tcBorders>
              <w:left w:val="nil"/>
              <w:right w:val="nil"/>
            </w:tcBorders>
          </w:tcPr>
          <w:p w14:paraId="266006CA" w14:textId="77777777" w:rsidR="00D1007E" w:rsidRDefault="00D1007E" w:rsidP="00C922A1">
            <w:pPr>
              <w:rPr>
                <w:rFonts w:ascii="Palatino Linotype" w:hAnsi="Palatino Linotype"/>
                <w:i/>
                <w:iCs/>
              </w:rPr>
            </w:pPr>
          </w:p>
        </w:tc>
        <w:tc>
          <w:tcPr>
            <w:tcW w:w="2515" w:type="dxa"/>
            <w:tcBorders>
              <w:left w:val="nil"/>
            </w:tcBorders>
          </w:tcPr>
          <w:p w14:paraId="4CF1388B" w14:textId="77777777" w:rsidR="00D1007E" w:rsidRPr="00841815" w:rsidRDefault="00D1007E" w:rsidP="00C922A1">
            <w:pPr>
              <w:rPr>
                <w:rFonts w:ascii="Palatino Linotype" w:hAnsi="Palatino Linotype"/>
                <w:i/>
                <w:iCs/>
                <w:sz w:val="14"/>
                <w:szCs w:val="14"/>
              </w:rPr>
            </w:pPr>
          </w:p>
        </w:tc>
      </w:tr>
      <w:tr w:rsidR="00D1007E" w14:paraId="712F6B0B" w14:textId="77777777" w:rsidTr="00C922A1">
        <w:tc>
          <w:tcPr>
            <w:tcW w:w="2673" w:type="dxa"/>
            <w:vAlign w:val="center"/>
          </w:tcPr>
          <w:p w14:paraId="3BEA19CE" w14:textId="77777777" w:rsidR="00D1007E" w:rsidRPr="00791372" w:rsidRDefault="00D1007E" w:rsidP="00C922A1">
            <w:pPr>
              <w:rPr>
                <w:rFonts w:ascii="Palatino Linotype" w:hAnsi="Palatino Linotype"/>
                <w:sz w:val="18"/>
                <w:szCs w:val="18"/>
              </w:rPr>
            </w:pPr>
            <w:proofErr w:type="spellStart"/>
            <w:r w:rsidRPr="000C51C1">
              <w:rPr>
                <w:rFonts w:ascii="Palatino Linotype" w:hAnsi="Palatino Linotype"/>
                <w:sz w:val="18"/>
                <w:szCs w:val="18"/>
              </w:rPr>
              <w:t>SLS_STEMDiffCoef</w:t>
            </w:r>
            <w:proofErr w:type="spellEnd"/>
          </w:p>
        </w:tc>
        <w:tc>
          <w:tcPr>
            <w:tcW w:w="1775" w:type="dxa"/>
            <w:vAlign w:val="center"/>
          </w:tcPr>
          <w:p w14:paraId="1EECCDC1" w14:textId="77777777" w:rsidR="00D1007E" w:rsidRDefault="00D1007E" w:rsidP="00C922A1">
            <w:pPr>
              <w:jc w:val="center"/>
              <w:rPr>
                <w:rFonts w:ascii="Palatino Linotype" w:hAnsi="Palatino Linotype"/>
                <w:i/>
                <w:iCs/>
              </w:rPr>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D</m:t>
                        </m:r>
                      </m:e>
                      <m:sub>
                        <m:r>
                          <w:rPr>
                            <w:rFonts w:ascii="Cambria Math" w:hAnsi="Cambria Math"/>
                          </w:rPr>
                          <m:t>chem</m:t>
                        </m:r>
                      </m:sub>
                    </m:sSub>
                  </m:e>
                  <m:sub>
                    <m:r>
                      <w:rPr>
                        <w:rFonts w:ascii="Cambria Math" w:hAnsi="Cambria Math"/>
                      </w:rPr>
                      <m:t>stem</m:t>
                    </m:r>
                  </m:sub>
                </m:sSub>
              </m:oMath>
            </m:oMathPara>
          </w:p>
        </w:tc>
        <w:tc>
          <w:tcPr>
            <w:tcW w:w="1341" w:type="dxa"/>
            <w:vAlign w:val="center"/>
          </w:tcPr>
          <w:p w14:paraId="7D9E1763" w14:textId="77777777" w:rsidR="00D1007E" w:rsidRDefault="00D1007E" w:rsidP="00C922A1">
            <w:pPr>
              <w:jc w:val="center"/>
              <w:rPr>
                <w:rFonts w:ascii="Palatino Linotype" w:hAnsi="Palatino Linotype"/>
                <w:i/>
                <w:iCs/>
              </w:rPr>
            </w:pPr>
            <w:r>
              <w:rPr>
                <w:rFonts w:ascii="Palatino Linotype" w:hAnsi="Palatino Linotype"/>
                <w:i/>
                <w:iCs/>
              </w:rPr>
              <w:t>5.0</w:t>
            </w:r>
          </w:p>
        </w:tc>
        <w:tc>
          <w:tcPr>
            <w:tcW w:w="1046" w:type="dxa"/>
            <w:vAlign w:val="center"/>
          </w:tcPr>
          <w:p w14:paraId="34F42C99" w14:textId="77777777" w:rsidR="00D1007E" w:rsidRDefault="00D1007E" w:rsidP="00C922A1">
            <w:pPr>
              <w:jc w:val="center"/>
              <w:rPr>
                <w:rFonts w:ascii="Palatino Linotype" w:hAnsi="Palatino Linotype"/>
                <w:i/>
                <w:iCs/>
              </w:rPr>
            </w:pPr>
            <m:oMathPara>
              <m:oMath>
                <m:r>
                  <w:rPr>
                    <w:rFonts w:ascii="Cambria Math" w:hAnsi="Cambria Math"/>
                  </w:rPr>
                  <m:t>-</m:t>
                </m:r>
              </m:oMath>
            </m:oMathPara>
          </w:p>
        </w:tc>
        <w:tc>
          <w:tcPr>
            <w:tcW w:w="2515" w:type="dxa"/>
            <w:vAlign w:val="center"/>
          </w:tcPr>
          <w:p w14:paraId="165FB856" w14:textId="77777777" w:rsidR="00D1007E" w:rsidRPr="00951E97" w:rsidRDefault="00D1007E" w:rsidP="00C922A1">
            <w:pPr>
              <w:rPr>
                <w:rFonts w:ascii="Palatino Linotype" w:hAnsi="Palatino Linotype"/>
                <w:i/>
                <w:iCs/>
                <w:sz w:val="14"/>
                <w:szCs w:val="14"/>
              </w:rPr>
            </w:pPr>
            <w:r w:rsidRPr="00951E97">
              <w:rPr>
                <w:rFonts w:ascii="Palatino Linotype" w:hAnsi="Palatino Linotype"/>
                <w:i/>
                <w:iCs/>
                <w:sz w:val="14"/>
                <w:szCs w:val="14"/>
              </w:rPr>
              <w:t>How quickly the chemical spreads inside stem cells</w:t>
            </w:r>
          </w:p>
        </w:tc>
      </w:tr>
      <w:tr w:rsidR="00D1007E" w14:paraId="60AA6803" w14:textId="77777777" w:rsidTr="00C922A1">
        <w:tc>
          <w:tcPr>
            <w:tcW w:w="2673" w:type="dxa"/>
            <w:vAlign w:val="center"/>
          </w:tcPr>
          <w:p w14:paraId="432A80DA" w14:textId="77777777" w:rsidR="00D1007E" w:rsidRPr="00791372" w:rsidRDefault="00D1007E" w:rsidP="00C922A1">
            <w:pPr>
              <w:rPr>
                <w:rFonts w:ascii="Palatino Linotype" w:hAnsi="Palatino Linotype"/>
                <w:sz w:val="18"/>
                <w:szCs w:val="18"/>
              </w:rPr>
            </w:pPr>
            <w:proofErr w:type="spellStart"/>
            <w:r w:rsidRPr="000C51C1">
              <w:rPr>
                <w:rFonts w:ascii="Palatino Linotype" w:hAnsi="Palatino Linotype"/>
                <w:sz w:val="18"/>
                <w:szCs w:val="18"/>
              </w:rPr>
              <w:t>SLS_BASALDiffCoef</w:t>
            </w:r>
            <w:proofErr w:type="spellEnd"/>
          </w:p>
        </w:tc>
        <w:tc>
          <w:tcPr>
            <w:tcW w:w="1775" w:type="dxa"/>
            <w:vAlign w:val="center"/>
          </w:tcPr>
          <w:p w14:paraId="509E0EC6" w14:textId="77777777" w:rsidR="00D1007E" w:rsidRDefault="00D1007E" w:rsidP="00C922A1">
            <w:pPr>
              <w:jc w:val="center"/>
              <w:rPr>
                <w:rFonts w:ascii="Palatino Linotype" w:hAnsi="Palatino Linotype"/>
                <w:i/>
                <w:iCs/>
              </w:rPr>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D</m:t>
                        </m:r>
                      </m:e>
                      <m:sub>
                        <m:r>
                          <w:rPr>
                            <w:rFonts w:ascii="Cambria Math" w:hAnsi="Cambria Math"/>
                          </w:rPr>
                          <m:t>chem</m:t>
                        </m:r>
                      </m:sub>
                    </m:sSub>
                  </m:e>
                  <m:sub>
                    <m:r>
                      <w:rPr>
                        <w:rFonts w:ascii="Cambria Math" w:hAnsi="Cambria Math"/>
                      </w:rPr>
                      <m:t>basal</m:t>
                    </m:r>
                  </m:sub>
                </m:sSub>
              </m:oMath>
            </m:oMathPara>
          </w:p>
        </w:tc>
        <w:tc>
          <w:tcPr>
            <w:tcW w:w="1341" w:type="dxa"/>
            <w:vAlign w:val="center"/>
          </w:tcPr>
          <w:p w14:paraId="5AA9AB21" w14:textId="77777777" w:rsidR="00D1007E" w:rsidRDefault="00D1007E" w:rsidP="00C922A1">
            <w:pPr>
              <w:jc w:val="center"/>
              <w:rPr>
                <w:rFonts w:ascii="Palatino Linotype" w:hAnsi="Palatino Linotype"/>
                <w:i/>
                <w:iCs/>
              </w:rPr>
            </w:pPr>
            <w:r>
              <w:rPr>
                <w:rFonts w:ascii="Palatino Linotype" w:hAnsi="Palatino Linotype"/>
                <w:i/>
                <w:iCs/>
              </w:rPr>
              <w:t>5.0</w:t>
            </w:r>
          </w:p>
        </w:tc>
        <w:tc>
          <w:tcPr>
            <w:tcW w:w="1046" w:type="dxa"/>
            <w:vAlign w:val="center"/>
          </w:tcPr>
          <w:p w14:paraId="3A16EBBA" w14:textId="77777777" w:rsidR="00D1007E" w:rsidRDefault="00D1007E" w:rsidP="00C922A1">
            <w:pPr>
              <w:jc w:val="center"/>
              <w:rPr>
                <w:rFonts w:ascii="Palatino Linotype" w:hAnsi="Palatino Linotype"/>
                <w:i/>
                <w:iCs/>
              </w:rPr>
            </w:pPr>
            <m:oMathPara>
              <m:oMath>
                <m:r>
                  <w:rPr>
                    <w:rFonts w:ascii="Cambria Math" w:hAnsi="Cambria Math"/>
                  </w:rPr>
                  <m:t>-</m:t>
                </m:r>
              </m:oMath>
            </m:oMathPara>
          </w:p>
        </w:tc>
        <w:tc>
          <w:tcPr>
            <w:tcW w:w="2515" w:type="dxa"/>
            <w:vAlign w:val="center"/>
          </w:tcPr>
          <w:p w14:paraId="1C5E1723" w14:textId="77777777" w:rsidR="00D1007E" w:rsidRPr="00841815" w:rsidRDefault="00D1007E" w:rsidP="00C922A1">
            <w:pPr>
              <w:rPr>
                <w:rFonts w:ascii="Palatino Linotype" w:hAnsi="Palatino Linotype"/>
                <w:i/>
                <w:iCs/>
                <w:sz w:val="14"/>
                <w:szCs w:val="14"/>
              </w:rPr>
            </w:pPr>
            <w:r w:rsidRPr="002D0CD5">
              <w:rPr>
                <w:rFonts w:ascii="Palatino Linotype" w:hAnsi="Palatino Linotype"/>
                <w:i/>
                <w:iCs/>
                <w:sz w:val="14"/>
                <w:szCs w:val="14"/>
              </w:rPr>
              <w:t>How quickly the chemical spreads inside basal cells</w:t>
            </w:r>
          </w:p>
        </w:tc>
      </w:tr>
      <w:tr w:rsidR="00D1007E" w14:paraId="40A61954" w14:textId="77777777" w:rsidTr="00C922A1">
        <w:tc>
          <w:tcPr>
            <w:tcW w:w="2673" w:type="dxa"/>
            <w:vAlign w:val="center"/>
          </w:tcPr>
          <w:p w14:paraId="0465342E" w14:textId="77777777" w:rsidR="00D1007E" w:rsidRPr="00791372" w:rsidRDefault="00D1007E" w:rsidP="00C922A1">
            <w:pPr>
              <w:rPr>
                <w:rFonts w:ascii="Palatino Linotype" w:hAnsi="Palatino Linotype"/>
                <w:sz w:val="18"/>
                <w:szCs w:val="18"/>
              </w:rPr>
            </w:pPr>
            <w:proofErr w:type="spellStart"/>
            <w:r w:rsidRPr="000C51C1">
              <w:rPr>
                <w:rFonts w:ascii="Palatino Linotype" w:hAnsi="Palatino Linotype"/>
                <w:sz w:val="18"/>
                <w:szCs w:val="18"/>
              </w:rPr>
              <w:t>SLS_WINGDiffCoef</w:t>
            </w:r>
            <w:proofErr w:type="spellEnd"/>
          </w:p>
        </w:tc>
        <w:tc>
          <w:tcPr>
            <w:tcW w:w="1775" w:type="dxa"/>
            <w:vAlign w:val="center"/>
          </w:tcPr>
          <w:p w14:paraId="398F6A34" w14:textId="77777777" w:rsidR="00D1007E" w:rsidRDefault="00D1007E" w:rsidP="00C922A1">
            <w:pPr>
              <w:jc w:val="center"/>
              <w:rPr>
                <w:rFonts w:ascii="Palatino Linotype" w:hAnsi="Palatino Linotype"/>
                <w:i/>
                <w:iCs/>
              </w:rPr>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D</m:t>
                        </m:r>
                      </m:e>
                      <m:sub>
                        <m:r>
                          <w:rPr>
                            <w:rFonts w:ascii="Cambria Math" w:hAnsi="Cambria Math"/>
                          </w:rPr>
                          <m:t>chem</m:t>
                        </m:r>
                      </m:sub>
                    </m:sSub>
                  </m:e>
                  <m:sub>
                    <m:r>
                      <w:rPr>
                        <w:rFonts w:ascii="Cambria Math" w:hAnsi="Cambria Math"/>
                      </w:rPr>
                      <m:t>wing</m:t>
                    </m:r>
                  </m:sub>
                </m:sSub>
              </m:oMath>
            </m:oMathPara>
          </w:p>
        </w:tc>
        <w:tc>
          <w:tcPr>
            <w:tcW w:w="1341" w:type="dxa"/>
            <w:vAlign w:val="center"/>
          </w:tcPr>
          <w:p w14:paraId="4DEA2E26" w14:textId="77777777" w:rsidR="00D1007E" w:rsidRDefault="00D1007E" w:rsidP="00C922A1">
            <w:pPr>
              <w:jc w:val="center"/>
              <w:rPr>
                <w:rFonts w:ascii="Palatino Linotype" w:hAnsi="Palatino Linotype"/>
                <w:i/>
                <w:iCs/>
              </w:rPr>
            </w:pPr>
            <w:r>
              <w:rPr>
                <w:rFonts w:ascii="Palatino Linotype" w:hAnsi="Palatino Linotype"/>
                <w:i/>
                <w:iCs/>
              </w:rPr>
              <w:t>5.0</w:t>
            </w:r>
          </w:p>
        </w:tc>
        <w:tc>
          <w:tcPr>
            <w:tcW w:w="1046" w:type="dxa"/>
            <w:vAlign w:val="center"/>
          </w:tcPr>
          <w:p w14:paraId="2BF938CE" w14:textId="77777777" w:rsidR="00D1007E" w:rsidRDefault="00D1007E" w:rsidP="00C922A1">
            <w:pPr>
              <w:jc w:val="center"/>
              <w:rPr>
                <w:rFonts w:ascii="Palatino Linotype" w:hAnsi="Palatino Linotype"/>
                <w:i/>
                <w:iCs/>
              </w:rPr>
            </w:pPr>
            <m:oMathPara>
              <m:oMath>
                <m:r>
                  <w:rPr>
                    <w:rFonts w:ascii="Cambria Math" w:hAnsi="Cambria Math"/>
                  </w:rPr>
                  <m:t>-</m:t>
                </m:r>
              </m:oMath>
            </m:oMathPara>
          </w:p>
        </w:tc>
        <w:tc>
          <w:tcPr>
            <w:tcW w:w="2515" w:type="dxa"/>
            <w:vAlign w:val="center"/>
          </w:tcPr>
          <w:p w14:paraId="1304F7E0" w14:textId="77777777" w:rsidR="00D1007E" w:rsidRPr="00841815" w:rsidRDefault="00D1007E" w:rsidP="00C922A1">
            <w:pPr>
              <w:rPr>
                <w:rFonts w:ascii="Palatino Linotype" w:hAnsi="Palatino Linotype"/>
                <w:i/>
                <w:iCs/>
                <w:sz w:val="14"/>
                <w:szCs w:val="14"/>
              </w:rPr>
            </w:pPr>
            <w:r w:rsidRPr="002D0CD5">
              <w:rPr>
                <w:rFonts w:ascii="Palatino Linotype" w:hAnsi="Palatino Linotype"/>
                <w:i/>
                <w:iCs/>
                <w:sz w:val="14"/>
                <w:szCs w:val="14"/>
              </w:rPr>
              <w:t>How quickly the chemical spreads inside wing cells</w:t>
            </w:r>
          </w:p>
        </w:tc>
      </w:tr>
      <w:tr w:rsidR="00D1007E" w14:paraId="77BB590C" w14:textId="77777777" w:rsidTr="00C922A1">
        <w:tc>
          <w:tcPr>
            <w:tcW w:w="2673" w:type="dxa"/>
            <w:vAlign w:val="center"/>
          </w:tcPr>
          <w:p w14:paraId="3F2673E6" w14:textId="77777777" w:rsidR="00D1007E" w:rsidRPr="00791372" w:rsidRDefault="00D1007E" w:rsidP="00C922A1">
            <w:pPr>
              <w:rPr>
                <w:rFonts w:ascii="Palatino Linotype" w:hAnsi="Palatino Linotype"/>
                <w:sz w:val="18"/>
                <w:szCs w:val="18"/>
              </w:rPr>
            </w:pPr>
            <w:proofErr w:type="spellStart"/>
            <w:r w:rsidRPr="0050561A">
              <w:rPr>
                <w:rFonts w:ascii="Palatino Linotype" w:hAnsi="Palatino Linotype"/>
                <w:sz w:val="18"/>
                <w:szCs w:val="18"/>
              </w:rPr>
              <w:t>SLS_SUPERDiffCoef</w:t>
            </w:r>
            <w:proofErr w:type="spellEnd"/>
          </w:p>
        </w:tc>
        <w:tc>
          <w:tcPr>
            <w:tcW w:w="1775" w:type="dxa"/>
            <w:vAlign w:val="center"/>
          </w:tcPr>
          <w:p w14:paraId="413903DD" w14:textId="77777777" w:rsidR="00D1007E" w:rsidRDefault="00D1007E" w:rsidP="00C922A1">
            <w:pPr>
              <w:jc w:val="center"/>
              <w:rPr>
                <w:rFonts w:ascii="Palatino Linotype" w:hAnsi="Palatino Linotype"/>
                <w:i/>
                <w:iCs/>
              </w:rPr>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D</m:t>
                        </m:r>
                      </m:e>
                      <m:sub>
                        <m:r>
                          <w:rPr>
                            <w:rFonts w:ascii="Cambria Math" w:hAnsi="Cambria Math"/>
                          </w:rPr>
                          <m:t>chem</m:t>
                        </m:r>
                      </m:sub>
                    </m:sSub>
                  </m:e>
                  <m:sub>
                    <m:r>
                      <w:rPr>
                        <w:rFonts w:ascii="Cambria Math" w:hAnsi="Cambria Math"/>
                      </w:rPr>
                      <m:t>super</m:t>
                    </m:r>
                  </m:sub>
                </m:sSub>
              </m:oMath>
            </m:oMathPara>
          </w:p>
        </w:tc>
        <w:tc>
          <w:tcPr>
            <w:tcW w:w="1341" w:type="dxa"/>
            <w:vAlign w:val="center"/>
          </w:tcPr>
          <w:p w14:paraId="43560FCC" w14:textId="77777777" w:rsidR="00D1007E" w:rsidRDefault="00D1007E" w:rsidP="00C922A1">
            <w:pPr>
              <w:jc w:val="center"/>
              <w:rPr>
                <w:rFonts w:ascii="Palatino Linotype" w:hAnsi="Palatino Linotype"/>
                <w:i/>
                <w:iCs/>
              </w:rPr>
            </w:pPr>
            <w:r>
              <w:rPr>
                <w:rFonts w:ascii="Palatino Linotype" w:hAnsi="Palatino Linotype"/>
                <w:i/>
                <w:iCs/>
              </w:rPr>
              <w:t>5.0</w:t>
            </w:r>
          </w:p>
        </w:tc>
        <w:tc>
          <w:tcPr>
            <w:tcW w:w="1046" w:type="dxa"/>
            <w:vAlign w:val="center"/>
          </w:tcPr>
          <w:p w14:paraId="57A8EF22" w14:textId="77777777" w:rsidR="00D1007E" w:rsidRDefault="00D1007E" w:rsidP="00C922A1">
            <w:pPr>
              <w:jc w:val="center"/>
              <w:rPr>
                <w:rFonts w:ascii="Palatino Linotype" w:hAnsi="Palatino Linotype"/>
                <w:i/>
                <w:iCs/>
              </w:rPr>
            </w:pPr>
            <m:oMathPara>
              <m:oMath>
                <m:r>
                  <w:rPr>
                    <w:rFonts w:ascii="Cambria Math" w:hAnsi="Cambria Math"/>
                  </w:rPr>
                  <m:t>-</m:t>
                </m:r>
              </m:oMath>
            </m:oMathPara>
          </w:p>
        </w:tc>
        <w:tc>
          <w:tcPr>
            <w:tcW w:w="2515" w:type="dxa"/>
            <w:vAlign w:val="center"/>
          </w:tcPr>
          <w:p w14:paraId="06EAC605" w14:textId="77777777" w:rsidR="00D1007E" w:rsidRPr="00841815" w:rsidRDefault="00D1007E" w:rsidP="00C922A1">
            <w:pPr>
              <w:rPr>
                <w:rFonts w:ascii="Palatino Linotype" w:hAnsi="Palatino Linotype"/>
                <w:i/>
                <w:iCs/>
                <w:sz w:val="14"/>
                <w:szCs w:val="14"/>
              </w:rPr>
            </w:pPr>
            <w:r w:rsidRPr="002D0CD5">
              <w:rPr>
                <w:rFonts w:ascii="Palatino Linotype" w:hAnsi="Palatino Linotype"/>
                <w:i/>
                <w:iCs/>
                <w:sz w:val="14"/>
                <w:szCs w:val="14"/>
              </w:rPr>
              <w:t>How quickly the chemical spreads inside superficial cells</w:t>
            </w:r>
          </w:p>
        </w:tc>
      </w:tr>
      <w:tr w:rsidR="00D1007E" w14:paraId="0938E795" w14:textId="77777777" w:rsidTr="00C922A1">
        <w:tc>
          <w:tcPr>
            <w:tcW w:w="2673" w:type="dxa"/>
            <w:vAlign w:val="center"/>
          </w:tcPr>
          <w:p w14:paraId="69541A24" w14:textId="77777777" w:rsidR="00D1007E" w:rsidRPr="00791372" w:rsidRDefault="00D1007E" w:rsidP="00C922A1">
            <w:pPr>
              <w:rPr>
                <w:rFonts w:ascii="Palatino Linotype" w:hAnsi="Palatino Linotype"/>
                <w:sz w:val="18"/>
                <w:szCs w:val="18"/>
              </w:rPr>
            </w:pPr>
            <w:proofErr w:type="spellStart"/>
            <w:r w:rsidRPr="0050561A">
              <w:rPr>
                <w:rFonts w:ascii="Palatino Linotype" w:hAnsi="Palatino Linotype"/>
                <w:sz w:val="18"/>
                <w:szCs w:val="18"/>
              </w:rPr>
              <w:t>SLS_MEMBDiffCoef</w:t>
            </w:r>
            <w:proofErr w:type="spellEnd"/>
          </w:p>
        </w:tc>
        <w:tc>
          <w:tcPr>
            <w:tcW w:w="1775" w:type="dxa"/>
            <w:vAlign w:val="center"/>
          </w:tcPr>
          <w:p w14:paraId="5A7BCFC9" w14:textId="77777777" w:rsidR="00D1007E" w:rsidRDefault="00D1007E" w:rsidP="00C922A1">
            <w:pPr>
              <w:jc w:val="center"/>
              <w:rPr>
                <w:rFonts w:ascii="Palatino Linotype" w:hAnsi="Palatino Linotype"/>
                <w:i/>
                <w:iCs/>
              </w:rPr>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D</m:t>
                        </m:r>
                      </m:e>
                      <m:sub>
                        <m:r>
                          <w:rPr>
                            <w:rFonts w:ascii="Cambria Math" w:hAnsi="Cambria Math"/>
                          </w:rPr>
                          <m:t>chem</m:t>
                        </m:r>
                      </m:sub>
                    </m:sSub>
                  </m:e>
                  <m:sub>
                    <m:r>
                      <w:rPr>
                        <w:rFonts w:ascii="Cambria Math" w:hAnsi="Cambria Math"/>
                      </w:rPr>
                      <m:t>memb</m:t>
                    </m:r>
                  </m:sub>
                </m:sSub>
              </m:oMath>
            </m:oMathPara>
          </w:p>
        </w:tc>
        <w:tc>
          <w:tcPr>
            <w:tcW w:w="1341" w:type="dxa"/>
            <w:vAlign w:val="center"/>
          </w:tcPr>
          <w:p w14:paraId="5ADF43C2" w14:textId="77777777" w:rsidR="00D1007E" w:rsidRDefault="00D1007E" w:rsidP="00C922A1">
            <w:pPr>
              <w:jc w:val="center"/>
              <w:rPr>
                <w:rFonts w:ascii="Palatino Linotype" w:hAnsi="Palatino Linotype"/>
                <w:i/>
                <w:iCs/>
              </w:rPr>
            </w:pPr>
            <w:r>
              <w:rPr>
                <w:rFonts w:ascii="Palatino Linotype" w:hAnsi="Palatino Linotype"/>
                <w:i/>
                <w:iCs/>
              </w:rPr>
              <w:t>5.0</w:t>
            </w:r>
          </w:p>
        </w:tc>
        <w:tc>
          <w:tcPr>
            <w:tcW w:w="1046" w:type="dxa"/>
            <w:vAlign w:val="center"/>
          </w:tcPr>
          <w:p w14:paraId="42375F57" w14:textId="77777777" w:rsidR="00D1007E" w:rsidRDefault="00D1007E" w:rsidP="00C922A1">
            <w:pPr>
              <w:jc w:val="center"/>
              <w:rPr>
                <w:rFonts w:ascii="Palatino Linotype" w:hAnsi="Palatino Linotype"/>
                <w:i/>
                <w:iCs/>
              </w:rPr>
            </w:pPr>
            <m:oMathPara>
              <m:oMath>
                <m:r>
                  <w:rPr>
                    <w:rFonts w:ascii="Cambria Math" w:hAnsi="Cambria Math"/>
                  </w:rPr>
                  <m:t>-</m:t>
                </m:r>
              </m:oMath>
            </m:oMathPara>
          </w:p>
        </w:tc>
        <w:tc>
          <w:tcPr>
            <w:tcW w:w="2515" w:type="dxa"/>
            <w:vAlign w:val="center"/>
          </w:tcPr>
          <w:p w14:paraId="61515BBA" w14:textId="77777777" w:rsidR="00D1007E" w:rsidRPr="00841815" w:rsidRDefault="00D1007E" w:rsidP="00C922A1">
            <w:pPr>
              <w:rPr>
                <w:rFonts w:ascii="Palatino Linotype" w:hAnsi="Palatino Linotype"/>
                <w:i/>
                <w:iCs/>
                <w:sz w:val="14"/>
                <w:szCs w:val="14"/>
              </w:rPr>
            </w:pPr>
            <w:r w:rsidRPr="002D0CD5">
              <w:rPr>
                <w:rFonts w:ascii="Palatino Linotype" w:hAnsi="Palatino Linotype"/>
                <w:i/>
                <w:iCs/>
                <w:sz w:val="14"/>
                <w:szCs w:val="14"/>
              </w:rPr>
              <w:t>How quickly the chemical spreads in the Bowman's membrane (periphery)</w:t>
            </w:r>
          </w:p>
        </w:tc>
      </w:tr>
      <w:tr w:rsidR="00D1007E" w14:paraId="01792AC2" w14:textId="77777777" w:rsidTr="00C922A1">
        <w:tc>
          <w:tcPr>
            <w:tcW w:w="2673" w:type="dxa"/>
            <w:vAlign w:val="center"/>
          </w:tcPr>
          <w:p w14:paraId="67190004" w14:textId="77777777" w:rsidR="00D1007E" w:rsidRPr="00791372" w:rsidRDefault="00D1007E" w:rsidP="00C922A1">
            <w:pPr>
              <w:rPr>
                <w:rFonts w:ascii="Palatino Linotype" w:hAnsi="Palatino Linotype"/>
                <w:sz w:val="18"/>
                <w:szCs w:val="18"/>
              </w:rPr>
            </w:pPr>
            <w:proofErr w:type="spellStart"/>
            <w:r w:rsidRPr="0050561A">
              <w:rPr>
                <w:rFonts w:ascii="Palatino Linotype" w:hAnsi="Palatino Linotype"/>
                <w:sz w:val="18"/>
                <w:szCs w:val="18"/>
              </w:rPr>
              <w:t>SLS_LIMBDiffCoef</w:t>
            </w:r>
            <w:proofErr w:type="spellEnd"/>
          </w:p>
        </w:tc>
        <w:tc>
          <w:tcPr>
            <w:tcW w:w="1775" w:type="dxa"/>
            <w:vAlign w:val="center"/>
          </w:tcPr>
          <w:p w14:paraId="45227ED5" w14:textId="77777777" w:rsidR="00D1007E" w:rsidRDefault="00D1007E" w:rsidP="00C922A1">
            <w:pPr>
              <w:jc w:val="center"/>
              <w:rPr>
                <w:rFonts w:ascii="Palatino Linotype" w:hAnsi="Palatino Linotype"/>
                <w:i/>
                <w:iCs/>
              </w:rPr>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D</m:t>
                        </m:r>
                      </m:e>
                      <m:sub>
                        <m:r>
                          <w:rPr>
                            <w:rFonts w:ascii="Cambria Math" w:hAnsi="Cambria Math"/>
                          </w:rPr>
                          <m:t>chem</m:t>
                        </m:r>
                      </m:sub>
                    </m:sSub>
                  </m:e>
                  <m:sub>
                    <m:r>
                      <w:rPr>
                        <w:rFonts w:ascii="Cambria Math" w:hAnsi="Cambria Math"/>
                      </w:rPr>
                      <m:t>limb</m:t>
                    </m:r>
                  </m:sub>
                </m:sSub>
              </m:oMath>
            </m:oMathPara>
          </w:p>
        </w:tc>
        <w:tc>
          <w:tcPr>
            <w:tcW w:w="1341" w:type="dxa"/>
            <w:vAlign w:val="center"/>
          </w:tcPr>
          <w:p w14:paraId="57688200" w14:textId="77777777" w:rsidR="00D1007E" w:rsidRDefault="00D1007E" w:rsidP="00C922A1">
            <w:pPr>
              <w:jc w:val="center"/>
              <w:rPr>
                <w:rFonts w:ascii="Palatino Linotype" w:hAnsi="Palatino Linotype"/>
                <w:i/>
                <w:iCs/>
              </w:rPr>
            </w:pPr>
            <w:r>
              <w:rPr>
                <w:rFonts w:ascii="Palatino Linotype" w:hAnsi="Palatino Linotype"/>
                <w:i/>
                <w:iCs/>
              </w:rPr>
              <w:t>5.0</w:t>
            </w:r>
          </w:p>
        </w:tc>
        <w:tc>
          <w:tcPr>
            <w:tcW w:w="1046" w:type="dxa"/>
            <w:vAlign w:val="center"/>
          </w:tcPr>
          <w:p w14:paraId="5F5024EC" w14:textId="77777777" w:rsidR="00D1007E" w:rsidRDefault="00D1007E" w:rsidP="00C922A1">
            <w:pPr>
              <w:jc w:val="center"/>
              <w:rPr>
                <w:rFonts w:ascii="Palatino Linotype" w:hAnsi="Palatino Linotype"/>
                <w:i/>
                <w:iCs/>
              </w:rPr>
            </w:pPr>
            <m:oMathPara>
              <m:oMath>
                <m:r>
                  <w:rPr>
                    <w:rFonts w:ascii="Cambria Math" w:hAnsi="Cambria Math"/>
                  </w:rPr>
                  <m:t>-</m:t>
                </m:r>
              </m:oMath>
            </m:oMathPara>
          </w:p>
        </w:tc>
        <w:tc>
          <w:tcPr>
            <w:tcW w:w="2515" w:type="dxa"/>
            <w:vAlign w:val="center"/>
          </w:tcPr>
          <w:p w14:paraId="20A5534B" w14:textId="77777777" w:rsidR="00D1007E" w:rsidRPr="00841815" w:rsidRDefault="00D1007E" w:rsidP="00C922A1">
            <w:pPr>
              <w:rPr>
                <w:rFonts w:ascii="Palatino Linotype" w:hAnsi="Palatino Linotype"/>
                <w:i/>
                <w:iCs/>
                <w:sz w:val="14"/>
                <w:szCs w:val="14"/>
              </w:rPr>
            </w:pPr>
            <w:r w:rsidRPr="00A06D30">
              <w:rPr>
                <w:rFonts w:ascii="Palatino Linotype" w:hAnsi="Palatino Linotype"/>
                <w:i/>
                <w:iCs/>
                <w:sz w:val="14"/>
                <w:szCs w:val="14"/>
              </w:rPr>
              <w:t xml:space="preserve">How quickly </w:t>
            </w:r>
            <w:proofErr w:type="gramStart"/>
            <w:r w:rsidRPr="00A06D30">
              <w:rPr>
                <w:rFonts w:ascii="Palatino Linotype" w:hAnsi="Palatino Linotype"/>
                <w:i/>
                <w:iCs/>
                <w:sz w:val="14"/>
                <w:szCs w:val="14"/>
              </w:rPr>
              <w:t>chemical</w:t>
            </w:r>
            <w:proofErr w:type="gramEnd"/>
            <w:r w:rsidRPr="00A06D30">
              <w:rPr>
                <w:rFonts w:ascii="Palatino Linotype" w:hAnsi="Palatino Linotype"/>
                <w:i/>
                <w:iCs/>
                <w:sz w:val="14"/>
                <w:szCs w:val="14"/>
              </w:rPr>
              <w:t xml:space="preserve"> </w:t>
            </w:r>
            <w:proofErr w:type="gramStart"/>
            <w:r w:rsidRPr="00A06D30">
              <w:rPr>
                <w:rFonts w:ascii="Palatino Linotype" w:hAnsi="Palatino Linotype"/>
                <w:i/>
                <w:iCs/>
                <w:sz w:val="14"/>
                <w:szCs w:val="14"/>
              </w:rPr>
              <w:t>spreads</w:t>
            </w:r>
            <w:proofErr w:type="gramEnd"/>
            <w:r w:rsidRPr="00A06D30">
              <w:rPr>
                <w:rFonts w:ascii="Palatino Linotype" w:hAnsi="Palatino Linotype"/>
                <w:i/>
                <w:iCs/>
                <w:sz w:val="14"/>
                <w:szCs w:val="14"/>
              </w:rPr>
              <w:t xml:space="preserve"> in the Bowman's membrane (limbal region)</w:t>
            </w:r>
          </w:p>
        </w:tc>
      </w:tr>
      <w:tr w:rsidR="00D1007E" w14:paraId="4BE6B779" w14:textId="77777777" w:rsidTr="00C922A1">
        <w:tc>
          <w:tcPr>
            <w:tcW w:w="2673" w:type="dxa"/>
            <w:vAlign w:val="center"/>
          </w:tcPr>
          <w:p w14:paraId="206A0508" w14:textId="77777777" w:rsidR="00D1007E" w:rsidRPr="001D26DA" w:rsidRDefault="00D1007E" w:rsidP="00C922A1">
            <w:pPr>
              <w:rPr>
                <w:rFonts w:ascii="Palatino Linotype" w:hAnsi="Palatino Linotype"/>
                <w:sz w:val="18"/>
                <w:szCs w:val="18"/>
              </w:rPr>
            </w:pPr>
            <w:proofErr w:type="spellStart"/>
            <w:r w:rsidRPr="006C313C">
              <w:rPr>
                <w:rFonts w:ascii="Palatino Linotype" w:hAnsi="Palatino Linotype"/>
                <w:sz w:val="18"/>
                <w:szCs w:val="18"/>
              </w:rPr>
              <w:t>SLS_TEARDiffCoef</w:t>
            </w:r>
            <w:proofErr w:type="spellEnd"/>
          </w:p>
        </w:tc>
        <w:tc>
          <w:tcPr>
            <w:tcW w:w="1775" w:type="dxa"/>
            <w:vAlign w:val="center"/>
          </w:tcPr>
          <w:p w14:paraId="1E4FD25C" w14:textId="77777777" w:rsidR="00D1007E" w:rsidRPr="00A409F8" w:rsidRDefault="00D1007E" w:rsidP="00C922A1">
            <w:pPr>
              <w:jc w:val="center"/>
              <w:rPr>
                <w:rFonts w:ascii="Palatino Linotype" w:hAnsi="Palatino Linotype"/>
                <w:i/>
                <w:iCs/>
              </w:rPr>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D</m:t>
                        </m:r>
                      </m:e>
                      <m:sub>
                        <m:r>
                          <w:rPr>
                            <w:rFonts w:ascii="Cambria Math" w:hAnsi="Cambria Math"/>
                          </w:rPr>
                          <m:t>chem</m:t>
                        </m:r>
                      </m:sub>
                    </m:sSub>
                  </m:e>
                  <m:sub>
                    <m:r>
                      <w:rPr>
                        <w:rFonts w:ascii="Cambria Math" w:hAnsi="Cambria Math"/>
                      </w:rPr>
                      <m:t>tear</m:t>
                    </m:r>
                  </m:sub>
                </m:sSub>
              </m:oMath>
            </m:oMathPara>
          </w:p>
        </w:tc>
        <w:tc>
          <w:tcPr>
            <w:tcW w:w="1341" w:type="dxa"/>
            <w:vAlign w:val="center"/>
          </w:tcPr>
          <w:p w14:paraId="7745D937" w14:textId="77777777" w:rsidR="00D1007E" w:rsidRDefault="00D1007E" w:rsidP="00C922A1">
            <w:pPr>
              <w:jc w:val="center"/>
              <w:rPr>
                <w:rFonts w:ascii="Palatino Linotype" w:hAnsi="Palatino Linotype"/>
                <w:i/>
                <w:iCs/>
              </w:rPr>
            </w:pPr>
            <w:r>
              <w:rPr>
                <w:rFonts w:ascii="Palatino Linotype" w:hAnsi="Palatino Linotype"/>
                <w:i/>
                <w:iCs/>
              </w:rPr>
              <w:t>5.0</w:t>
            </w:r>
          </w:p>
        </w:tc>
        <w:tc>
          <w:tcPr>
            <w:tcW w:w="1046" w:type="dxa"/>
            <w:vAlign w:val="center"/>
          </w:tcPr>
          <w:p w14:paraId="4DAB079B" w14:textId="77777777" w:rsidR="00D1007E" w:rsidRDefault="00D1007E" w:rsidP="00C922A1">
            <w:pPr>
              <w:jc w:val="center"/>
              <w:rPr>
                <w:rFonts w:ascii="Palatino Linotype" w:hAnsi="Palatino Linotype"/>
                <w:i/>
                <w:iCs/>
              </w:rPr>
            </w:pPr>
            <m:oMathPara>
              <m:oMath>
                <m:r>
                  <w:rPr>
                    <w:rFonts w:ascii="Cambria Math" w:hAnsi="Cambria Math"/>
                  </w:rPr>
                  <m:t>-</m:t>
                </m:r>
              </m:oMath>
            </m:oMathPara>
          </w:p>
        </w:tc>
        <w:tc>
          <w:tcPr>
            <w:tcW w:w="2515" w:type="dxa"/>
            <w:vAlign w:val="center"/>
          </w:tcPr>
          <w:p w14:paraId="354FA7D7" w14:textId="77777777" w:rsidR="00D1007E" w:rsidRPr="00841815" w:rsidRDefault="00D1007E" w:rsidP="00C922A1">
            <w:pPr>
              <w:rPr>
                <w:rFonts w:ascii="Palatino Linotype" w:hAnsi="Palatino Linotype"/>
                <w:i/>
                <w:iCs/>
                <w:sz w:val="14"/>
                <w:szCs w:val="14"/>
              </w:rPr>
            </w:pPr>
            <w:r w:rsidRPr="00A06D30">
              <w:rPr>
                <w:rFonts w:ascii="Palatino Linotype" w:hAnsi="Palatino Linotype"/>
                <w:i/>
                <w:iCs/>
                <w:sz w:val="14"/>
                <w:szCs w:val="14"/>
              </w:rPr>
              <w:t>How quickly the chemical spreads in the tear layer</w:t>
            </w:r>
          </w:p>
        </w:tc>
      </w:tr>
      <w:tr w:rsidR="00D1007E" w14:paraId="77AF509A" w14:textId="77777777" w:rsidTr="00C922A1">
        <w:tc>
          <w:tcPr>
            <w:tcW w:w="2673" w:type="dxa"/>
            <w:tcBorders>
              <w:bottom w:val="single" w:sz="4" w:space="0" w:color="auto"/>
            </w:tcBorders>
            <w:vAlign w:val="center"/>
          </w:tcPr>
          <w:p w14:paraId="6D198B06" w14:textId="77777777" w:rsidR="00D1007E" w:rsidRPr="006C313C" w:rsidRDefault="00D1007E" w:rsidP="00C922A1">
            <w:pPr>
              <w:rPr>
                <w:rFonts w:ascii="Palatino Linotype" w:hAnsi="Palatino Linotype"/>
                <w:sz w:val="18"/>
                <w:szCs w:val="18"/>
              </w:rPr>
            </w:pPr>
            <w:r>
              <w:rPr>
                <w:rFonts w:ascii="Palatino Linotype" w:hAnsi="Palatino Linotype"/>
                <w:sz w:val="18"/>
                <w:szCs w:val="18"/>
              </w:rPr>
              <w:t>SLS Global Decay</w:t>
            </w:r>
          </w:p>
        </w:tc>
        <w:tc>
          <w:tcPr>
            <w:tcW w:w="1775" w:type="dxa"/>
            <w:tcBorders>
              <w:bottom w:val="single" w:sz="4" w:space="0" w:color="auto"/>
            </w:tcBorders>
            <w:vAlign w:val="center"/>
          </w:tcPr>
          <w:p w14:paraId="07F75EDE" w14:textId="77777777" w:rsidR="00D1007E" w:rsidRPr="00517DFA" w:rsidRDefault="00D1007E" w:rsidP="00C922A1">
            <w:pPr>
              <w:jc w:val="center"/>
              <w:rPr>
                <w:rFonts w:ascii="Palatino Linotype" w:eastAsia="Aptos" w:hAnsi="Palatino Linotype" w:cs="Arial"/>
              </w:rPr>
            </w:pPr>
            <m:oMathPara>
              <m:oMath>
                <m:sSub>
                  <m:sSubPr>
                    <m:ctrlPr>
                      <w:rPr>
                        <w:rFonts w:ascii="Cambria Math" w:hAnsi="Cambria Math"/>
                        <w:bCs/>
                        <w:i/>
                        <w:iCs/>
                        <w:lang w:bidi="en-US"/>
                      </w:rPr>
                    </m:ctrlPr>
                  </m:sSubPr>
                  <m:e>
                    <m:sSub>
                      <m:sSubPr>
                        <m:ctrlPr>
                          <w:rPr>
                            <w:rFonts w:ascii="Cambria Math" w:hAnsi="Cambria Math"/>
                            <w:i/>
                            <w:iCs/>
                          </w:rPr>
                        </m:ctrlPr>
                      </m:sSubPr>
                      <m:e>
                        <m:r>
                          <w:rPr>
                            <w:rFonts w:ascii="Cambria Math" w:hAnsi="Cambria Math"/>
                          </w:rPr>
                          <m:t>k</m:t>
                        </m:r>
                      </m:e>
                      <m:sub>
                        <m:r>
                          <w:rPr>
                            <w:rFonts w:ascii="Cambria Math" w:hAnsi="Cambria Math"/>
                          </w:rPr>
                          <m:t>d</m:t>
                        </m:r>
                      </m:sub>
                    </m:sSub>
                  </m:e>
                  <m:sub>
                    <m:r>
                      <w:rPr>
                        <w:rFonts w:ascii="Cambria Math" w:hAnsi="Cambria Math"/>
                        <w:lang w:bidi="en-US"/>
                      </w:rPr>
                      <m:t>chem</m:t>
                    </m:r>
                  </m:sub>
                </m:sSub>
              </m:oMath>
            </m:oMathPara>
          </w:p>
        </w:tc>
        <w:tc>
          <w:tcPr>
            <w:tcW w:w="1341" w:type="dxa"/>
            <w:tcBorders>
              <w:bottom w:val="single" w:sz="4" w:space="0" w:color="auto"/>
            </w:tcBorders>
            <w:vAlign w:val="center"/>
          </w:tcPr>
          <w:p w14:paraId="37FF1D87" w14:textId="77777777" w:rsidR="00D1007E" w:rsidRDefault="00D1007E" w:rsidP="00C922A1">
            <w:pPr>
              <w:jc w:val="center"/>
              <w:rPr>
                <w:rFonts w:ascii="Palatino Linotype" w:hAnsi="Palatino Linotype"/>
                <w:i/>
                <w:iCs/>
              </w:rPr>
            </w:pPr>
            <w:r>
              <w:rPr>
                <w:rFonts w:ascii="Palatino Linotype" w:hAnsi="Palatino Linotype"/>
                <w:i/>
                <w:iCs/>
              </w:rPr>
              <w:t>0.0</w:t>
            </w:r>
          </w:p>
        </w:tc>
        <w:tc>
          <w:tcPr>
            <w:tcW w:w="1046" w:type="dxa"/>
            <w:tcBorders>
              <w:bottom w:val="single" w:sz="4" w:space="0" w:color="auto"/>
            </w:tcBorders>
            <w:vAlign w:val="center"/>
          </w:tcPr>
          <w:p w14:paraId="511C8455" w14:textId="77777777" w:rsidR="00D1007E" w:rsidRPr="004F3790" w:rsidRDefault="00D1007E" w:rsidP="00C922A1">
            <w:pPr>
              <w:jc w:val="center"/>
              <w:rPr>
                <w:rFonts w:ascii="Palatino Linotype" w:eastAsia="Aptos" w:hAnsi="Palatino Linotype" w:cs="Arial"/>
                <w:i/>
                <w:sz w:val="16"/>
                <w:szCs w:val="16"/>
              </w:rPr>
            </w:pPr>
            <m:oMathPara>
              <m:oMath>
                <m:r>
                  <w:rPr>
                    <w:rFonts w:ascii="Cambria Math" w:hAnsi="Cambria Math"/>
                  </w:rPr>
                  <m:t>-</m:t>
                </m:r>
              </m:oMath>
            </m:oMathPara>
          </w:p>
        </w:tc>
        <w:tc>
          <w:tcPr>
            <w:tcW w:w="2515" w:type="dxa"/>
            <w:vAlign w:val="center"/>
          </w:tcPr>
          <w:p w14:paraId="4E0D84DF" w14:textId="77777777" w:rsidR="00D1007E" w:rsidRPr="00A06D30" w:rsidRDefault="00D1007E" w:rsidP="00C922A1">
            <w:pPr>
              <w:rPr>
                <w:rFonts w:ascii="Palatino Linotype" w:hAnsi="Palatino Linotype"/>
                <w:i/>
                <w:iCs/>
                <w:sz w:val="14"/>
                <w:szCs w:val="14"/>
              </w:rPr>
            </w:pPr>
            <w:r>
              <w:rPr>
                <w:rFonts w:ascii="Palatino Linotype" w:hAnsi="Palatino Linotype"/>
                <w:i/>
                <w:iCs/>
                <w:sz w:val="14"/>
                <w:szCs w:val="14"/>
              </w:rPr>
              <w:t xml:space="preserve">For the model the only breakdown and inactivation of the chemical </w:t>
            </w:r>
            <w:proofErr w:type="gramStart"/>
            <w:r>
              <w:rPr>
                <w:rFonts w:ascii="Palatino Linotype" w:hAnsi="Palatino Linotype"/>
                <w:i/>
                <w:iCs/>
                <w:sz w:val="14"/>
                <w:szCs w:val="14"/>
              </w:rPr>
              <w:t>occurs</w:t>
            </w:r>
            <w:proofErr w:type="gramEnd"/>
            <w:r>
              <w:rPr>
                <w:rFonts w:ascii="Palatino Linotype" w:hAnsi="Palatino Linotype"/>
                <w:i/>
                <w:iCs/>
                <w:sz w:val="14"/>
                <w:szCs w:val="14"/>
              </w:rPr>
              <w:t xml:space="preserve"> by cell death where the amount inside the cell gets inactive as cells die and washed by the tear</w:t>
            </w:r>
          </w:p>
        </w:tc>
      </w:tr>
      <w:tr w:rsidR="00D1007E" w14:paraId="6AB57DDD" w14:textId="77777777" w:rsidTr="00C922A1">
        <w:tc>
          <w:tcPr>
            <w:tcW w:w="2673" w:type="dxa"/>
            <w:tcBorders>
              <w:right w:val="nil"/>
            </w:tcBorders>
            <w:shd w:val="clear" w:color="auto" w:fill="F2F2F2" w:themeFill="background1" w:themeFillShade="F2"/>
            <w:vAlign w:val="center"/>
          </w:tcPr>
          <w:p w14:paraId="1BB40BE0" w14:textId="77777777" w:rsidR="00D1007E" w:rsidRPr="001D26DA" w:rsidRDefault="00D1007E" w:rsidP="00C922A1">
            <w:pPr>
              <w:rPr>
                <w:rFonts w:ascii="Palatino Linotype" w:hAnsi="Palatino Linotype"/>
                <w:sz w:val="18"/>
                <w:szCs w:val="18"/>
              </w:rPr>
            </w:pPr>
            <w:r w:rsidRPr="006C313C">
              <w:rPr>
                <w:rFonts w:ascii="Palatino Linotype" w:hAnsi="Palatino Linotype"/>
                <w:b/>
                <w:bCs/>
                <w:sz w:val="18"/>
                <w:szCs w:val="18"/>
              </w:rPr>
              <w:t>EGF Diffusion / Uptake</w:t>
            </w:r>
          </w:p>
        </w:tc>
        <w:tc>
          <w:tcPr>
            <w:tcW w:w="1775" w:type="dxa"/>
            <w:tcBorders>
              <w:left w:val="nil"/>
              <w:right w:val="nil"/>
            </w:tcBorders>
            <w:shd w:val="clear" w:color="auto" w:fill="F2F2F2" w:themeFill="background1" w:themeFillShade="F2"/>
            <w:vAlign w:val="center"/>
          </w:tcPr>
          <w:p w14:paraId="65384173" w14:textId="77777777" w:rsidR="00D1007E" w:rsidRDefault="00D1007E" w:rsidP="00C922A1">
            <w:pPr>
              <w:jc w:val="center"/>
              <w:rPr>
                <w:rFonts w:ascii="Palatino Linotype" w:hAnsi="Palatino Linotype"/>
                <w:i/>
                <w:iCs/>
              </w:rPr>
            </w:pPr>
          </w:p>
        </w:tc>
        <w:tc>
          <w:tcPr>
            <w:tcW w:w="1341" w:type="dxa"/>
            <w:tcBorders>
              <w:left w:val="nil"/>
              <w:right w:val="nil"/>
            </w:tcBorders>
            <w:shd w:val="clear" w:color="auto" w:fill="F2F2F2" w:themeFill="background1" w:themeFillShade="F2"/>
            <w:vAlign w:val="center"/>
          </w:tcPr>
          <w:p w14:paraId="3A33D802" w14:textId="77777777" w:rsidR="00D1007E" w:rsidRDefault="00D1007E" w:rsidP="00C922A1">
            <w:pPr>
              <w:jc w:val="center"/>
              <w:rPr>
                <w:rFonts w:ascii="Palatino Linotype" w:hAnsi="Palatino Linotype"/>
                <w:i/>
                <w:iCs/>
              </w:rPr>
            </w:pPr>
          </w:p>
        </w:tc>
        <w:tc>
          <w:tcPr>
            <w:tcW w:w="1046" w:type="dxa"/>
            <w:tcBorders>
              <w:left w:val="nil"/>
              <w:right w:val="nil"/>
            </w:tcBorders>
            <w:shd w:val="clear" w:color="auto" w:fill="F2F2F2" w:themeFill="background1" w:themeFillShade="F2"/>
            <w:vAlign w:val="center"/>
          </w:tcPr>
          <w:p w14:paraId="71F28889" w14:textId="77777777" w:rsidR="00D1007E" w:rsidRDefault="00D1007E" w:rsidP="00C922A1">
            <w:pPr>
              <w:jc w:val="center"/>
              <w:rPr>
                <w:rFonts w:ascii="Palatino Linotype" w:hAnsi="Palatino Linotype"/>
                <w:i/>
                <w:iCs/>
              </w:rPr>
            </w:pPr>
          </w:p>
        </w:tc>
        <w:tc>
          <w:tcPr>
            <w:tcW w:w="2515" w:type="dxa"/>
            <w:tcBorders>
              <w:left w:val="nil"/>
            </w:tcBorders>
            <w:shd w:val="clear" w:color="auto" w:fill="F2F2F2" w:themeFill="background1" w:themeFillShade="F2"/>
            <w:vAlign w:val="center"/>
          </w:tcPr>
          <w:p w14:paraId="006CD860" w14:textId="77777777" w:rsidR="00D1007E" w:rsidRPr="00841815" w:rsidRDefault="00D1007E" w:rsidP="00C922A1">
            <w:pPr>
              <w:rPr>
                <w:rFonts w:ascii="Palatino Linotype" w:hAnsi="Palatino Linotype"/>
                <w:i/>
                <w:iCs/>
                <w:sz w:val="14"/>
                <w:szCs w:val="14"/>
              </w:rPr>
            </w:pPr>
          </w:p>
        </w:tc>
      </w:tr>
      <w:tr w:rsidR="00D1007E" w14:paraId="7844A482" w14:textId="77777777" w:rsidTr="00C922A1">
        <w:tc>
          <w:tcPr>
            <w:tcW w:w="2673" w:type="dxa"/>
            <w:shd w:val="clear" w:color="auto" w:fill="F2F2F2" w:themeFill="background1" w:themeFillShade="F2"/>
            <w:vAlign w:val="center"/>
          </w:tcPr>
          <w:p w14:paraId="4FAA80D2" w14:textId="77777777" w:rsidR="00D1007E" w:rsidRPr="00A82A78" w:rsidRDefault="00D1007E" w:rsidP="00C922A1">
            <w:pPr>
              <w:rPr>
                <w:rFonts w:ascii="Palatino Linotype" w:hAnsi="Palatino Linotype"/>
                <w:sz w:val="18"/>
                <w:szCs w:val="18"/>
              </w:rPr>
            </w:pPr>
            <w:proofErr w:type="spellStart"/>
            <w:r w:rsidRPr="00A82A78">
              <w:rPr>
                <w:rFonts w:ascii="Palatino Linotype" w:hAnsi="Palatino Linotype"/>
                <w:sz w:val="18"/>
                <w:szCs w:val="18"/>
              </w:rPr>
              <w:t>EGF_SUPERDiffCoef</w:t>
            </w:r>
            <w:proofErr w:type="spellEnd"/>
          </w:p>
        </w:tc>
        <w:tc>
          <w:tcPr>
            <w:tcW w:w="1775" w:type="dxa"/>
            <w:shd w:val="clear" w:color="auto" w:fill="F2F2F2" w:themeFill="background1" w:themeFillShade="F2"/>
            <w:vAlign w:val="center"/>
          </w:tcPr>
          <w:p w14:paraId="5B1CCF0E" w14:textId="77777777" w:rsidR="00D1007E" w:rsidRDefault="00D1007E" w:rsidP="00C922A1">
            <w:pPr>
              <w:jc w:val="center"/>
              <w:rPr>
                <w:rFonts w:ascii="Palatino Linotype" w:hAnsi="Palatino Linotype"/>
                <w:i/>
                <w:iCs/>
              </w:rPr>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D</m:t>
                        </m:r>
                      </m:e>
                      <m:sub>
                        <m:r>
                          <w:rPr>
                            <w:rFonts w:ascii="Cambria Math" w:hAnsi="Cambria Math"/>
                          </w:rPr>
                          <m:t>EGF</m:t>
                        </m:r>
                      </m:sub>
                    </m:sSub>
                  </m:e>
                  <m:sub>
                    <m:r>
                      <w:rPr>
                        <w:rFonts w:ascii="Cambria Math" w:hAnsi="Cambria Math"/>
                      </w:rPr>
                      <m:t>super</m:t>
                    </m:r>
                  </m:sub>
                </m:sSub>
              </m:oMath>
            </m:oMathPara>
          </w:p>
        </w:tc>
        <w:tc>
          <w:tcPr>
            <w:tcW w:w="1341" w:type="dxa"/>
            <w:shd w:val="clear" w:color="auto" w:fill="F2F2F2" w:themeFill="background1" w:themeFillShade="F2"/>
            <w:vAlign w:val="center"/>
          </w:tcPr>
          <w:p w14:paraId="7B4032F6" w14:textId="77777777" w:rsidR="00D1007E" w:rsidRDefault="00D1007E" w:rsidP="00C922A1">
            <w:pPr>
              <w:jc w:val="center"/>
              <w:rPr>
                <w:rFonts w:ascii="Palatino Linotype" w:hAnsi="Palatino Linotype"/>
                <w:i/>
                <w:iCs/>
              </w:rPr>
            </w:pPr>
            <w:r>
              <w:rPr>
                <w:rFonts w:ascii="Palatino Linotype" w:hAnsi="Palatino Linotype"/>
                <w:i/>
                <w:iCs/>
              </w:rPr>
              <w:t>20.0</w:t>
            </w:r>
          </w:p>
        </w:tc>
        <w:tc>
          <w:tcPr>
            <w:tcW w:w="1046" w:type="dxa"/>
            <w:shd w:val="clear" w:color="auto" w:fill="F2F2F2" w:themeFill="background1" w:themeFillShade="F2"/>
            <w:vAlign w:val="center"/>
          </w:tcPr>
          <w:p w14:paraId="68EFF044" w14:textId="4CB69BC2" w:rsidR="00D1007E" w:rsidRPr="00526FEB" w:rsidRDefault="00D1007E" w:rsidP="00C922A1">
            <w:pPr>
              <w:jc w:val="center"/>
              <w:rPr>
                <w:rFonts w:ascii="Palatino Linotype" w:hAnsi="Palatino Linotype"/>
                <w:i/>
                <w:sz w:val="14"/>
                <w:szCs w:val="14"/>
              </w:rPr>
            </w:pPr>
            <w:r w:rsidRPr="00526FEB">
              <w:rPr>
                <w:rFonts w:ascii="Palatino Linotype" w:hAnsi="Palatino Linotype"/>
                <w:i/>
                <w:iCs/>
                <w:sz w:val="14"/>
                <w:szCs w:val="14"/>
              </w:rPr>
              <w:fldChar w:fldCharType="begin"/>
            </w:r>
            <w:r w:rsidR="006255BF">
              <w:rPr>
                <w:rFonts w:ascii="Palatino Linotype" w:hAnsi="Palatino Linotype"/>
                <w:i/>
                <w:iCs/>
                <w:sz w:val="14"/>
                <w:szCs w:val="14"/>
              </w:rPr>
              <w:instrText xml:space="preserve"> ADDIN ZOTERO_ITEM CSL_CITATION {"citationID":"NaFEAKPw","properties":{"formattedCitation":"(1,2)","plainCitation":"(1,2)","noteIndex":0},"citationItems":[{"id":1178,"uris":["http://zotero.org/users/10714330/items/UZ2FZ6SN"],"itemData":{"id":1178,"type":"article-journal","abstract":"Epidermal growth factor stimulates the proliferation of corneal epithelium both in organ culture and in vivo. This induction of hyperplasia has been demonstrated histologically with embryonic human and chick corneas in culture. The topical application of the factor to the eyes of rabbits with corneal wounds resulted in a marked hyperplasia resembling that observed in culture. However, the effect noted in vivo was transient and the epithelium rapidly regressed to its normal thickness.","container-title":"Experimental Eye Research","DOI":"10.1016/0014-4835(73)90151-6","ISSN":"0014-4835","issue":"3","journalAbbreviation":"Experimental Eye Research","page":"361-366","source":"ScienceDirect","title":"Proliferation of corneal epithelium induced by epidermal growth factor","volume":"15","author":[{"family":"Savage","given":"C. Richard"},{"family":"Cohen","given":"Stanley"}],"issued":{"date-parts":[["1973",3,1]]}}},{"id":1182,"uris":["http://zotero.org/users/10714330/items/52BWRW2X"],"itemData":{"id":1182,"type":"article-journal","abstract":"Epithelial tight junctions contain size- and charge-selective pores that control the paracellular movement of charged and noncharged solutes. Claudins influence the charge selectivity and electrical resistance of junctions, but there is no direct evidence describing pore composition or whether pore size or density differs among cell types. To characterize paracellular pores independent of influences from charge selectivity, we profiled the ‘apparent permeabilities’ (Papp) of a continuous series of noncharged polyethylene glycols (PEGs) across monolayers of five different epithelial cell lines and porcine ileum. We also characterized Papp of high and low electrical resistance MDCK cell monolayers expressing heterologous claudins. Papp profiling confirms that the paracellular barrier to noncharged solutes can be modeled as two distinct pathways: high-capacity small pores and a size-independent pathway allowing flux of larger solutes. All cell lines and ileum share a pore aperture of radius 4 Å. Using Papp of a PEG of radius 3.5 Å to report the relative pore number provides the novel insight that pore density along the junction varies among cell types and is not necessarily related to electrical resistance.","container-title":"Journal of Cell Science","DOI":"10.1242/jcs.021485","ISSN":"1477-9137, 0021-9533","issue":"3","language":"en","page":"298-305","source":"DOI.org (Crossref)","title":"The density of small tight junction pores varies among cell types and is increased by expression of claudin-2","volume":"121","author":[{"family":"Van Itallie","given":"Christina M."},{"family":"Holmes","given":"Jennifer"},{"family":"Bridges","given":"Arlene"},{"family":"Gookin","given":"Jody L."},{"family":"Coccaro","given":"Maria R."},{"family":"Proctor","given":"William"},{"family":"Colegio","given":"Oscar R."},{"family":"Anderson","given":"James M."}],"issued":{"date-parts":[["2008",2,1]]}}}],"schema":"https://github.com/citation-style-language/schema/raw/master/csl-citation.json"} </w:instrText>
            </w:r>
            <w:r w:rsidRPr="00526FEB">
              <w:rPr>
                <w:rFonts w:ascii="Palatino Linotype" w:hAnsi="Palatino Linotype"/>
                <w:i/>
                <w:iCs/>
                <w:sz w:val="14"/>
                <w:szCs w:val="14"/>
              </w:rPr>
              <w:fldChar w:fldCharType="separate"/>
            </w:r>
            <w:r w:rsidR="006255BF" w:rsidRPr="006255BF">
              <w:rPr>
                <w:rFonts w:ascii="Palatino Linotype" w:hAnsi="Palatino Linotype"/>
                <w:sz w:val="14"/>
              </w:rPr>
              <w:t>(1,2)</w:t>
            </w:r>
            <w:r w:rsidRPr="00526FEB">
              <w:rPr>
                <w:rFonts w:ascii="Palatino Linotype" w:hAnsi="Palatino Linotype"/>
                <w:i/>
                <w:iCs/>
                <w:sz w:val="14"/>
                <w:szCs w:val="14"/>
              </w:rPr>
              <w:fldChar w:fldCharType="end"/>
            </w:r>
          </w:p>
        </w:tc>
        <w:tc>
          <w:tcPr>
            <w:tcW w:w="2515" w:type="dxa"/>
            <w:shd w:val="clear" w:color="auto" w:fill="F2F2F2" w:themeFill="background1" w:themeFillShade="F2"/>
            <w:vAlign w:val="center"/>
          </w:tcPr>
          <w:p w14:paraId="57E145EE" w14:textId="77777777" w:rsidR="00D1007E" w:rsidRPr="00841815" w:rsidRDefault="00D1007E" w:rsidP="00C922A1">
            <w:pPr>
              <w:rPr>
                <w:rFonts w:ascii="Palatino Linotype" w:hAnsi="Palatino Linotype"/>
                <w:i/>
                <w:iCs/>
                <w:sz w:val="14"/>
                <w:szCs w:val="14"/>
              </w:rPr>
            </w:pPr>
            <w:r w:rsidRPr="000B04EB">
              <w:rPr>
                <w:rFonts w:ascii="Palatino Linotype" w:hAnsi="Palatino Linotype"/>
                <w:i/>
                <w:iCs/>
                <w:sz w:val="14"/>
                <w:szCs w:val="14"/>
              </w:rPr>
              <w:t>How quickly EGF diffuses (spreads) through superficial cells</w:t>
            </w:r>
            <w:r>
              <w:rPr>
                <w:rFonts w:ascii="Palatino Linotype" w:hAnsi="Palatino Linotype"/>
                <w:i/>
                <w:iCs/>
                <w:sz w:val="14"/>
                <w:szCs w:val="14"/>
              </w:rPr>
              <w:t xml:space="preserve">. The references show a limitation of space for EGF to defuse through the sides of the </w:t>
            </w:r>
            <w:proofErr w:type="gramStart"/>
            <w:r>
              <w:rPr>
                <w:rFonts w:ascii="Palatino Linotype" w:hAnsi="Palatino Linotype"/>
                <w:i/>
                <w:iCs/>
                <w:sz w:val="14"/>
                <w:szCs w:val="14"/>
              </w:rPr>
              <w:t>cells</w:t>
            </w:r>
            <w:proofErr w:type="gramEnd"/>
            <w:r>
              <w:rPr>
                <w:rFonts w:ascii="Palatino Linotype" w:hAnsi="Palatino Linotype"/>
                <w:i/>
                <w:iCs/>
                <w:sz w:val="14"/>
                <w:szCs w:val="14"/>
              </w:rPr>
              <w:t xml:space="preserve"> and it was shown that EGF applied in intact corneas do not proliferate as wounded ones</w:t>
            </w:r>
          </w:p>
        </w:tc>
      </w:tr>
      <w:tr w:rsidR="00D1007E" w14:paraId="3436B3B1" w14:textId="77777777" w:rsidTr="00C922A1">
        <w:tc>
          <w:tcPr>
            <w:tcW w:w="2673" w:type="dxa"/>
            <w:shd w:val="clear" w:color="auto" w:fill="F2F2F2" w:themeFill="background1" w:themeFillShade="F2"/>
            <w:vAlign w:val="center"/>
          </w:tcPr>
          <w:p w14:paraId="7C680263" w14:textId="77777777" w:rsidR="00D1007E" w:rsidRPr="001D26DA" w:rsidRDefault="00D1007E" w:rsidP="00C922A1">
            <w:pPr>
              <w:rPr>
                <w:rFonts w:ascii="Palatino Linotype" w:hAnsi="Palatino Linotype"/>
                <w:sz w:val="18"/>
                <w:szCs w:val="18"/>
              </w:rPr>
            </w:pPr>
            <w:proofErr w:type="spellStart"/>
            <w:r w:rsidRPr="00A82A78">
              <w:rPr>
                <w:rFonts w:ascii="Palatino Linotype" w:hAnsi="Palatino Linotype"/>
                <w:sz w:val="18"/>
                <w:szCs w:val="18"/>
              </w:rPr>
              <w:t>EGF_FieldUptakeBASAL</w:t>
            </w:r>
            <w:proofErr w:type="spellEnd"/>
          </w:p>
        </w:tc>
        <w:tc>
          <w:tcPr>
            <w:tcW w:w="1775" w:type="dxa"/>
            <w:shd w:val="clear" w:color="auto" w:fill="F2F2F2" w:themeFill="background1" w:themeFillShade="F2"/>
            <w:vAlign w:val="center"/>
          </w:tcPr>
          <w:p w14:paraId="3D309736" w14:textId="77777777" w:rsidR="00D1007E" w:rsidRDefault="00D1007E" w:rsidP="00C922A1">
            <w:pPr>
              <w:jc w:val="center"/>
              <w:rPr>
                <w:rFonts w:ascii="Palatino Linotype" w:hAnsi="Palatino Linotype"/>
                <w:i/>
                <w:iCs/>
              </w:rPr>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μ</m:t>
                        </m:r>
                      </m:e>
                      <m:sub>
                        <m:r>
                          <w:rPr>
                            <w:rFonts w:ascii="Cambria Math" w:hAnsi="Cambria Math"/>
                          </w:rPr>
                          <m:t>EGF</m:t>
                        </m:r>
                      </m:sub>
                    </m:sSub>
                  </m:e>
                  <m:sub>
                    <m:r>
                      <w:rPr>
                        <w:rFonts w:ascii="Cambria Math" w:hAnsi="Cambria Math"/>
                      </w:rPr>
                      <m:t>basal</m:t>
                    </m:r>
                  </m:sub>
                </m:sSub>
              </m:oMath>
            </m:oMathPara>
          </w:p>
        </w:tc>
        <w:tc>
          <w:tcPr>
            <w:tcW w:w="1341" w:type="dxa"/>
            <w:shd w:val="clear" w:color="auto" w:fill="F2F2F2" w:themeFill="background1" w:themeFillShade="F2"/>
            <w:vAlign w:val="center"/>
          </w:tcPr>
          <w:p w14:paraId="0C25C737" w14:textId="77777777" w:rsidR="00D1007E" w:rsidRDefault="00D1007E" w:rsidP="00C922A1">
            <w:pPr>
              <w:jc w:val="center"/>
              <w:rPr>
                <w:rFonts w:ascii="Palatino Linotype" w:hAnsi="Palatino Linotype"/>
                <w:i/>
                <w:iCs/>
              </w:rPr>
            </w:pPr>
            <w:r>
              <w:rPr>
                <w:rFonts w:ascii="Palatino Linotype" w:hAnsi="Palatino Linotype"/>
                <w:i/>
                <w:iCs/>
              </w:rPr>
              <w:t>0.0</w:t>
            </w:r>
          </w:p>
        </w:tc>
        <w:tc>
          <w:tcPr>
            <w:tcW w:w="1046" w:type="dxa"/>
            <w:shd w:val="clear" w:color="auto" w:fill="F2F2F2" w:themeFill="background1" w:themeFillShade="F2"/>
            <w:vAlign w:val="center"/>
          </w:tcPr>
          <w:p w14:paraId="20583F3B" w14:textId="77777777" w:rsidR="00D1007E" w:rsidRDefault="00D1007E" w:rsidP="00C922A1">
            <w:pPr>
              <w:jc w:val="center"/>
              <w:rPr>
                <w:rFonts w:ascii="Palatino Linotype" w:hAnsi="Palatino Linotype"/>
                <w:i/>
                <w:iCs/>
              </w:rPr>
            </w:pPr>
            <m:oMathPara>
              <m:oMath>
                <m:r>
                  <w:rPr>
                    <w:rFonts w:ascii="Cambria Math" w:hAnsi="Cambria Math"/>
                  </w:rPr>
                  <m:t>-</m:t>
                </m:r>
              </m:oMath>
            </m:oMathPara>
          </w:p>
        </w:tc>
        <w:tc>
          <w:tcPr>
            <w:tcW w:w="2515" w:type="dxa"/>
            <w:shd w:val="clear" w:color="auto" w:fill="F2F2F2" w:themeFill="background1" w:themeFillShade="F2"/>
            <w:vAlign w:val="center"/>
          </w:tcPr>
          <w:p w14:paraId="747E8163" w14:textId="77777777" w:rsidR="00D1007E" w:rsidRPr="00841815" w:rsidRDefault="00D1007E" w:rsidP="00C922A1">
            <w:pPr>
              <w:rPr>
                <w:rFonts w:ascii="Palatino Linotype" w:hAnsi="Palatino Linotype"/>
                <w:i/>
                <w:iCs/>
                <w:sz w:val="14"/>
                <w:szCs w:val="14"/>
              </w:rPr>
            </w:pPr>
            <w:r w:rsidRPr="00A0494A">
              <w:rPr>
                <w:rFonts w:ascii="Palatino Linotype" w:hAnsi="Palatino Linotype"/>
                <w:i/>
                <w:iCs/>
                <w:sz w:val="14"/>
                <w:szCs w:val="14"/>
              </w:rPr>
              <w:t>How quickly basal cells consume EGF from their surroundings</w:t>
            </w:r>
          </w:p>
        </w:tc>
      </w:tr>
      <w:tr w:rsidR="00D1007E" w14:paraId="7E723E69" w14:textId="77777777" w:rsidTr="00C922A1">
        <w:tc>
          <w:tcPr>
            <w:tcW w:w="2673" w:type="dxa"/>
            <w:shd w:val="clear" w:color="auto" w:fill="F2F2F2" w:themeFill="background1" w:themeFillShade="F2"/>
            <w:vAlign w:val="center"/>
          </w:tcPr>
          <w:p w14:paraId="3198698A" w14:textId="77777777" w:rsidR="00D1007E" w:rsidRPr="001D26DA" w:rsidRDefault="00D1007E" w:rsidP="00C922A1">
            <w:pPr>
              <w:rPr>
                <w:rFonts w:ascii="Palatino Linotype" w:hAnsi="Palatino Linotype"/>
                <w:sz w:val="18"/>
                <w:szCs w:val="18"/>
              </w:rPr>
            </w:pPr>
            <w:proofErr w:type="spellStart"/>
            <w:r w:rsidRPr="00262D8C">
              <w:rPr>
                <w:rFonts w:ascii="Palatino Linotype" w:hAnsi="Palatino Linotype"/>
                <w:sz w:val="18"/>
                <w:szCs w:val="18"/>
              </w:rPr>
              <w:t>EGF_FieldUptakeSTEM</w:t>
            </w:r>
            <w:proofErr w:type="spellEnd"/>
          </w:p>
        </w:tc>
        <w:tc>
          <w:tcPr>
            <w:tcW w:w="1775" w:type="dxa"/>
            <w:shd w:val="clear" w:color="auto" w:fill="F2F2F2" w:themeFill="background1" w:themeFillShade="F2"/>
            <w:vAlign w:val="center"/>
          </w:tcPr>
          <w:p w14:paraId="3F159D9D" w14:textId="77777777" w:rsidR="00D1007E" w:rsidRDefault="00D1007E" w:rsidP="00C922A1">
            <w:pPr>
              <w:jc w:val="center"/>
              <w:rPr>
                <w:rFonts w:ascii="Palatino Linotype" w:hAnsi="Palatino Linotype"/>
                <w:i/>
                <w:iCs/>
              </w:rPr>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μ</m:t>
                        </m:r>
                      </m:e>
                      <m:sub>
                        <m:r>
                          <w:rPr>
                            <w:rFonts w:ascii="Cambria Math" w:hAnsi="Cambria Math"/>
                          </w:rPr>
                          <m:t>EGF</m:t>
                        </m:r>
                      </m:sub>
                    </m:sSub>
                  </m:e>
                  <m:sub>
                    <m:r>
                      <w:rPr>
                        <w:rFonts w:ascii="Cambria Math" w:hAnsi="Cambria Math"/>
                      </w:rPr>
                      <m:t>stem</m:t>
                    </m:r>
                  </m:sub>
                </m:sSub>
              </m:oMath>
            </m:oMathPara>
          </w:p>
        </w:tc>
        <w:tc>
          <w:tcPr>
            <w:tcW w:w="1341" w:type="dxa"/>
            <w:shd w:val="clear" w:color="auto" w:fill="F2F2F2" w:themeFill="background1" w:themeFillShade="F2"/>
            <w:vAlign w:val="center"/>
          </w:tcPr>
          <w:p w14:paraId="3B4C58A4" w14:textId="77777777" w:rsidR="00D1007E" w:rsidRDefault="00D1007E" w:rsidP="00C922A1">
            <w:pPr>
              <w:jc w:val="center"/>
              <w:rPr>
                <w:rFonts w:ascii="Palatino Linotype" w:hAnsi="Palatino Linotype"/>
                <w:i/>
                <w:iCs/>
              </w:rPr>
            </w:pPr>
            <w:r>
              <w:rPr>
                <w:rFonts w:ascii="Palatino Linotype" w:hAnsi="Palatino Linotype"/>
                <w:i/>
                <w:iCs/>
              </w:rPr>
              <w:t>0.0</w:t>
            </w:r>
          </w:p>
        </w:tc>
        <w:tc>
          <w:tcPr>
            <w:tcW w:w="1046" w:type="dxa"/>
            <w:shd w:val="clear" w:color="auto" w:fill="F2F2F2" w:themeFill="background1" w:themeFillShade="F2"/>
            <w:vAlign w:val="center"/>
          </w:tcPr>
          <w:p w14:paraId="7AF165CA" w14:textId="77777777" w:rsidR="00D1007E" w:rsidRDefault="00D1007E" w:rsidP="00C922A1">
            <w:pPr>
              <w:jc w:val="center"/>
              <w:rPr>
                <w:rFonts w:ascii="Palatino Linotype" w:hAnsi="Palatino Linotype"/>
                <w:i/>
                <w:iCs/>
              </w:rPr>
            </w:pPr>
            <m:oMathPara>
              <m:oMath>
                <m:r>
                  <w:rPr>
                    <w:rFonts w:ascii="Cambria Math" w:hAnsi="Cambria Math"/>
                  </w:rPr>
                  <m:t>-</m:t>
                </m:r>
              </m:oMath>
            </m:oMathPara>
          </w:p>
        </w:tc>
        <w:tc>
          <w:tcPr>
            <w:tcW w:w="2515" w:type="dxa"/>
            <w:shd w:val="clear" w:color="auto" w:fill="F2F2F2" w:themeFill="background1" w:themeFillShade="F2"/>
            <w:vAlign w:val="center"/>
          </w:tcPr>
          <w:p w14:paraId="19DAEAE6" w14:textId="77777777" w:rsidR="00D1007E" w:rsidRPr="00841815" w:rsidRDefault="00D1007E" w:rsidP="00C922A1">
            <w:pPr>
              <w:rPr>
                <w:rFonts w:ascii="Palatino Linotype" w:hAnsi="Palatino Linotype"/>
                <w:i/>
                <w:iCs/>
                <w:sz w:val="14"/>
                <w:szCs w:val="14"/>
              </w:rPr>
            </w:pPr>
            <w:r w:rsidRPr="00A0494A">
              <w:rPr>
                <w:rFonts w:ascii="Palatino Linotype" w:hAnsi="Palatino Linotype"/>
                <w:i/>
                <w:iCs/>
                <w:sz w:val="14"/>
                <w:szCs w:val="14"/>
              </w:rPr>
              <w:t>How quickly stem cells consume EGF from their surroundings</w:t>
            </w:r>
          </w:p>
        </w:tc>
      </w:tr>
      <w:tr w:rsidR="00D1007E" w14:paraId="2A19D08B" w14:textId="77777777" w:rsidTr="00C922A1">
        <w:tc>
          <w:tcPr>
            <w:tcW w:w="2673" w:type="dxa"/>
            <w:shd w:val="clear" w:color="auto" w:fill="F2F2F2" w:themeFill="background1" w:themeFillShade="F2"/>
            <w:vAlign w:val="center"/>
          </w:tcPr>
          <w:p w14:paraId="7FD13F92" w14:textId="77777777" w:rsidR="00D1007E" w:rsidRPr="001D26DA" w:rsidRDefault="00D1007E" w:rsidP="00C922A1">
            <w:pPr>
              <w:rPr>
                <w:rFonts w:ascii="Palatino Linotype" w:hAnsi="Palatino Linotype"/>
                <w:sz w:val="18"/>
                <w:szCs w:val="18"/>
              </w:rPr>
            </w:pPr>
            <w:proofErr w:type="spellStart"/>
            <w:r w:rsidRPr="00262D8C">
              <w:rPr>
                <w:rFonts w:ascii="Palatino Linotype" w:hAnsi="Palatino Linotype"/>
                <w:sz w:val="18"/>
                <w:szCs w:val="18"/>
              </w:rPr>
              <w:t>EGF_FieldUptakeSuper</w:t>
            </w:r>
            <w:proofErr w:type="spellEnd"/>
          </w:p>
        </w:tc>
        <w:tc>
          <w:tcPr>
            <w:tcW w:w="1775" w:type="dxa"/>
            <w:shd w:val="clear" w:color="auto" w:fill="F2F2F2" w:themeFill="background1" w:themeFillShade="F2"/>
            <w:vAlign w:val="center"/>
          </w:tcPr>
          <w:p w14:paraId="1980C6F1" w14:textId="77777777" w:rsidR="00D1007E" w:rsidRDefault="00D1007E" w:rsidP="00C922A1">
            <w:pPr>
              <w:jc w:val="center"/>
              <w:rPr>
                <w:rFonts w:ascii="Palatino Linotype" w:hAnsi="Palatino Linotype"/>
                <w:i/>
                <w:iCs/>
              </w:rPr>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μ</m:t>
                        </m:r>
                      </m:e>
                      <m:sub>
                        <m:r>
                          <w:rPr>
                            <w:rFonts w:ascii="Cambria Math" w:hAnsi="Cambria Math"/>
                          </w:rPr>
                          <m:t>EGF</m:t>
                        </m:r>
                      </m:sub>
                    </m:sSub>
                  </m:e>
                  <m:sub>
                    <m:r>
                      <w:rPr>
                        <w:rFonts w:ascii="Cambria Math" w:hAnsi="Cambria Math"/>
                      </w:rPr>
                      <m:t>super</m:t>
                    </m:r>
                  </m:sub>
                </m:sSub>
              </m:oMath>
            </m:oMathPara>
          </w:p>
        </w:tc>
        <w:tc>
          <w:tcPr>
            <w:tcW w:w="1341" w:type="dxa"/>
            <w:shd w:val="clear" w:color="auto" w:fill="F2F2F2" w:themeFill="background1" w:themeFillShade="F2"/>
            <w:vAlign w:val="center"/>
          </w:tcPr>
          <w:p w14:paraId="7C5CCB9C" w14:textId="77777777" w:rsidR="00D1007E" w:rsidRDefault="00D1007E" w:rsidP="00C922A1">
            <w:pPr>
              <w:jc w:val="center"/>
              <w:rPr>
                <w:rFonts w:ascii="Palatino Linotype" w:hAnsi="Palatino Linotype"/>
                <w:i/>
                <w:iCs/>
              </w:rPr>
            </w:pPr>
            <w:r>
              <w:rPr>
                <w:rFonts w:ascii="Palatino Linotype" w:hAnsi="Palatino Linotype"/>
                <w:i/>
                <w:iCs/>
              </w:rPr>
              <w:t>0.0</w:t>
            </w:r>
          </w:p>
        </w:tc>
        <w:tc>
          <w:tcPr>
            <w:tcW w:w="1046" w:type="dxa"/>
            <w:shd w:val="clear" w:color="auto" w:fill="F2F2F2" w:themeFill="background1" w:themeFillShade="F2"/>
            <w:vAlign w:val="center"/>
          </w:tcPr>
          <w:p w14:paraId="0EFC2B7E" w14:textId="77777777" w:rsidR="00D1007E" w:rsidRDefault="00D1007E" w:rsidP="00C922A1">
            <w:pPr>
              <w:jc w:val="center"/>
              <w:rPr>
                <w:rFonts w:ascii="Palatino Linotype" w:hAnsi="Palatino Linotype"/>
                <w:i/>
                <w:iCs/>
              </w:rPr>
            </w:pPr>
            <m:oMathPara>
              <m:oMath>
                <m:r>
                  <w:rPr>
                    <w:rFonts w:ascii="Cambria Math" w:hAnsi="Cambria Math"/>
                  </w:rPr>
                  <m:t>-</m:t>
                </m:r>
              </m:oMath>
            </m:oMathPara>
          </w:p>
        </w:tc>
        <w:tc>
          <w:tcPr>
            <w:tcW w:w="2515" w:type="dxa"/>
            <w:shd w:val="clear" w:color="auto" w:fill="F2F2F2" w:themeFill="background1" w:themeFillShade="F2"/>
            <w:vAlign w:val="center"/>
          </w:tcPr>
          <w:p w14:paraId="7B1D3226" w14:textId="77777777" w:rsidR="00D1007E" w:rsidRPr="00841815" w:rsidRDefault="00D1007E" w:rsidP="00C922A1">
            <w:pPr>
              <w:rPr>
                <w:rFonts w:ascii="Palatino Linotype" w:hAnsi="Palatino Linotype"/>
                <w:i/>
                <w:iCs/>
                <w:sz w:val="14"/>
                <w:szCs w:val="14"/>
              </w:rPr>
            </w:pPr>
            <w:r w:rsidRPr="00A0494A">
              <w:rPr>
                <w:rFonts w:ascii="Palatino Linotype" w:hAnsi="Palatino Linotype"/>
                <w:i/>
                <w:iCs/>
                <w:sz w:val="14"/>
                <w:szCs w:val="14"/>
              </w:rPr>
              <w:t>How quickly superficial cells consume EGF</w:t>
            </w:r>
          </w:p>
        </w:tc>
      </w:tr>
      <w:tr w:rsidR="00D1007E" w14:paraId="318AD29F" w14:textId="77777777" w:rsidTr="00C922A1">
        <w:tc>
          <w:tcPr>
            <w:tcW w:w="2673" w:type="dxa"/>
            <w:shd w:val="clear" w:color="auto" w:fill="F2F2F2" w:themeFill="background1" w:themeFillShade="F2"/>
            <w:vAlign w:val="center"/>
          </w:tcPr>
          <w:p w14:paraId="3B623E56" w14:textId="77777777" w:rsidR="00D1007E" w:rsidRPr="001D26DA" w:rsidRDefault="00D1007E" w:rsidP="00C922A1">
            <w:pPr>
              <w:rPr>
                <w:rFonts w:ascii="Palatino Linotype" w:hAnsi="Palatino Linotype"/>
                <w:sz w:val="18"/>
                <w:szCs w:val="18"/>
              </w:rPr>
            </w:pPr>
            <w:proofErr w:type="spellStart"/>
            <w:r w:rsidRPr="00262D8C">
              <w:rPr>
                <w:rFonts w:ascii="Palatino Linotype" w:hAnsi="Palatino Linotype"/>
                <w:sz w:val="18"/>
                <w:szCs w:val="18"/>
              </w:rPr>
              <w:t>EGF_FieldUptakeWing</w:t>
            </w:r>
            <w:proofErr w:type="spellEnd"/>
          </w:p>
        </w:tc>
        <w:tc>
          <w:tcPr>
            <w:tcW w:w="1775" w:type="dxa"/>
            <w:shd w:val="clear" w:color="auto" w:fill="F2F2F2" w:themeFill="background1" w:themeFillShade="F2"/>
            <w:vAlign w:val="center"/>
          </w:tcPr>
          <w:p w14:paraId="42FE3AEA" w14:textId="77777777" w:rsidR="00D1007E" w:rsidRDefault="00D1007E" w:rsidP="00C922A1">
            <w:pPr>
              <w:jc w:val="center"/>
              <w:rPr>
                <w:rFonts w:ascii="Palatino Linotype" w:hAnsi="Palatino Linotype"/>
                <w:i/>
                <w:iCs/>
              </w:rPr>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μ</m:t>
                        </m:r>
                      </m:e>
                      <m:sub>
                        <m:r>
                          <w:rPr>
                            <w:rFonts w:ascii="Cambria Math" w:hAnsi="Cambria Math"/>
                          </w:rPr>
                          <m:t>EGF</m:t>
                        </m:r>
                      </m:sub>
                    </m:sSub>
                  </m:e>
                  <m:sub>
                    <m:r>
                      <w:rPr>
                        <w:rFonts w:ascii="Cambria Math" w:hAnsi="Cambria Math"/>
                      </w:rPr>
                      <m:t>wing</m:t>
                    </m:r>
                  </m:sub>
                </m:sSub>
              </m:oMath>
            </m:oMathPara>
          </w:p>
        </w:tc>
        <w:tc>
          <w:tcPr>
            <w:tcW w:w="1341" w:type="dxa"/>
            <w:shd w:val="clear" w:color="auto" w:fill="F2F2F2" w:themeFill="background1" w:themeFillShade="F2"/>
            <w:vAlign w:val="center"/>
          </w:tcPr>
          <w:p w14:paraId="2E26FC66" w14:textId="77777777" w:rsidR="00D1007E" w:rsidRDefault="00D1007E" w:rsidP="00C922A1">
            <w:pPr>
              <w:jc w:val="center"/>
              <w:rPr>
                <w:rFonts w:ascii="Palatino Linotype" w:hAnsi="Palatino Linotype"/>
                <w:i/>
                <w:iCs/>
              </w:rPr>
            </w:pPr>
            <w:r>
              <w:rPr>
                <w:rFonts w:ascii="Palatino Linotype" w:hAnsi="Palatino Linotype"/>
                <w:i/>
                <w:iCs/>
              </w:rPr>
              <w:t>0.0</w:t>
            </w:r>
          </w:p>
        </w:tc>
        <w:tc>
          <w:tcPr>
            <w:tcW w:w="1046" w:type="dxa"/>
            <w:shd w:val="clear" w:color="auto" w:fill="F2F2F2" w:themeFill="background1" w:themeFillShade="F2"/>
            <w:vAlign w:val="center"/>
          </w:tcPr>
          <w:p w14:paraId="28ADA348" w14:textId="77777777" w:rsidR="00D1007E" w:rsidRDefault="00D1007E" w:rsidP="00C922A1">
            <w:pPr>
              <w:jc w:val="center"/>
              <w:rPr>
                <w:rFonts w:ascii="Palatino Linotype" w:hAnsi="Palatino Linotype"/>
                <w:i/>
                <w:iCs/>
              </w:rPr>
            </w:pPr>
            <m:oMathPara>
              <m:oMath>
                <m:r>
                  <w:rPr>
                    <w:rFonts w:ascii="Cambria Math" w:hAnsi="Cambria Math"/>
                  </w:rPr>
                  <m:t>-</m:t>
                </m:r>
              </m:oMath>
            </m:oMathPara>
          </w:p>
        </w:tc>
        <w:tc>
          <w:tcPr>
            <w:tcW w:w="2515" w:type="dxa"/>
            <w:shd w:val="clear" w:color="auto" w:fill="F2F2F2" w:themeFill="background1" w:themeFillShade="F2"/>
            <w:vAlign w:val="center"/>
          </w:tcPr>
          <w:p w14:paraId="285DCCE9" w14:textId="77777777" w:rsidR="00D1007E" w:rsidRPr="00841815" w:rsidRDefault="00D1007E" w:rsidP="00C922A1">
            <w:pPr>
              <w:rPr>
                <w:rFonts w:ascii="Palatino Linotype" w:hAnsi="Palatino Linotype"/>
                <w:i/>
                <w:iCs/>
                <w:sz w:val="14"/>
                <w:szCs w:val="14"/>
              </w:rPr>
            </w:pPr>
            <w:r w:rsidRPr="00647C58">
              <w:rPr>
                <w:rFonts w:ascii="Palatino Linotype" w:hAnsi="Palatino Linotype"/>
                <w:i/>
                <w:iCs/>
                <w:sz w:val="14"/>
                <w:szCs w:val="14"/>
              </w:rPr>
              <w:t>How quickly wing cells consume EGF</w:t>
            </w:r>
          </w:p>
        </w:tc>
      </w:tr>
      <w:tr w:rsidR="00D1007E" w14:paraId="457B41AC" w14:textId="77777777" w:rsidTr="00C922A1">
        <w:tc>
          <w:tcPr>
            <w:tcW w:w="2673" w:type="dxa"/>
            <w:shd w:val="clear" w:color="auto" w:fill="F2F2F2" w:themeFill="background1" w:themeFillShade="F2"/>
            <w:vAlign w:val="center"/>
          </w:tcPr>
          <w:p w14:paraId="35BEFEA5" w14:textId="77777777" w:rsidR="00D1007E" w:rsidRPr="001D26DA" w:rsidRDefault="00D1007E" w:rsidP="00C922A1">
            <w:pPr>
              <w:rPr>
                <w:rFonts w:ascii="Palatino Linotype" w:hAnsi="Palatino Linotype"/>
                <w:sz w:val="18"/>
                <w:szCs w:val="18"/>
              </w:rPr>
            </w:pPr>
            <w:proofErr w:type="spellStart"/>
            <w:r w:rsidRPr="00D22CAC">
              <w:rPr>
                <w:rFonts w:ascii="Palatino Linotype" w:hAnsi="Palatino Linotype"/>
                <w:sz w:val="18"/>
                <w:szCs w:val="18"/>
              </w:rPr>
              <w:t>EGF_ScreteAmount</w:t>
            </w:r>
            <w:proofErr w:type="spellEnd"/>
          </w:p>
        </w:tc>
        <w:tc>
          <w:tcPr>
            <w:tcW w:w="1775" w:type="dxa"/>
            <w:shd w:val="clear" w:color="auto" w:fill="F2F2F2" w:themeFill="background1" w:themeFillShade="F2"/>
            <w:vAlign w:val="center"/>
          </w:tcPr>
          <w:p w14:paraId="7B3BD475" w14:textId="77777777" w:rsidR="00D1007E" w:rsidRDefault="00D1007E" w:rsidP="00C922A1">
            <w:pPr>
              <w:jc w:val="center"/>
              <w:rPr>
                <w:rFonts w:ascii="Palatino Linotype" w:hAnsi="Palatino Linotype"/>
                <w:i/>
                <w:iCs/>
              </w:rPr>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φ</m:t>
                        </m:r>
                      </m:e>
                      <m:sub>
                        <m:r>
                          <w:rPr>
                            <w:rFonts w:ascii="Cambria Math" w:hAnsi="Cambria Math"/>
                          </w:rPr>
                          <m:t>EGF</m:t>
                        </m:r>
                      </m:sub>
                    </m:sSub>
                  </m:e>
                  <m:sub>
                    <m:r>
                      <w:rPr>
                        <w:rFonts w:ascii="Cambria Math" w:hAnsi="Cambria Math"/>
                      </w:rPr>
                      <m:t>tear</m:t>
                    </m:r>
                  </m:sub>
                </m:sSub>
              </m:oMath>
            </m:oMathPara>
          </w:p>
        </w:tc>
        <w:tc>
          <w:tcPr>
            <w:tcW w:w="1341" w:type="dxa"/>
            <w:shd w:val="clear" w:color="auto" w:fill="F2F2F2" w:themeFill="background1" w:themeFillShade="F2"/>
            <w:vAlign w:val="center"/>
          </w:tcPr>
          <w:p w14:paraId="41528883" w14:textId="77777777" w:rsidR="00D1007E" w:rsidRDefault="00D1007E" w:rsidP="00C922A1">
            <w:pPr>
              <w:jc w:val="center"/>
              <w:rPr>
                <w:rFonts w:ascii="Palatino Linotype" w:hAnsi="Palatino Linotype"/>
                <w:i/>
                <w:iCs/>
              </w:rPr>
            </w:pPr>
            <w:r>
              <w:rPr>
                <w:rFonts w:ascii="Palatino Linotype" w:hAnsi="Palatino Linotype"/>
                <w:i/>
                <w:iCs/>
              </w:rPr>
              <w:t>1.0</w:t>
            </w:r>
          </w:p>
        </w:tc>
        <w:tc>
          <w:tcPr>
            <w:tcW w:w="1046" w:type="dxa"/>
            <w:shd w:val="clear" w:color="auto" w:fill="F2F2F2" w:themeFill="background1" w:themeFillShade="F2"/>
            <w:vAlign w:val="center"/>
          </w:tcPr>
          <w:p w14:paraId="164BD4BF" w14:textId="599C180B" w:rsidR="00D1007E" w:rsidRDefault="00D1007E" w:rsidP="00C922A1">
            <w:pPr>
              <w:jc w:val="center"/>
              <w:rPr>
                <w:rFonts w:ascii="Palatino Linotype" w:hAnsi="Palatino Linotype"/>
                <w:i/>
                <w:iCs/>
              </w:rPr>
            </w:pPr>
            <w:r w:rsidRPr="00EF5BB5">
              <w:rPr>
                <w:rFonts w:ascii="Palatino Linotype" w:hAnsi="Palatino Linotype"/>
                <w:i/>
                <w:iCs/>
                <w:sz w:val="14"/>
                <w:szCs w:val="14"/>
              </w:rPr>
              <w:fldChar w:fldCharType="begin"/>
            </w:r>
            <w:r w:rsidR="006255BF">
              <w:rPr>
                <w:rFonts w:ascii="Palatino Linotype" w:hAnsi="Palatino Linotype"/>
                <w:i/>
                <w:iCs/>
                <w:sz w:val="14"/>
                <w:szCs w:val="14"/>
              </w:rPr>
              <w:instrText xml:space="preserve"> ADDIN ZOTERO_ITEM CSL_CITATION {"citationID":"a19salcissv","properties":{"formattedCitation":"(3,4)","plainCitation":"(3,4)","noteIndex":0},"citationItems":[{"id":46,"uris":["http://zotero.org/users/local/kXPGHtSM/items/6YFTIANI","http://zotero.org/users/10714330/items/6YFTIANI"],"itemData":{"id":46,"type":"article-journal","abstract":"A properly functioning cornea is critical to clear vision and healthy eyes. As the most anterior portion of the eye, it plays an essential role in refracting light onto the retina and as an anatomical barrier to the environment. Proper vision requires that all layers be properly formed and fully intact. In this article, we discuss the role of the epidermal growth factor receptor (EGFR) in maintaining and restoring the outermost layer of the cornea, the epithelium. It has been known for some time that the addition of epidermal growth factor (EGF) promotes the restoration of the corneal epithelium and patients using EGFR inhibitors as anti-cancer therapies are at increased risk of corneal erosions. However, the use of EGF in the clinic has been limited by downregulation of the receptor. More recent advances in EGFR signaling and trafﬁcking in corneal epithelial cells have provided new insights in how to overcome receptor desensitization. We examine new strategies for overcoming the limitations of high ligand and receptor expression that alter trafﬁcking of the ligand:receptor complex to sustain receptor signaling.","container-title":"Cells","DOI":"10.3390/cells10092409","ISSN":"2073-4409","issue":"9","journalAbbreviation":"Cells","language":"en","page":"2409","source":"DOI.org (Crossref)","title":"Epidermal Growth Factor Receptor Expression in the Corneal Epithelium","volume":"10","author":[{"family":"Peterson","given":"Joanne L."},{"family":"Ceresa","given":"Brian P."}],"issued":{"date-parts":[["2021",9,13]]}}},{"id":172,"uris":["http://zotero.org/users/local/kXPGHtSM/items/KTZW3CZS","http://zotero.org/users/10714330/items/KTZW3CZS"],"itemData":{"id":172,"type":"article-journal","abstract":"To compare tear epidermal growth factor (EGF) concentration in dry eye (DE) conditions and determine correlations between EGF levels and severity of symptoms and ocular surface signs.    In this prospective case–control study, 35 patients with DE, including subgroups with meibomian gland disease (MGD), Sjögren's syndrome (SS) aqueous tear deficiency, or neurotrophic keratopathy (NK), and 17 asymptomatic control subjects were evaluated. Symptoms, Schirmer test, fluorescein clearance test (FCT), EGF concentration, dye staining, and the presence of corneal subepithelial fibrosis and meibomian gland (MG) orifice metaplasia were recorded. Tear EGF and the severity of irritation and ocular surface signs were correlated.    Tear EGF was higher in MGD than in the control (P = 0.03) and was lower in SS than in the control (P &amp;lt; 0.0001; MGD (P &amp;lt; 0.05) and NK (P &amp;lt; 0.01) groups. The DE subgroup with results in the FCT &amp;gt; 3 and Schirmer 1 ≥ 8 had higher EGF levels than the group with FCT &amp;gt; 3 and Schirmer 1 &amp;lt; 8 and both groups with good tear clearance (P &amp;lt; 0.01). Tear EGF levels correlated inversely with conjunctival (r = −0.49, P = 0.0032) and corneal (r = −0.39, P = 0.022) dye staining and positively with MG orifice metaplasia (r = 0.36, P = 0.03) and corneal subepithelial fibrosis (r = 0.5, P = 0.0006).    Tear EGF concentration was increased in eyes with MGD, corneal subepithelial fibrosis, and MG orifice metaplasia. Elevated tear EGF may promote development of corneal subepithelial fibrosis and lid margin changes.","container-title":"Investigative Ophthalmology &amp; Visual Science","DOI":"10.1167/iovs.09-3875","ISSN":"1552-5783","issue":"2","journalAbbreviation":"Investigative Ophthalmology &amp; Visual Science","page":"844-849","source":"Silverchair","title":"Association between High Tear Epidermal Growth Factor Levels and Corneal Subepithelial Fibrosis in Dry Eye Conditions","volume":"51","author":[{"family":"Rao","given":"Kavita"},{"family":"Farley","given":"William J."},{"family":"Pflugfelder","given":"Stephen C."}],"issued":{"date-parts":[["2010",2,1]]}}}],"schema":"https://github.com/citation-style-language/schema/raw/master/csl-citation.json"} </w:instrText>
            </w:r>
            <w:r w:rsidRPr="00EF5BB5">
              <w:rPr>
                <w:rFonts w:ascii="Palatino Linotype" w:hAnsi="Palatino Linotype"/>
                <w:i/>
                <w:iCs/>
                <w:sz w:val="14"/>
                <w:szCs w:val="14"/>
              </w:rPr>
              <w:fldChar w:fldCharType="separate"/>
            </w:r>
            <w:r w:rsidR="006255BF" w:rsidRPr="006255BF">
              <w:rPr>
                <w:rFonts w:ascii="Palatino Linotype" w:hAnsi="Palatino Linotype"/>
                <w:sz w:val="14"/>
              </w:rPr>
              <w:t>(3,4)</w:t>
            </w:r>
            <w:r w:rsidRPr="00EF5BB5">
              <w:rPr>
                <w:rFonts w:ascii="Palatino Linotype" w:hAnsi="Palatino Linotype"/>
                <w:i/>
                <w:iCs/>
                <w:sz w:val="14"/>
                <w:szCs w:val="14"/>
              </w:rPr>
              <w:fldChar w:fldCharType="end"/>
            </w:r>
          </w:p>
        </w:tc>
        <w:tc>
          <w:tcPr>
            <w:tcW w:w="2515" w:type="dxa"/>
            <w:shd w:val="clear" w:color="auto" w:fill="F2F2F2" w:themeFill="background1" w:themeFillShade="F2"/>
            <w:vAlign w:val="center"/>
          </w:tcPr>
          <w:p w14:paraId="762D5DFA" w14:textId="77777777" w:rsidR="00D1007E" w:rsidRPr="00841815" w:rsidRDefault="00D1007E" w:rsidP="00C922A1">
            <w:pPr>
              <w:rPr>
                <w:rFonts w:ascii="Palatino Linotype" w:hAnsi="Palatino Linotype"/>
                <w:i/>
                <w:iCs/>
                <w:sz w:val="14"/>
                <w:szCs w:val="14"/>
              </w:rPr>
            </w:pPr>
            <w:r w:rsidRPr="004E4621">
              <w:rPr>
                <w:rFonts w:ascii="Palatino Linotype" w:hAnsi="Palatino Linotype"/>
                <w:i/>
                <w:iCs/>
                <w:sz w:val="14"/>
                <w:szCs w:val="14"/>
              </w:rPr>
              <w:t xml:space="preserve">The constant amount of EGF introduced into the system </w:t>
            </w:r>
            <w:r>
              <w:rPr>
                <w:rFonts w:ascii="Palatino Linotype" w:hAnsi="Palatino Linotype"/>
                <w:i/>
                <w:iCs/>
                <w:sz w:val="14"/>
                <w:szCs w:val="14"/>
              </w:rPr>
              <w:t xml:space="preserve">from </w:t>
            </w:r>
            <w:r w:rsidRPr="004E4621">
              <w:rPr>
                <w:rFonts w:ascii="Palatino Linotype" w:hAnsi="Palatino Linotype"/>
                <w:i/>
                <w:iCs/>
                <w:sz w:val="14"/>
                <w:szCs w:val="14"/>
              </w:rPr>
              <w:t>tears</w:t>
            </w:r>
            <w:r>
              <w:rPr>
                <w:rFonts w:ascii="Palatino Linotype" w:hAnsi="Palatino Linotype"/>
                <w:i/>
                <w:iCs/>
                <w:sz w:val="14"/>
                <w:szCs w:val="14"/>
              </w:rPr>
              <w:t>. The value for secretion was normalized to have the max value of 1 throughout the simulated space.</w:t>
            </w:r>
          </w:p>
        </w:tc>
      </w:tr>
      <w:tr w:rsidR="00D1007E" w14:paraId="002DEF24" w14:textId="77777777" w:rsidTr="00C922A1">
        <w:tc>
          <w:tcPr>
            <w:tcW w:w="2673" w:type="dxa"/>
            <w:tcBorders>
              <w:bottom w:val="single" w:sz="4" w:space="0" w:color="auto"/>
            </w:tcBorders>
            <w:shd w:val="clear" w:color="auto" w:fill="F2F2F2" w:themeFill="background1" w:themeFillShade="F2"/>
            <w:vAlign w:val="center"/>
          </w:tcPr>
          <w:p w14:paraId="24933515" w14:textId="77777777" w:rsidR="00D1007E" w:rsidRPr="001D26DA" w:rsidRDefault="00D1007E" w:rsidP="00C922A1">
            <w:pPr>
              <w:rPr>
                <w:rFonts w:ascii="Palatino Linotype" w:hAnsi="Palatino Linotype"/>
                <w:sz w:val="18"/>
                <w:szCs w:val="18"/>
              </w:rPr>
            </w:pPr>
            <w:proofErr w:type="spellStart"/>
            <w:r w:rsidRPr="00D22CAC">
              <w:rPr>
                <w:rFonts w:ascii="Palatino Linotype" w:hAnsi="Palatino Linotype"/>
                <w:sz w:val="18"/>
                <w:szCs w:val="18"/>
              </w:rPr>
              <w:t>EGF_GlobalDecay</w:t>
            </w:r>
            <w:proofErr w:type="spellEnd"/>
          </w:p>
        </w:tc>
        <w:tc>
          <w:tcPr>
            <w:tcW w:w="1775" w:type="dxa"/>
            <w:tcBorders>
              <w:bottom w:val="single" w:sz="4" w:space="0" w:color="auto"/>
            </w:tcBorders>
            <w:shd w:val="clear" w:color="auto" w:fill="F2F2F2" w:themeFill="background1" w:themeFillShade="F2"/>
            <w:vAlign w:val="center"/>
          </w:tcPr>
          <w:p w14:paraId="3E68390D" w14:textId="77777777" w:rsidR="00D1007E" w:rsidRDefault="00D1007E" w:rsidP="00C922A1">
            <w:pPr>
              <w:jc w:val="center"/>
              <w:rPr>
                <w:rFonts w:ascii="Palatino Linotype" w:hAnsi="Palatino Linotype"/>
                <w:i/>
                <w:iCs/>
              </w:rPr>
            </w:pPr>
            <m:oMathPara>
              <m:oMath>
                <m:sSub>
                  <m:sSubPr>
                    <m:ctrlPr>
                      <w:rPr>
                        <w:rFonts w:ascii="Cambria Math" w:hAnsi="Cambria Math"/>
                        <w:bCs/>
                        <w:i/>
                        <w:iCs/>
                        <w:lang w:bidi="en-US"/>
                      </w:rPr>
                    </m:ctrlPr>
                  </m:sSubPr>
                  <m:e>
                    <m:sSub>
                      <m:sSubPr>
                        <m:ctrlPr>
                          <w:rPr>
                            <w:rFonts w:ascii="Cambria Math" w:hAnsi="Cambria Math"/>
                            <w:i/>
                            <w:iCs/>
                          </w:rPr>
                        </m:ctrlPr>
                      </m:sSubPr>
                      <m:e>
                        <m:r>
                          <w:rPr>
                            <w:rFonts w:ascii="Cambria Math" w:hAnsi="Cambria Math"/>
                          </w:rPr>
                          <m:t>k</m:t>
                        </m:r>
                      </m:e>
                      <m:sub>
                        <m:r>
                          <w:rPr>
                            <w:rFonts w:ascii="Cambria Math" w:hAnsi="Cambria Math"/>
                          </w:rPr>
                          <m:t>d</m:t>
                        </m:r>
                      </m:sub>
                    </m:sSub>
                  </m:e>
                  <m:sub>
                    <m:r>
                      <w:rPr>
                        <w:rFonts w:ascii="Cambria Math" w:hAnsi="Cambria Math"/>
                        <w:lang w:bidi="en-US"/>
                      </w:rPr>
                      <m:t>EGF</m:t>
                    </m:r>
                  </m:sub>
                </m:sSub>
              </m:oMath>
            </m:oMathPara>
          </w:p>
        </w:tc>
        <w:tc>
          <w:tcPr>
            <w:tcW w:w="1341" w:type="dxa"/>
            <w:tcBorders>
              <w:bottom w:val="single" w:sz="4" w:space="0" w:color="auto"/>
            </w:tcBorders>
            <w:shd w:val="clear" w:color="auto" w:fill="F2F2F2" w:themeFill="background1" w:themeFillShade="F2"/>
            <w:vAlign w:val="center"/>
          </w:tcPr>
          <w:p w14:paraId="3F617A12" w14:textId="77777777" w:rsidR="00D1007E" w:rsidRDefault="00D1007E" w:rsidP="00C922A1">
            <w:pPr>
              <w:jc w:val="center"/>
              <w:rPr>
                <w:rFonts w:ascii="Palatino Linotype" w:hAnsi="Palatino Linotype"/>
                <w:i/>
                <w:iCs/>
              </w:rPr>
            </w:pPr>
            <w:r>
              <w:rPr>
                <w:rFonts w:ascii="Palatino Linotype" w:hAnsi="Palatino Linotype"/>
                <w:i/>
                <w:iCs/>
              </w:rPr>
              <w:t>0.5</w:t>
            </w:r>
          </w:p>
        </w:tc>
        <w:tc>
          <w:tcPr>
            <w:tcW w:w="1046" w:type="dxa"/>
            <w:tcBorders>
              <w:bottom w:val="single" w:sz="4" w:space="0" w:color="auto"/>
            </w:tcBorders>
            <w:shd w:val="clear" w:color="auto" w:fill="F2F2F2" w:themeFill="background1" w:themeFillShade="F2"/>
            <w:vAlign w:val="center"/>
          </w:tcPr>
          <w:p w14:paraId="1994CFEB" w14:textId="771ED09C" w:rsidR="00D1007E" w:rsidRDefault="00D1007E" w:rsidP="00C922A1">
            <w:pPr>
              <w:jc w:val="center"/>
              <w:rPr>
                <w:rFonts w:ascii="Palatino Linotype" w:hAnsi="Palatino Linotype"/>
                <w:i/>
                <w:iCs/>
              </w:rPr>
            </w:pPr>
            <w:r w:rsidRPr="004F3790">
              <w:rPr>
                <w:rFonts w:ascii="Palatino Linotype" w:eastAsia="Aptos" w:hAnsi="Palatino Linotype" w:cs="Arial"/>
                <w:i/>
                <w:sz w:val="14"/>
                <w:szCs w:val="14"/>
              </w:rPr>
              <w:fldChar w:fldCharType="begin"/>
            </w:r>
            <w:r w:rsidR="006255BF">
              <w:rPr>
                <w:rFonts w:ascii="Palatino Linotype" w:eastAsia="Aptos" w:hAnsi="Palatino Linotype" w:cs="Arial"/>
                <w:i/>
                <w:sz w:val="14"/>
                <w:szCs w:val="14"/>
              </w:rPr>
              <w:instrText xml:space="preserve"> ADDIN ZOTERO_ITEM CSL_CITATION {"citationID":"W7YKf1bN","properties":{"formattedCitation":"(5)","plainCitation":"(5)","noteIndex":0},"citationItems":[{"id":276,"uris":["http://zotero.org/users/local/kXPGHtSM/items/HQD83PET","http://zotero.org/users/10714330/items/HQD83PET"],"itemData":{"id":276,"type":"article-journal","abstract":"This study investigated the pharmacokinetics of recombinant human epidermal growth factor (EGF) in the eyes of live rabbits and enucleated human eyes. After intracameral injection of 1.2 muCi (1.1 micrograms) of 125I-EGF into rabbit eyes, tissues in the anterior segment were analyzed for uptake of 125I-EGF after 1, 2, 4, and 24 hr. The half-life of EGF during the initial 4 hr was 1.3 +/- 0.6 hr (+/- the confidence limit at P = 0.05) in the cornea, 0.7 +/- 0.4 hr in the iris, 1.9 +/- 0.9 hr in the lens, and 0.6 +/- 0.5 hr in the aqueous humor (n = 18 for each tissue). Between 4-24 hr, the percent retention of EGF in the tissues (relative to the initial amount in respective tissue) is in the order of lens greater than cornea greater than iris greater than aqueous humor. The kinetics of EGF uptake by excised human corneas was determined by incubating the endothelial surface with 1.2 muCi/ml (100 ng/ml) of 125I-EGF for 4 hr at 37 degrees C or 4 degrees C. After 4 hr, the total amount of EGF accumulated in the corneas was 2.3 +/- 0.2 ng (+/- standard deviation; n = 6) at 37 degrees C, and 1.4 +/- 0.1 ng at 4 degrees C.(ABSTRACT TRUNCATED AT 250 WORDS)","container-title":"Investigative Ophthalmology &amp; Visual Science","ISSN":"0146-0404","issue":"13","journalAbbreviation":"Invest Ophthalmol Vis Sci","language":"eng","note":"PMID: 1748552","page":"3209-3215","source":"PubMed","title":"Pharmacokinetic study of recombinant human epidermal growth factor in the anterior eye","volume":"32","author":[{"family":"Chan","given":"K. Y."},{"family":"Lindquist","given":"T. D."},{"family":"Edenfield","given":"M. J."},{"family":"Nicolson","given":"M. A."},{"family":"Banks","given":"A. R."}],"issued":{"date-parts":[["1991",12]]}}}],"schema":"https://github.com/citation-style-language/schema/raw/master/csl-citation.json"} </w:instrText>
            </w:r>
            <w:r w:rsidRPr="004F3790">
              <w:rPr>
                <w:rFonts w:ascii="Palatino Linotype" w:eastAsia="Aptos" w:hAnsi="Palatino Linotype" w:cs="Arial"/>
                <w:i/>
                <w:sz w:val="14"/>
                <w:szCs w:val="14"/>
              </w:rPr>
              <w:fldChar w:fldCharType="separate"/>
            </w:r>
            <w:r w:rsidR="006255BF" w:rsidRPr="006255BF">
              <w:rPr>
                <w:rFonts w:ascii="Palatino Linotype" w:hAnsi="Palatino Linotype"/>
                <w:sz w:val="14"/>
              </w:rPr>
              <w:t>(5)</w:t>
            </w:r>
            <w:r w:rsidRPr="004F3790">
              <w:rPr>
                <w:rFonts w:ascii="Palatino Linotype" w:eastAsia="Aptos" w:hAnsi="Palatino Linotype" w:cs="Arial"/>
                <w:i/>
                <w:sz w:val="14"/>
                <w:szCs w:val="14"/>
              </w:rPr>
              <w:fldChar w:fldCharType="end"/>
            </w:r>
          </w:p>
        </w:tc>
        <w:tc>
          <w:tcPr>
            <w:tcW w:w="2515" w:type="dxa"/>
            <w:shd w:val="clear" w:color="auto" w:fill="F2F2F2" w:themeFill="background1" w:themeFillShade="F2"/>
            <w:vAlign w:val="center"/>
          </w:tcPr>
          <w:p w14:paraId="7CF939DE" w14:textId="77777777" w:rsidR="00D1007E" w:rsidRPr="00841815" w:rsidRDefault="00D1007E" w:rsidP="00C922A1">
            <w:pPr>
              <w:rPr>
                <w:rFonts w:ascii="Palatino Linotype" w:hAnsi="Palatino Linotype"/>
                <w:i/>
                <w:iCs/>
                <w:sz w:val="14"/>
                <w:szCs w:val="14"/>
              </w:rPr>
            </w:pPr>
            <w:r w:rsidRPr="00647C58">
              <w:rPr>
                <w:rFonts w:ascii="Palatino Linotype" w:hAnsi="Palatino Linotype"/>
                <w:i/>
                <w:iCs/>
                <w:sz w:val="14"/>
                <w:szCs w:val="14"/>
              </w:rPr>
              <w:t>The overall rate at which EGF naturally breaks down (decays) over time</w:t>
            </w:r>
            <w:r>
              <w:rPr>
                <w:rFonts w:ascii="Palatino Linotype" w:hAnsi="Palatino Linotype"/>
                <w:i/>
                <w:iCs/>
                <w:sz w:val="14"/>
                <w:szCs w:val="14"/>
              </w:rPr>
              <w:t xml:space="preserve">. The values </w:t>
            </w:r>
            <w:r w:rsidRPr="00B431D6">
              <w:rPr>
                <w:rFonts w:ascii="Palatino Linotype" w:hAnsi="Palatino Linotype"/>
                <w:i/>
                <w:iCs/>
                <w:sz w:val="14"/>
                <w:szCs w:val="14"/>
              </w:rPr>
              <w:t xml:space="preserve">of EGF half-life </w:t>
            </w:r>
            <w:r>
              <w:rPr>
                <w:rFonts w:ascii="Palatino Linotype" w:hAnsi="Palatino Linotype"/>
                <w:i/>
                <w:iCs/>
                <w:sz w:val="14"/>
                <w:szCs w:val="14"/>
              </w:rPr>
              <w:t>from the reference was 78 min +- 36 min</w:t>
            </w:r>
            <w:r>
              <w:rPr>
                <w:rFonts w:ascii="Palatino Linotype" w:hAnsi="Palatino Linotype"/>
                <w:i/>
                <w:iCs/>
                <w:sz w:val="14"/>
                <w:szCs w:val="14"/>
              </w:rPr>
              <w:br/>
              <w:t>transformed into</w:t>
            </w:r>
            <w:r w:rsidRPr="00AD10DA">
              <w:rPr>
                <w:rFonts w:ascii="Courier New" w:hAnsi="Courier New" w:cs="Courier New"/>
                <w:color w:val="236E25"/>
                <w:sz w:val="20"/>
                <w:szCs w:val="20"/>
              </w:rPr>
              <w:t xml:space="preserve"> </w:t>
            </w:r>
            <w:r w:rsidRPr="00AD10DA">
              <w:rPr>
                <w:rFonts w:ascii="Palatino Linotype" w:hAnsi="Palatino Linotype"/>
                <w:i/>
                <w:iCs/>
                <w:sz w:val="14"/>
                <w:szCs w:val="14"/>
              </w:rPr>
              <w:t>≈ 0.</w:t>
            </w:r>
            <w:r>
              <w:rPr>
                <w:rFonts w:ascii="Palatino Linotype" w:hAnsi="Palatino Linotype"/>
                <w:i/>
                <w:iCs/>
                <w:sz w:val="14"/>
                <w:szCs w:val="14"/>
              </w:rPr>
              <w:t>1</w:t>
            </w:r>
            <w:r w:rsidRPr="00AD10DA">
              <w:rPr>
                <w:rFonts w:ascii="Palatino Linotype" w:hAnsi="Palatino Linotype"/>
                <w:i/>
                <w:iCs/>
                <w:sz w:val="14"/>
                <w:szCs w:val="14"/>
              </w:rPr>
              <w:t xml:space="preserve"> per </w:t>
            </w:r>
            <w:r>
              <w:rPr>
                <w:rFonts w:ascii="Palatino Linotype" w:hAnsi="Palatino Linotype"/>
                <w:i/>
                <w:iCs/>
                <w:sz w:val="14"/>
                <w:szCs w:val="14"/>
              </w:rPr>
              <w:t xml:space="preserve">MCS, value used is higher to account for </w:t>
            </w:r>
            <w:r>
              <w:rPr>
                <w:rFonts w:ascii="Palatino Linotype" w:hAnsi="Palatino Linotype"/>
                <w:i/>
                <w:iCs/>
                <w:sz w:val="14"/>
                <w:szCs w:val="14"/>
              </w:rPr>
              <w:lastRenderedPageBreak/>
              <w:t>other things like uptake, evaporation and sequestration.</w:t>
            </w:r>
          </w:p>
        </w:tc>
      </w:tr>
      <w:tr w:rsidR="00D1007E" w14:paraId="387EC945" w14:textId="77777777" w:rsidTr="00C922A1">
        <w:tc>
          <w:tcPr>
            <w:tcW w:w="2673" w:type="dxa"/>
            <w:tcBorders>
              <w:right w:val="nil"/>
            </w:tcBorders>
            <w:vAlign w:val="center"/>
          </w:tcPr>
          <w:p w14:paraId="7D3BE45B" w14:textId="77777777" w:rsidR="00D1007E" w:rsidRPr="007A4DED" w:rsidRDefault="00D1007E" w:rsidP="00C922A1">
            <w:pPr>
              <w:rPr>
                <w:rFonts w:ascii="Palatino Linotype" w:hAnsi="Palatino Linotype"/>
                <w:b/>
                <w:bCs/>
                <w:sz w:val="18"/>
                <w:szCs w:val="18"/>
              </w:rPr>
            </w:pPr>
            <w:r w:rsidRPr="007A4DED">
              <w:rPr>
                <w:rFonts w:ascii="Palatino Linotype" w:hAnsi="Palatino Linotype"/>
                <w:b/>
                <w:bCs/>
                <w:sz w:val="18"/>
                <w:szCs w:val="18"/>
              </w:rPr>
              <w:lastRenderedPageBreak/>
              <w:t>Movement Bias Field</w:t>
            </w:r>
          </w:p>
        </w:tc>
        <w:tc>
          <w:tcPr>
            <w:tcW w:w="1775" w:type="dxa"/>
            <w:tcBorders>
              <w:left w:val="nil"/>
              <w:right w:val="nil"/>
            </w:tcBorders>
            <w:vAlign w:val="center"/>
          </w:tcPr>
          <w:p w14:paraId="7DB484AC" w14:textId="77777777" w:rsidR="00D1007E" w:rsidRDefault="00D1007E" w:rsidP="00C922A1">
            <w:pPr>
              <w:jc w:val="center"/>
              <w:rPr>
                <w:rFonts w:ascii="Palatino Linotype" w:hAnsi="Palatino Linotype"/>
                <w:i/>
                <w:iCs/>
              </w:rPr>
            </w:pPr>
          </w:p>
        </w:tc>
        <w:tc>
          <w:tcPr>
            <w:tcW w:w="1341" w:type="dxa"/>
            <w:tcBorders>
              <w:left w:val="nil"/>
              <w:right w:val="nil"/>
            </w:tcBorders>
            <w:vAlign w:val="center"/>
          </w:tcPr>
          <w:p w14:paraId="1152AE40" w14:textId="77777777" w:rsidR="00D1007E" w:rsidRDefault="00D1007E" w:rsidP="00C922A1">
            <w:pPr>
              <w:jc w:val="center"/>
              <w:rPr>
                <w:rFonts w:ascii="Palatino Linotype" w:hAnsi="Palatino Linotype"/>
                <w:i/>
                <w:iCs/>
              </w:rPr>
            </w:pPr>
          </w:p>
        </w:tc>
        <w:tc>
          <w:tcPr>
            <w:tcW w:w="1046" w:type="dxa"/>
            <w:tcBorders>
              <w:left w:val="nil"/>
              <w:right w:val="nil"/>
            </w:tcBorders>
            <w:vAlign w:val="center"/>
          </w:tcPr>
          <w:p w14:paraId="2BF39927" w14:textId="77777777" w:rsidR="00D1007E" w:rsidRDefault="00D1007E" w:rsidP="00C922A1">
            <w:pPr>
              <w:jc w:val="center"/>
              <w:rPr>
                <w:rFonts w:ascii="Palatino Linotype" w:hAnsi="Palatino Linotype"/>
                <w:i/>
                <w:iCs/>
              </w:rPr>
            </w:pPr>
          </w:p>
        </w:tc>
        <w:tc>
          <w:tcPr>
            <w:tcW w:w="2515" w:type="dxa"/>
            <w:tcBorders>
              <w:left w:val="nil"/>
            </w:tcBorders>
            <w:vAlign w:val="center"/>
          </w:tcPr>
          <w:p w14:paraId="3B474715" w14:textId="77777777" w:rsidR="00D1007E" w:rsidRPr="00841815" w:rsidRDefault="00D1007E" w:rsidP="00C922A1">
            <w:pPr>
              <w:rPr>
                <w:rFonts w:ascii="Palatino Linotype" w:hAnsi="Palatino Linotype"/>
                <w:i/>
                <w:iCs/>
                <w:sz w:val="14"/>
                <w:szCs w:val="14"/>
              </w:rPr>
            </w:pPr>
          </w:p>
        </w:tc>
      </w:tr>
      <w:tr w:rsidR="00D1007E" w14:paraId="570E9BB2" w14:textId="77777777" w:rsidTr="00C922A1">
        <w:tc>
          <w:tcPr>
            <w:tcW w:w="2673" w:type="dxa"/>
            <w:vAlign w:val="center"/>
          </w:tcPr>
          <w:p w14:paraId="72FC3155" w14:textId="77777777" w:rsidR="00D1007E" w:rsidRPr="001D26DA" w:rsidRDefault="00D1007E" w:rsidP="00C922A1">
            <w:pPr>
              <w:rPr>
                <w:rFonts w:ascii="Palatino Linotype" w:hAnsi="Palatino Linotype"/>
                <w:sz w:val="18"/>
                <w:szCs w:val="18"/>
              </w:rPr>
            </w:pPr>
            <w:proofErr w:type="spellStart"/>
            <w:r w:rsidRPr="007A4DED">
              <w:rPr>
                <w:rFonts w:ascii="Palatino Linotype" w:hAnsi="Palatino Linotype"/>
                <w:sz w:val="18"/>
                <w:szCs w:val="18"/>
              </w:rPr>
              <w:t>MovementBiasScreteAmount</w:t>
            </w:r>
            <w:proofErr w:type="spellEnd"/>
          </w:p>
        </w:tc>
        <w:tc>
          <w:tcPr>
            <w:tcW w:w="1775" w:type="dxa"/>
            <w:vAlign w:val="center"/>
          </w:tcPr>
          <w:p w14:paraId="4FFD7ED7" w14:textId="77777777" w:rsidR="00D1007E" w:rsidRDefault="00D1007E" w:rsidP="00C922A1">
            <w:pPr>
              <w:jc w:val="center"/>
              <w:rPr>
                <w:rFonts w:ascii="Palatino Linotype" w:hAnsi="Palatino Linotype"/>
                <w:i/>
                <w:iCs/>
              </w:rPr>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φ</m:t>
                        </m:r>
                      </m:e>
                      <m:sub>
                        <m:r>
                          <w:rPr>
                            <w:rFonts w:ascii="Cambria Math" w:hAnsi="Cambria Math"/>
                          </w:rPr>
                          <m:t>Mbias</m:t>
                        </m:r>
                      </m:sub>
                    </m:sSub>
                  </m:e>
                  <m:sub>
                    <m:r>
                      <w:rPr>
                        <w:rFonts w:ascii="Cambria Math" w:hAnsi="Cambria Math"/>
                      </w:rPr>
                      <m:t>memb, limb</m:t>
                    </m:r>
                  </m:sub>
                </m:sSub>
              </m:oMath>
            </m:oMathPara>
          </w:p>
        </w:tc>
        <w:tc>
          <w:tcPr>
            <w:tcW w:w="1341" w:type="dxa"/>
            <w:vAlign w:val="center"/>
          </w:tcPr>
          <w:p w14:paraId="4AF7ECC6" w14:textId="77777777" w:rsidR="00D1007E" w:rsidRDefault="00D1007E" w:rsidP="00C922A1">
            <w:pPr>
              <w:jc w:val="center"/>
              <w:rPr>
                <w:rFonts w:ascii="Palatino Linotype" w:hAnsi="Palatino Linotype"/>
                <w:i/>
                <w:iCs/>
              </w:rPr>
            </w:pPr>
            <w:r>
              <w:rPr>
                <w:rFonts w:ascii="Palatino Linotype" w:hAnsi="Palatino Linotype"/>
                <w:i/>
                <w:iCs/>
              </w:rPr>
              <w:t>1.0</w:t>
            </w:r>
          </w:p>
        </w:tc>
        <w:tc>
          <w:tcPr>
            <w:tcW w:w="1046" w:type="dxa"/>
            <w:vAlign w:val="center"/>
          </w:tcPr>
          <w:p w14:paraId="24434CA3" w14:textId="77777777" w:rsidR="00D1007E" w:rsidRDefault="00D1007E" w:rsidP="00C922A1">
            <w:pPr>
              <w:jc w:val="center"/>
              <w:rPr>
                <w:rFonts w:ascii="Palatino Linotype" w:hAnsi="Palatino Linotype"/>
                <w:i/>
                <w:iCs/>
              </w:rPr>
            </w:pPr>
            <m:oMathPara>
              <m:oMath>
                <m:r>
                  <w:rPr>
                    <w:rFonts w:ascii="Cambria Math" w:hAnsi="Cambria Math"/>
                  </w:rPr>
                  <m:t>-</m:t>
                </m:r>
              </m:oMath>
            </m:oMathPara>
          </w:p>
        </w:tc>
        <w:tc>
          <w:tcPr>
            <w:tcW w:w="2515" w:type="dxa"/>
            <w:vAlign w:val="center"/>
          </w:tcPr>
          <w:p w14:paraId="44DFC17C" w14:textId="77777777" w:rsidR="00D1007E" w:rsidRPr="00841815" w:rsidRDefault="00D1007E" w:rsidP="00C922A1">
            <w:pPr>
              <w:rPr>
                <w:rFonts w:ascii="Palatino Linotype" w:hAnsi="Palatino Linotype"/>
                <w:i/>
                <w:iCs/>
                <w:sz w:val="14"/>
                <w:szCs w:val="14"/>
              </w:rPr>
            </w:pPr>
            <w:r w:rsidRPr="00841815">
              <w:rPr>
                <w:rFonts w:ascii="Palatino Linotype" w:hAnsi="Palatino Linotype"/>
                <w:i/>
                <w:iCs/>
                <w:sz w:val="14"/>
                <w:szCs w:val="14"/>
              </w:rPr>
              <w:t>The constant amount of chemoattractant secreted by the boundary (Bowman's membrane) to guide cell movement.</w:t>
            </w:r>
          </w:p>
        </w:tc>
      </w:tr>
      <w:tr w:rsidR="00D1007E" w14:paraId="00F08202" w14:textId="77777777" w:rsidTr="00C922A1">
        <w:tc>
          <w:tcPr>
            <w:tcW w:w="2673" w:type="dxa"/>
            <w:vAlign w:val="center"/>
          </w:tcPr>
          <w:p w14:paraId="6677D9D9" w14:textId="77777777" w:rsidR="00D1007E" w:rsidRPr="007A4DED" w:rsidRDefault="00D1007E" w:rsidP="00C922A1">
            <w:pPr>
              <w:rPr>
                <w:rFonts w:ascii="Palatino Linotype" w:hAnsi="Palatino Linotype"/>
                <w:sz w:val="18"/>
                <w:szCs w:val="18"/>
              </w:rPr>
            </w:pPr>
            <w:proofErr w:type="spellStart"/>
            <w:r w:rsidRPr="007A4DED">
              <w:rPr>
                <w:rFonts w:ascii="Palatino Linotype" w:hAnsi="Palatino Linotype"/>
                <w:sz w:val="18"/>
                <w:szCs w:val="18"/>
              </w:rPr>
              <w:t>MovementBiasUptake</w:t>
            </w:r>
            <w:proofErr w:type="spellEnd"/>
          </w:p>
        </w:tc>
        <w:tc>
          <w:tcPr>
            <w:tcW w:w="1775" w:type="dxa"/>
            <w:vAlign w:val="center"/>
          </w:tcPr>
          <w:p w14:paraId="1EED4009" w14:textId="77777777" w:rsidR="00D1007E" w:rsidRDefault="00D1007E" w:rsidP="00C922A1">
            <w:pPr>
              <w:jc w:val="center"/>
              <w:rPr>
                <w:rFonts w:ascii="Palatino Linotype" w:hAnsi="Palatino Linotype"/>
                <w:i/>
                <w:iCs/>
              </w:rPr>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μ</m:t>
                        </m:r>
                      </m:e>
                      <m:sub>
                        <m:r>
                          <w:rPr>
                            <w:rFonts w:ascii="Cambria Math" w:hAnsi="Cambria Math"/>
                          </w:rPr>
                          <m:t>Mbias</m:t>
                        </m:r>
                      </m:sub>
                    </m:sSub>
                  </m:e>
                  <m:sub>
                    <m:r>
                      <w:rPr>
                        <w:rFonts w:ascii="Cambria Math" w:hAnsi="Cambria Math"/>
                      </w:rPr>
                      <m:t>basal,stem</m:t>
                    </m:r>
                  </m:sub>
                </m:sSub>
              </m:oMath>
            </m:oMathPara>
          </w:p>
        </w:tc>
        <w:tc>
          <w:tcPr>
            <w:tcW w:w="1341" w:type="dxa"/>
            <w:vAlign w:val="center"/>
          </w:tcPr>
          <w:p w14:paraId="0EBE69D2" w14:textId="77777777" w:rsidR="00D1007E" w:rsidRDefault="00D1007E" w:rsidP="00C922A1">
            <w:pPr>
              <w:jc w:val="center"/>
              <w:rPr>
                <w:rFonts w:ascii="Palatino Linotype" w:hAnsi="Palatino Linotype"/>
                <w:i/>
                <w:iCs/>
              </w:rPr>
            </w:pPr>
            <w:r>
              <w:rPr>
                <w:rFonts w:ascii="Palatino Linotype" w:hAnsi="Palatino Linotype"/>
                <w:i/>
                <w:iCs/>
              </w:rPr>
              <w:t>1.0</w:t>
            </w:r>
          </w:p>
        </w:tc>
        <w:tc>
          <w:tcPr>
            <w:tcW w:w="1046" w:type="dxa"/>
            <w:vAlign w:val="center"/>
          </w:tcPr>
          <w:p w14:paraId="39EE5AE1" w14:textId="77777777" w:rsidR="00D1007E" w:rsidRDefault="00D1007E" w:rsidP="00C922A1">
            <w:pPr>
              <w:jc w:val="center"/>
              <w:rPr>
                <w:rFonts w:ascii="Palatino Linotype" w:hAnsi="Palatino Linotype"/>
                <w:i/>
                <w:iCs/>
              </w:rPr>
            </w:pPr>
            <m:oMathPara>
              <m:oMath>
                <m:r>
                  <w:rPr>
                    <w:rFonts w:ascii="Cambria Math" w:hAnsi="Cambria Math"/>
                  </w:rPr>
                  <m:t>-</m:t>
                </m:r>
              </m:oMath>
            </m:oMathPara>
          </w:p>
        </w:tc>
        <w:tc>
          <w:tcPr>
            <w:tcW w:w="2515" w:type="dxa"/>
            <w:vAlign w:val="center"/>
          </w:tcPr>
          <w:p w14:paraId="08214F6B" w14:textId="77777777" w:rsidR="00D1007E" w:rsidRPr="00841815" w:rsidRDefault="00D1007E" w:rsidP="00C922A1">
            <w:pPr>
              <w:rPr>
                <w:rFonts w:ascii="Palatino Linotype" w:hAnsi="Palatino Linotype"/>
                <w:i/>
                <w:iCs/>
                <w:sz w:val="14"/>
                <w:szCs w:val="14"/>
              </w:rPr>
            </w:pPr>
            <w:r w:rsidRPr="00407BFA">
              <w:rPr>
                <w:rFonts w:ascii="Palatino Linotype" w:hAnsi="Palatino Linotype"/>
                <w:i/>
                <w:iCs/>
                <w:sz w:val="14"/>
                <w:szCs w:val="14"/>
              </w:rPr>
              <w:t>How quickly basal cells absorb (take up) this chemoattractant</w:t>
            </w:r>
          </w:p>
        </w:tc>
      </w:tr>
    </w:tbl>
    <w:p w14:paraId="0E45AF65" w14:textId="77777777" w:rsidR="006255BF" w:rsidRDefault="006255BF">
      <w:pPr>
        <w:rPr>
          <w:rFonts w:ascii="Palatino Linotype" w:hAnsi="Palatino Linotype"/>
          <w:i/>
          <w:iCs/>
        </w:rPr>
      </w:pPr>
    </w:p>
    <w:p w14:paraId="04CD8CDC" w14:textId="77777777" w:rsidR="006255BF" w:rsidRPr="009C7A3C" w:rsidRDefault="006255BF" w:rsidP="006255BF">
      <w:pPr>
        <w:pStyle w:val="Heading1"/>
        <w:rPr>
          <w:rFonts w:ascii="Palatino Linotype" w:hAnsi="Palatino Linotype"/>
        </w:rPr>
      </w:pPr>
      <w:bookmarkStart w:id="3" w:name="_Hlk216709239"/>
      <w:r w:rsidRPr="00E02109">
        <w:rPr>
          <w:rFonts w:ascii="Palatino Linotype" w:hAnsi="Palatino Linotype"/>
        </w:rPr>
        <w:t>R</w:t>
      </w:r>
      <w:r w:rsidRPr="009C7A3C">
        <w:rPr>
          <w:rFonts w:ascii="Palatino Linotype" w:hAnsi="Palatino Linotype"/>
        </w:rPr>
        <w:t>eferences</w:t>
      </w:r>
      <w:bookmarkEnd w:id="3"/>
    </w:p>
    <w:p w14:paraId="0A5CE99A" w14:textId="77777777" w:rsidR="006255BF" w:rsidRPr="006255BF" w:rsidRDefault="006255BF" w:rsidP="006255BF">
      <w:pPr>
        <w:pStyle w:val="Bibliography"/>
        <w:rPr>
          <w:rFonts w:ascii="Aptos" w:hAnsi="Aptos"/>
        </w:rPr>
      </w:pPr>
      <w:r>
        <w:fldChar w:fldCharType="begin"/>
      </w:r>
      <w:r>
        <w:instrText xml:space="preserve"> ADDIN ZOTERO_BIBL {"uncited":[],"omitted":[],"custom":[]} CSL_BIBLIOGRAPHY </w:instrText>
      </w:r>
      <w:r>
        <w:fldChar w:fldCharType="separate"/>
      </w:r>
      <w:r w:rsidRPr="006255BF">
        <w:rPr>
          <w:rFonts w:ascii="Aptos" w:hAnsi="Aptos"/>
        </w:rPr>
        <w:t>1.</w:t>
      </w:r>
      <w:r w:rsidRPr="006255BF">
        <w:rPr>
          <w:rFonts w:ascii="Aptos" w:hAnsi="Aptos"/>
        </w:rPr>
        <w:tab/>
        <w:t xml:space="preserve">Savage CR, Cohen S. Proliferation of corneal epithelium induced by epidermal growth factor. Experimental Eye Research. 1973 Mar 1;15(3):361–6. </w:t>
      </w:r>
    </w:p>
    <w:p w14:paraId="297A78DC" w14:textId="77777777" w:rsidR="006255BF" w:rsidRPr="006255BF" w:rsidRDefault="006255BF" w:rsidP="006255BF">
      <w:pPr>
        <w:pStyle w:val="Bibliography"/>
        <w:rPr>
          <w:rFonts w:ascii="Aptos" w:hAnsi="Aptos"/>
        </w:rPr>
      </w:pPr>
      <w:r w:rsidRPr="006255BF">
        <w:rPr>
          <w:rFonts w:ascii="Aptos" w:hAnsi="Aptos"/>
        </w:rPr>
        <w:t>2.</w:t>
      </w:r>
      <w:r w:rsidRPr="006255BF">
        <w:rPr>
          <w:rFonts w:ascii="Aptos" w:hAnsi="Aptos"/>
        </w:rPr>
        <w:tab/>
        <w:t xml:space="preserve">Van </w:t>
      </w:r>
      <w:proofErr w:type="spellStart"/>
      <w:r w:rsidRPr="006255BF">
        <w:rPr>
          <w:rFonts w:ascii="Aptos" w:hAnsi="Aptos"/>
        </w:rPr>
        <w:t>Itallie</w:t>
      </w:r>
      <w:proofErr w:type="spellEnd"/>
      <w:r w:rsidRPr="006255BF">
        <w:rPr>
          <w:rFonts w:ascii="Aptos" w:hAnsi="Aptos"/>
        </w:rPr>
        <w:t xml:space="preserve"> CM, Holmes J, Bridges A, Gookin JL, Coccaro MR, Proctor W, et al. The density of small tight junction pores varies among cell types and is increased by expression of claudin-2. Journal of Cell Science. 2008 Feb 1;121(3):298–305. </w:t>
      </w:r>
    </w:p>
    <w:p w14:paraId="5A7B6770" w14:textId="77777777" w:rsidR="006255BF" w:rsidRPr="006255BF" w:rsidRDefault="006255BF" w:rsidP="006255BF">
      <w:pPr>
        <w:pStyle w:val="Bibliography"/>
        <w:rPr>
          <w:rFonts w:ascii="Aptos" w:hAnsi="Aptos"/>
        </w:rPr>
      </w:pPr>
      <w:r w:rsidRPr="006255BF">
        <w:rPr>
          <w:rFonts w:ascii="Aptos" w:hAnsi="Aptos"/>
        </w:rPr>
        <w:t>3.</w:t>
      </w:r>
      <w:r w:rsidRPr="006255BF">
        <w:rPr>
          <w:rFonts w:ascii="Aptos" w:hAnsi="Aptos"/>
        </w:rPr>
        <w:tab/>
        <w:t xml:space="preserve">Peterson JL, Ceresa BP. Epidermal Growth Factor Receptor Expression in the Corneal Epithelium. Cells. 2021 Sept 13;10(9):2409. </w:t>
      </w:r>
    </w:p>
    <w:p w14:paraId="4B3C1385" w14:textId="77777777" w:rsidR="006255BF" w:rsidRPr="006255BF" w:rsidRDefault="006255BF" w:rsidP="006255BF">
      <w:pPr>
        <w:pStyle w:val="Bibliography"/>
        <w:rPr>
          <w:rFonts w:ascii="Aptos" w:hAnsi="Aptos"/>
        </w:rPr>
      </w:pPr>
      <w:r w:rsidRPr="006255BF">
        <w:rPr>
          <w:rFonts w:ascii="Aptos" w:hAnsi="Aptos"/>
        </w:rPr>
        <w:t>4.</w:t>
      </w:r>
      <w:r w:rsidRPr="006255BF">
        <w:rPr>
          <w:rFonts w:ascii="Aptos" w:hAnsi="Aptos"/>
        </w:rPr>
        <w:tab/>
        <w:t xml:space="preserve">Rao K, Farley WJ, Pflugfelder SC. Association between High Tear Epidermal Growth Factor Levels and Corneal Subepithelial Fibrosis in Dry Eye Conditions. Investigative Ophthalmology &amp; Visual Science. 2010 Feb 1;51(2):844–9. </w:t>
      </w:r>
    </w:p>
    <w:p w14:paraId="5AC5BB5E" w14:textId="77777777" w:rsidR="006255BF" w:rsidRPr="006255BF" w:rsidRDefault="006255BF" w:rsidP="006255BF">
      <w:pPr>
        <w:pStyle w:val="Bibliography"/>
        <w:rPr>
          <w:rFonts w:ascii="Aptos" w:hAnsi="Aptos"/>
        </w:rPr>
      </w:pPr>
      <w:r w:rsidRPr="006255BF">
        <w:rPr>
          <w:rFonts w:ascii="Aptos" w:hAnsi="Aptos"/>
        </w:rPr>
        <w:t>5.</w:t>
      </w:r>
      <w:r w:rsidRPr="006255BF">
        <w:rPr>
          <w:rFonts w:ascii="Aptos" w:hAnsi="Aptos"/>
        </w:rPr>
        <w:tab/>
        <w:t xml:space="preserve">Chan KY, Lindquist TD, Edenfield MJ, Nicolson MA, Banks AR. Pharmacokinetic study of recombinant human epidermal growth factor in the anterior eye. Invest </w:t>
      </w:r>
      <w:proofErr w:type="spellStart"/>
      <w:r w:rsidRPr="006255BF">
        <w:rPr>
          <w:rFonts w:ascii="Aptos" w:hAnsi="Aptos"/>
        </w:rPr>
        <w:t>Ophthalmol</w:t>
      </w:r>
      <w:proofErr w:type="spellEnd"/>
      <w:r w:rsidRPr="006255BF">
        <w:rPr>
          <w:rFonts w:ascii="Aptos" w:hAnsi="Aptos"/>
        </w:rPr>
        <w:t xml:space="preserve"> Vis Sci. 1991 Dec;32(13):3209–15. </w:t>
      </w:r>
    </w:p>
    <w:p w14:paraId="5D49F84C" w14:textId="3B090775" w:rsidR="006255BF" w:rsidRDefault="006255BF" w:rsidP="006255BF">
      <w:pPr>
        <w:rPr>
          <w:rFonts w:ascii="Palatino Linotype" w:hAnsi="Palatino Linotype"/>
          <w:i/>
          <w:iCs/>
        </w:rPr>
      </w:pPr>
      <w:r>
        <w:fldChar w:fldCharType="end"/>
      </w:r>
    </w:p>
    <w:sectPr w:rsidR="006255BF" w:rsidSect="002833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07E"/>
    <w:rsid w:val="000813FA"/>
    <w:rsid w:val="001F7015"/>
    <w:rsid w:val="002833A3"/>
    <w:rsid w:val="005A3671"/>
    <w:rsid w:val="006255BF"/>
    <w:rsid w:val="006808D9"/>
    <w:rsid w:val="00AB6F6E"/>
    <w:rsid w:val="00D1007E"/>
    <w:rsid w:val="00DA3F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16CD4"/>
  <w15:chartTrackingRefBased/>
  <w15:docId w15:val="{CFD832E7-0546-4C27-9ECB-3697DEC1E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00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00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00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00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00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00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0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0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0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0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00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00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00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00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00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0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0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07E"/>
    <w:rPr>
      <w:rFonts w:eastAsiaTheme="majorEastAsia" w:cstheme="majorBidi"/>
      <w:color w:val="272727" w:themeColor="text1" w:themeTint="D8"/>
    </w:rPr>
  </w:style>
  <w:style w:type="paragraph" w:styleId="Title">
    <w:name w:val="Title"/>
    <w:basedOn w:val="Normal"/>
    <w:next w:val="Normal"/>
    <w:link w:val="TitleChar"/>
    <w:uiPriority w:val="10"/>
    <w:qFormat/>
    <w:rsid w:val="00D100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0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0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0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07E"/>
    <w:pPr>
      <w:spacing w:before="160"/>
      <w:jc w:val="center"/>
    </w:pPr>
    <w:rPr>
      <w:i/>
      <w:iCs/>
      <w:color w:val="404040" w:themeColor="text1" w:themeTint="BF"/>
    </w:rPr>
  </w:style>
  <w:style w:type="character" w:customStyle="1" w:styleId="QuoteChar">
    <w:name w:val="Quote Char"/>
    <w:basedOn w:val="DefaultParagraphFont"/>
    <w:link w:val="Quote"/>
    <w:uiPriority w:val="29"/>
    <w:rsid w:val="00D1007E"/>
    <w:rPr>
      <w:i/>
      <w:iCs/>
      <w:color w:val="404040" w:themeColor="text1" w:themeTint="BF"/>
    </w:rPr>
  </w:style>
  <w:style w:type="paragraph" w:styleId="ListParagraph">
    <w:name w:val="List Paragraph"/>
    <w:basedOn w:val="Normal"/>
    <w:uiPriority w:val="34"/>
    <w:qFormat/>
    <w:rsid w:val="00D1007E"/>
    <w:pPr>
      <w:ind w:left="720"/>
      <w:contextualSpacing/>
    </w:pPr>
  </w:style>
  <w:style w:type="character" w:styleId="IntenseEmphasis">
    <w:name w:val="Intense Emphasis"/>
    <w:basedOn w:val="DefaultParagraphFont"/>
    <w:uiPriority w:val="21"/>
    <w:qFormat/>
    <w:rsid w:val="00D1007E"/>
    <w:rPr>
      <w:i/>
      <w:iCs/>
      <w:color w:val="0F4761" w:themeColor="accent1" w:themeShade="BF"/>
    </w:rPr>
  </w:style>
  <w:style w:type="paragraph" w:styleId="IntenseQuote">
    <w:name w:val="Intense Quote"/>
    <w:basedOn w:val="Normal"/>
    <w:next w:val="Normal"/>
    <w:link w:val="IntenseQuoteChar"/>
    <w:uiPriority w:val="30"/>
    <w:qFormat/>
    <w:rsid w:val="00D100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007E"/>
    <w:rPr>
      <w:i/>
      <w:iCs/>
      <w:color w:val="0F4761" w:themeColor="accent1" w:themeShade="BF"/>
    </w:rPr>
  </w:style>
  <w:style w:type="character" w:styleId="IntenseReference">
    <w:name w:val="Intense Reference"/>
    <w:basedOn w:val="DefaultParagraphFont"/>
    <w:uiPriority w:val="32"/>
    <w:qFormat/>
    <w:rsid w:val="00D1007E"/>
    <w:rPr>
      <w:b/>
      <w:bCs/>
      <w:smallCaps/>
      <w:color w:val="0F4761" w:themeColor="accent1" w:themeShade="BF"/>
      <w:spacing w:val="5"/>
    </w:rPr>
  </w:style>
  <w:style w:type="character" w:styleId="Emphasis">
    <w:name w:val="Emphasis"/>
    <w:basedOn w:val="DefaultParagraphFont"/>
    <w:uiPriority w:val="20"/>
    <w:qFormat/>
    <w:rsid w:val="00D1007E"/>
    <w:rPr>
      <w:i/>
      <w:iCs/>
    </w:rPr>
  </w:style>
  <w:style w:type="table" w:styleId="TableGrid">
    <w:name w:val="Table Grid"/>
    <w:basedOn w:val="TableNormal"/>
    <w:uiPriority w:val="39"/>
    <w:rsid w:val="00D100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6255BF"/>
    <w:pPr>
      <w:tabs>
        <w:tab w:val="left" w:pos="264"/>
      </w:tabs>
      <w:spacing w:after="240" w:line="240" w:lineRule="auto"/>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1938</Words>
  <Characters>12036</Characters>
  <Application>Microsoft Office Word</Application>
  <DocSecurity>0</DocSecurity>
  <Lines>236</Lines>
  <Paragraphs>145</Paragraphs>
  <ScaleCrop>false</ScaleCrop>
  <Company/>
  <LinksUpToDate>false</LinksUpToDate>
  <CharactersWithSpaces>13829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Vanin, Joel</dc:creator>
  <cp:keywords/>
  <dc:description/>
  <cp:lastModifiedBy>Vanin, Joel</cp:lastModifiedBy>
  <cp:revision>2</cp:revision>
  <dcterms:created xsi:type="dcterms:W3CDTF">2025-12-15T22:14:00Z</dcterms:created>
  <dcterms:modified xsi:type="dcterms:W3CDTF">2025-12-15T22:20:00Z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id="b0lUBFQr"/&gt;&lt;style id="http://www.zotero.org/styles/vancouver" locale="en-US" hasBibliography="1" bibliographyStyleHasBeenSet="1"/&gt;&lt;prefs&gt;&lt;pref name="fieldType" value="Field"/&gt;&lt;/prefs&gt;&lt;/data&gt;</vt:lpwstr>
  </property>
</Properties>
</file>