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0BC4A" w14:textId="77777777" w:rsidR="00370236" w:rsidRDefault="00370236" w:rsidP="00370236">
      <w:pPr>
        <w:pStyle w:val="Title"/>
        <w:rPr>
          <w:rFonts w:ascii="Palatino Linotype" w:hAnsi="Palatino Linotype"/>
        </w:rPr>
      </w:pPr>
      <w:r w:rsidRPr="00CB7956">
        <w:rPr>
          <w:rFonts w:ascii="Palatino Linotype" w:hAnsi="Palatino Linotype"/>
          <w:sz w:val="22"/>
          <w:szCs w:val="22"/>
        </w:rPr>
        <w:t>S</w:t>
      </w:r>
      <w:r>
        <w:rPr>
          <w:rFonts w:ascii="Palatino Linotype" w:hAnsi="Palatino Linotype"/>
          <w:sz w:val="22"/>
          <w:szCs w:val="22"/>
        </w:rPr>
        <w:t>12</w:t>
      </w:r>
      <w:r w:rsidRPr="00CB7956">
        <w:rPr>
          <w:rFonts w:ascii="Palatino Linotype" w:hAnsi="Palatino Linotype"/>
          <w:sz w:val="22"/>
          <w:szCs w:val="22"/>
        </w:rPr>
        <w:t xml:space="preserve"> T</w:t>
      </w:r>
      <w:r>
        <w:rPr>
          <w:rFonts w:ascii="Palatino Linotype" w:hAnsi="Palatino Linotype"/>
          <w:sz w:val="22"/>
          <w:szCs w:val="22"/>
        </w:rPr>
        <w:t>able</w:t>
      </w:r>
      <w:r w:rsidRPr="00CB7956">
        <w:rPr>
          <w:rFonts w:ascii="Palatino Linotype" w:hAnsi="Palatino Linotype"/>
          <w:sz w:val="22"/>
          <w:szCs w:val="22"/>
        </w:rPr>
        <w:t>. V</w:t>
      </w:r>
      <w:r w:rsidRPr="00CB7956">
        <w:rPr>
          <w:rFonts w:ascii="Palatino Linotype" w:hAnsi="Palatino Linotype" w:cstheme="minorBidi"/>
          <w:sz w:val="22"/>
          <w:szCs w:val="22"/>
        </w:rPr>
        <w:t>‑</w:t>
      </w:r>
      <w:r w:rsidRPr="00CB7956">
        <w:rPr>
          <w:rFonts w:ascii="Palatino Linotype" w:hAnsi="Palatino Linotype"/>
          <w:sz w:val="22"/>
          <w:szCs w:val="22"/>
        </w:rPr>
        <w:t xml:space="preserve">Cornea supplemental </w:t>
      </w:r>
      <w:r>
        <w:rPr>
          <w:rFonts w:ascii="Palatino Linotype" w:hAnsi="Palatino Linotype"/>
          <w:sz w:val="22"/>
          <w:szCs w:val="22"/>
        </w:rPr>
        <w:t>parameters tables</w:t>
      </w:r>
      <w:r w:rsidRPr="00CB7956">
        <w:rPr>
          <w:rStyle w:val="Emphasis"/>
          <w:rFonts w:eastAsiaTheme="minorHAnsi" w:cstheme="minorBidi"/>
          <w:spacing w:val="0"/>
          <w:kern w:val="2"/>
          <w:sz w:val="22"/>
          <w:szCs w:val="22"/>
        </w:rPr>
        <w:br/>
      </w:r>
      <w:r w:rsidRPr="00CB7956">
        <w:rPr>
          <w:rFonts w:ascii="Palatino Linotype" w:eastAsiaTheme="minorHAnsi" w:hAnsi="Palatino Linotype" w:cstheme="minorBidi"/>
          <w:spacing w:val="0"/>
          <w:kern w:val="2"/>
          <w:sz w:val="22"/>
          <w:szCs w:val="22"/>
        </w:rPr>
        <w:t xml:space="preserve">Manuscript Title: </w:t>
      </w:r>
      <w:r w:rsidRPr="00CB7956">
        <w:rPr>
          <w:rFonts w:ascii="Palatino Linotype" w:hAnsi="Palatino Linotype"/>
          <w:sz w:val="22"/>
          <w:szCs w:val="22"/>
        </w:rPr>
        <w:t>V-Cornea: A computational model of corneal epithelium homeostasis, injury, and recovery</w:t>
      </w:r>
      <w:r w:rsidRPr="00CB7956">
        <w:rPr>
          <w:rFonts w:ascii="Palatino Linotype" w:hAnsi="Palatino Linotype"/>
          <w:sz w:val="22"/>
          <w:szCs w:val="22"/>
        </w:rPr>
        <w:br/>
        <w:t xml:space="preserve">Authors: </w:t>
      </w:r>
      <w:r w:rsidRPr="00CB7956">
        <w:rPr>
          <w:rStyle w:val="Emphasis"/>
          <w:rFonts w:ascii="Palatino Linotype" w:hAnsi="Palatino Linotype"/>
          <w:sz w:val="22"/>
          <w:szCs w:val="22"/>
        </w:rPr>
        <w:t xml:space="preserve">Joel Vanin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Michael Getz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Catherine Mahony </w:t>
      </w:r>
      <w:r w:rsidRPr="00CB7956">
        <w:rPr>
          <w:rStyle w:val="Emphasis"/>
          <w:rFonts w:ascii="Palatino Linotype" w:hAnsi="Palatino Linotype"/>
          <w:sz w:val="22"/>
          <w:szCs w:val="22"/>
          <w:vertAlign w:val="superscript"/>
        </w:rPr>
        <w:t>b</w:t>
      </w:r>
      <w:r w:rsidRPr="00CB7956">
        <w:rPr>
          <w:rStyle w:val="Emphasis"/>
          <w:rFonts w:ascii="Palatino Linotype" w:hAnsi="Palatino Linotype"/>
          <w:sz w:val="22"/>
          <w:szCs w:val="22"/>
        </w:rPr>
        <w:t xml:space="preserve">, Thomas B. Knudsen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&amp; James A. Glazier </w:t>
      </w:r>
      <w:r w:rsidRPr="00CB7956">
        <w:rPr>
          <w:rStyle w:val="Emphasis"/>
          <w:rFonts w:ascii="Palatino Linotype" w:hAnsi="Palatino Linotype"/>
          <w:sz w:val="22"/>
          <w:szCs w:val="22"/>
          <w:vertAlign w:val="superscript"/>
        </w:rPr>
        <w:t>a*</w:t>
      </w:r>
      <w:r w:rsidRPr="00CB7956">
        <w:rPr>
          <w:rStyle w:val="Emphasis"/>
          <w:rFonts w:ascii="Palatino Linotype" w:hAnsi="Palatino Linotype"/>
          <w:sz w:val="22"/>
          <w:szCs w:val="22"/>
        </w:rPr>
        <w:t xml:space="preserve"> </w:t>
      </w:r>
      <w:r w:rsidRPr="00CB7956">
        <w:rPr>
          <w:rStyle w:val="Emphasis"/>
          <w:rFonts w:ascii="Palatino Linotype" w:hAnsi="Palatino Linotype"/>
          <w:sz w:val="22"/>
          <w:szCs w:val="22"/>
        </w:rPr>
        <w:br/>
        <w:t xml:space="preserve">Affiliations: </w:t>
      </w:r>
      <w:r w:rsidRPr="00CB7956">
        <w:rPr>
          <w:rFonts w:ascii="Palatino Linotype" w:eastAsia="Times New Roman" w:hAnsi="Palatino Linotype" w:cs="Times New Roman"/>
          <w:color w:val="000000"/>
          <w:kern w:val="0"/>
          <w:sz w:val="22"/>
          <w:szCs w:val="22"/>
          <w:vertAlign w:val="superscript"/>
          <w:lang w:eastAsia="de-DE" w:bidi="en-US"/>
          <w14:ligatures w14:val="none"/>
        </w:rPr>
        <w:t>a</w:t>
      </w:r>
      <w:r w:rsidRPr="00CB7956">
        <w:rPr>
          <w:rFonts w:ascii="Palatino Linotype" w:eastAsia="Times New Roman" w:hAnsi="Palatino Linotype" w:cs="Times New Roman"/>
          <w:color w:val="000000"/>
          <w:kern w:val="0"/>
          <w:sz w:val="22"/>
          <w:szCs w:val="22"/>
          <w:lang w:eastAsia="de-DE" w:bidi="en-US"/>
          <w14:ligatures w14:val="none"/>
        </w:rPr>
        <w:t xml:space="preserve"> Department of Intelligent Systems Engineering and Biocomplexity Institute, Indiana University, Bloomington, Indiana, United States of America;</w:t>
      </w:r>
      <w:r w:rsidRPr="00CB7956">
        <w:rPr>
          <w:rFonts w:ascii="Palatino Linotype" w:eastAsia="Times New Roman" w:hAnsi="Palatino Linotype" w:cs="Times New Roman"/>
          <w:color w:val="000000"/>
          <w:kern w:val="0"/>
          <w:sz w:val="16"/>
          <w:szCs w:val="16"/>
          <w:lang w:eastAsia="de-DE" w:bidi="en-US"/>
          <w14:ligatures w14:val="none"/>
        </w:rPr>
        <w:t xml:space="preserve">  </w:t>
      </w:r>
      <w:r w:rsidRPr="00CB7956">
        <w:rPr>
          <w:rFonts w:ascii="Palatino Linotype" w:eastAsia="Times New Roman" w:hAnsi="Palatino Linotype" w:cs="Times New Roman"/>
          <w:color w:val="000000"/>
          <w:kern w:val="0"/>
          <w:sz w:val="22"/>
          <w:szCs w:val="24"/>
          <w:vertAlign w:val="superscript"/>
          <w:lang w:eastAsia="de-DE" w:bidi="en-US"/>
          <w14:ligatures w14:val="none"/>
        </w:rPr>
        <w:t>b</w:t>
      </w:r>
      <w:r w:rsidRPr="00CB7956">
        <w:rPr>
          <w:rFonts w:ascii="Palatino Linotype" w:eastAsia="Times New Roman" w:hAnsi="Palatino Linotype" w:cs="Times New Roman"/>
          <w:color w:val="000000"/>
          <w:kern w:val="0"/>
          <w:sz w:val="22"/>
          <w:szCs w:val="22"/>
          <w:lang w:eastAsia="de-DE" w:bidi="en-US"/>
          <w14:ligatures w14:val="none"/>
        </w:rPr>
        <w:t xml:space="preserve"> Procter &amp; Gamble Technical Centre, Reading, United Kingdom;</w:t>
      </w:r>
    </w:p>
    <w:p w14:paraId="20A442A5" w14:textId="77777777" w:rsidR="00370236" w:rsidRDefault="00370236" w:rsidP="00370236">
      <w:pPr>
        <w:spacing w:after="0" w:line="240" w:lineRule="exact"/>
        <w:rPr>
          <w:rFonts w:ascii="Palatino Linotype" w:hAnsi="Palatino Linotype"/>
          <w:i/>
          <w:iCs/>
        </w:rPr>
      </w:pPr>
    </w:p>
    <w:p w14:paraId="589D6CA9" w14:textId="77777777" w:rsidR="00370236" w:rsidRDefault="00370236" w:rsidP="00370236">
      <w:pPr>
        <w:spacing w:after="0" w:line="240" w:lineRule="exact"/>
        <w:rPr>
          <w:rFonts w:ascii="Palatino Linotype" w:hAnsi="Palatino Linotype"/>
          <w:i/>
          <w:iCs/>
        </w:rPr>
      </w:pPr>
      <w:r w:rsidRPr="00246823">
        <w:rPr>
          <w:rFonts w:ascii="Palatino Linotype" w:hAnsi="Palatino Linotype"/>
          <w:i/>
          <w:iCs/>
        </w:rPr>
        <w:t xml:space="preserve">Table </w:t>
      </w:r>
      <w:r>
        <w:rPr>
          <w:rFonts w:ascii="Palatino Linotype" w:hAnsi="Palatino Linotype"/>
          <w:i/>
          <w:iCs/>
        </w:rPr>
        <w:t>S12</w:t>
      </w:r>
      <w:r w:rsidRPr="00246823">
        <w:rPr>
          <w:rFonts w:ascii="Palatino Linotype" w:hAnsi="Palatino Linotype"/>
          <w:i/>
          <w:iCs/>
        </w:rPr>
        <w:t xml:space="preserve"> - </w:t>
      </w:r>
      <w:r w:rsidRPr="003803C5">
        <w:rPr>
          <w:rFonts w:ascii="Palatino Linotype" w:hAnsi="Palatino Linotype"/>
          <w:i/>
          <w:iCs/>
        </w:rPr>
        <w:t>Expanded version of Table 2, providing detailed descriptions of key corneal features, their experimental/clinical values, V-Cornea predictions, and how each feature was used in model calibration and validation.</w:t>
      </w:r>
    </w:p>
    <w:tbl>
      <w:tblPr>
        <w:tblStyle w:val="ListTable6Colorfu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434"/>
        <w:gridCol w:w="2160"/>
        <w:gridCol w:w="3330"/>
      </w:tblGrid>
      <w:tr w:rsidR="00370236" w:rsidRPr="007F5505" w14:paraId="40B79284" w14:textId="77777777" w:rsidTr="00C922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shd w:val="clear" w:color="auto" w:fill="BFBFBF" w:themeFill="background1" w:themeFillShade="BF"/>
            <w:vAlign w:val="center"/>
            <w:hideMark/>
          </w:tcPr>
          <w:p w14:paraId="2A5E7C7E" w14:textId="77777777" w:rsidR="00370236" w:rsidRPr="00216DE1" w:rsidRDefault="00370236" w:rsidP="00C922A1">
            <w:pPr>
              <w:spacing w:after="160" w:line="259" w:lineRule="auto"/>
              <w:jc w:val="center"/>
              <w:rPr>
                <w:rFonts w:ascii="Palatino Linotype" w:hAnsi="Palatino Linotype"/>
                <w:sz w:val="20"/>
                <w:szCs w:val="20"/>
              </w:rPr>
            </w:pPr>
            <w:r w:rsidRPr="00216DE1">
              <w:rPr>
                <w:rFonts w:ascii="Palatino Linotype" w:hAnsi="Palatino Linotype"/>
                <w:sz w:val="20"/>
                <w:szCs w:val="20"/>
              </w:rPr>
              <w:t>Feature</w:t>
            </w:r>
          </w:p>
        </w:tc>
        <w:tc>
          <w:tcPr>
            <w:tcW w:w="2434" w:type="dxa"/>
            <w:tcBorders>
              <w:bottom w:val="none" w:sz="0" w:space="0" w:color="auto"/>
            </w:tcBorders>
            <w:shd w:val="clear" w:color="auto" w:fill="BFBFBF" w:themeFill="background1" w:themeFillShade="BF"/>
            <w:vAlign w:val="center"/>
            <w:hideMark/>
          </w:tcPr>
          <w:p w14:paraId="05DAB33C" w14:textId="77777777" w:rsidR="00370236" w:rsidRPr="00216DE1" w:rsidRDefault="00370236" w:rsidP="00C922A1">
            <w:pPr>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sz w:val="20"/>
                <w:szCs w:val="20"/>
              </w:rPr>
            </w:pPr>
            <w:r w:rsidRPr="00216DE1">
              <w:rPr>
                <w:rFonts w:ascii="Palatino Linotype" w:hAnsi="Palatino Linotype"/>
                <w:sz w:val="20"/>
                <w:szCs w:val="20"/>
              </w:rPr>
              <w:t>Experimental / clinical value (range, with refs)</w:t>
            </w:r>
          </w:p>
        </w:tc>
        <w:tc>
          <w:tcPr>
            <w:tcW w:w="2160" w:type="dxa"/>
            <w:tcBorders>
              <w:bottom w:val="none" w:sz="0" w:space="0" w:color="auto"/>
            </w:tcBorders>
            <w:shd w:val="clear" w:color="auto" w:fill="BFBFBF" w:themeFill="background1" w:themeFillShade="BF"/>
            <w:vAlign w:val="center"/>
            <w:hideMark/>
          </w:tcPr>
          <w:p w14:paraId="321AC6E3" w14:textId="77777777" w:rsidR="00370236" w:rsidRPr="00216DE1" w:rsidRDefault="00370236" w:rsidP="00C922A1">
            <w:pPr>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sz w:val="20"/>
                <w:szCs w:val="20"/>
              </w:rPr>
            </w:pPr>
            <w:r w:rsidRPr="00216DE1">
              <w:rPr>
                <w:rFonts w:ascii="Palatino Linotype" w:hAnsi="Palatino Linotype"/>
                <w:sz w:val="20"/>
                <w:szCs w:val="20"/>
              </w:rPr>
              <w:t>V-Cornea prediction (this study)</w:t>
            </w:r>
          </w:p>
        </w:tc>
        <w:tc>
          <w:tcPr>
            <w:tcW w:w="3330" w:type="dxa"/>
            <w:tcBorders>
              <w:bottom w:val="none" w:sz="0" w:space="0" w:color="auto"/>
            </w:tcBorders>
            <w:shd w:val="clear" w:color="auto" w:fill="BFBFBF" w:themeFill="background1" w:themeFillShade="BF"/>
            <w:vAlign w:val="center"/>
            <w:hideMark/>
          </w:tcPr>
          <w:p w14:paraId="484CADE2" w14:textId="77777777" w:rsidR="00370236" w:rsidRPr="00216DE1" w:rsidRDefault="00370236" w:rsidP="00C922A1">
            <w:pPr>
              <w:jc w:val="center"/>
              <w:cnfStyle w:val="100000000000" w:firstRow="1" w:lastRow="0" w:firstColumn="0" w:lastColumn="0" w:oddVBand="0" w:evenVBand="0" w:oddHBand="0" w:evenHBand="0" w:firstRowFirstColumn="0" w:firstRowLastColumn="0" w:lastRowFirstColumn="0" w:lastRowLastColumn="0"/>
              <w:rPr>
                <w:rFonts w:ascii="Palatino Linotype" w:hAnsi="Palatino Linotype"/>
                <w:sz w:val="20"/>
                <w:szCs w:val="20"/>
              </w:rPr>
            </w:pPr>
            <w:r w:rsidRPr="00216DE1">
              <w:rPr>
                <w:rFonts w:ascii="Palatino Linotype" w:hAnsi="Palatino Linotype"/>
                <w:sz w:val="20"/>
                <w:szCs w:val="20"/>
              </w:rPr>
              <w:t>How used in model</w:t>
            </w:r>
          </w:p>
        </w:tc>
      </w:tr>
      <w:tr w:rsidR="00370236" w:rsidRPr="007F5505" w14:paraId="3AEF9D27" w14:textId="77777777" w:rsidTr="00C92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5D7C9C81" w14:textId="77777777" w:rsidR="00370236" w:rsidRPr="00216DE1" w:rsidRDefault="00370236" w:rsidP="00C922A1">
            <w:pPr>
              <w:spacing w:after="160" w:line="259" w:lineRule="auto"/>
              <w:rPr>
                <w:rFonts w:ascii="Palatino Linotype" w:hAnsi="Palatino Linotype"/>
                <w:sz w:val="20"/>
                <w:szCs w:val="20"/>
              </w:rPr>
            </w:pPr>
            <w:r w:rsidRPr="00216DE1">
              <w:rPr>
                <w:rFonts w:ascii="Palatino Linotype" w:hAnsi="Palatino Linotype"/>
                <w:sz w:val="20"/>
                <w:szCs w:val="20"/>
              </w:rPr>
              <w:t>Epithelial thickness and limbal–central gradient</w:t>
            </w:r>
          </w:p>
        </w:tc>
        <w:tc>
          <w:tcPr>
            <w:tcW w:w="2434" w:type="dxa"/>
            <w:shd w:val="clear" w:color="auto" w:fill="FFFFFF" w:themeFill="background1"/>
            <w:vAlign w:val="center"/>
            <w:hideMark/>
          </w:tcPr>
          <w:p w14:paraId="108CF6CE" w14:textId="77E3C06D" w:rsidR="00370236" w:rsidRPr="00216DE1" w:rsidRDefault="00370236" w:rsidP="00C922A1">
            <w:pPr>
              <w:spacing w:after="160" w:line="259" w:lineRule="auto"/>
              <w:cnfStyle w:val="000000100000" w:firstRow="0" w:lastRow="0" w:firstColumn="0" w:lastColumn="0" w:oddVBand="0" w:evenVBand="0" w:oddHBand="1" w:evenHBand="0" w:firstRowFirstColumn="0" w:firstRowLastColumn="0" w:lastRowFirstColumn="0" w:lastRowLastColumn="0"/>
              <w:rPr>
                <w:rFonts w:ascii="Palatino Linotype" w:hAnsi="Palatino Linotype"/>
                <w:sz w:val="20"/>
                <w:szCs w:val="20"/>
              </w:rPr>
            </w:pPr>
            <w:r w:rsidRPr="00216DE1">
              <w:rPr>
                <w:rFonts w:ascii="Palatino Linotype" w:hAnsi="Palatino Linotype"/>
                <w:sz w:val="20"/>
                <w:szCs w:val="20"/>
              </w:rPr>
              <w:t xml:space="preserve">Human corneal epithelium ≈48–55 μm thick, 5–7 cell layers in the central cornea. </w:t>
            </w:r>
            <w:r w:rsidRPr="00216DE1">
              <w:rPr>
                <w:rFonts w:ascii="Palatino Linotype" w:hAnsi="Palatino Linotype"/>
                <w:sz w:val="20"/>
                <w:szCs w:val="20"/>
              </w:rPr>
              <w:fldChar w:fldCharType="begin"/>
            </w:r>
            <w:r>
              <w:rPr>
                <w:rFonts w:ascii="Palatino Linotype" w:hAnsi="Palatino Linotype"/>
                <w:sz w:val="20"/>
                <w:szCs w:val="20"/>
              </w:rPr>
              <w:instrText xml:space="preserve"> ADDIN ZOTERO_ITEM CSL_CITATION {"citationID":"a16aq8apjqk","properties":{"formattedCitation":"(1\\uc0\\u8211{}3)","plainCitation":"(1–3)","noteIndex":0},"citationItems":[{"id":1673,"uris":["http://zotero.org/users/10714330/items/WDZGXBI6"],"itemData":{"id":1673,"type":"article-journal","abstract":"Incorporating other imaging techniques in future studies could offer additional validation and insights into corneal epithelial thickness conditions. Read more.","container-title":"Clinical Ophthalmology","DOI":"10.2147/OPTH.S503195","journalAbbreviation":"OPTH","language":"English","note":"publisher: Dove Press","page":"249-259","source":"www.dovepress.com","title":"Corneal Epithelial Thickness Mapping in Healthy Population Corneas Using MS-39 Anterior Segment Optical Coherence Tomography","volume":"19","author":[{"family":"AlTurki","given":"Hissah Saleh"},{"family":"Alsubhi","given":"Shahad Salah"},{"family":"Alhazmi","given":"Asma"},{"family":"Alhadlag","given":"Abdulrahman"},{"family":"Albalawi","given":"Nada Saleh"},{"family":"Alzoman","given":"Musab Abdulaziz"},{"family":"Aljasir","given":"Mohammed"},{"family":"Alsubaie","given":"Majed"},{"family":"Aljindan","given":"Mohanna"},{"family":"Alsomali","given":"Abdulaziz"}],"issued":{"date-parts":[["2025",1,22]]}}},{"id":1633,"uris":["http://zotero.org/users/10714330/items/6BXFAEIB"],"itemData":{"id":1633,"type":"article-journal","abstract":"Important functions of cornea in the eye include protecting the structures inside the eye, contributing to the refractive power of the eye, and focusing light rays on the retina with minimum scatter and optical degradation. Considerable advances have taken place in understanding the organization of collagen in the corneal stroma and its clinical significance. In this review, the structure and function of various components of cornea and ocular surface are presented.","container-title":"Indian Journal of Ophthalmology","DOI":"10.4103/ijo.IJO_646_17","ISSN":"0301-4738","issue":"2","journalAbbreviation":"Indian J Ophthalmol","note":"PMID: 29380756\nPMCID: PMC5819093","page":"190-194","source":"PubMed Central","title":"Anatomy of cornea and ocular surface","volume":"66","author":[{"family":"Sridhar","given":"Mittanamalli S"}],"issued":{"date-parts":[["2018",2]]}}},{"id":1698,"uris":["http://zotero.org/users/10714330/items/M9LXXMBN"],"itemData":{"id":1698,"type":"article-journal","abstract":"Objective:\nUsing anterior segment optical coherence tomography (AS-OCT), we investigated the epithelial thickness (ET) of the central cornea and limbal regions in patients with limbal stem cell deficiency (LSCD) as a diagnostic and staging parameter.\n\nDesign:\nProspective, cross-sectional study\n\nMethods:\nThe central corneal epithelium thickness (CET) and maximum limbal epithelium thickness (mLET) were measured in the superior, inferior, nasal, and temporal limbus on AS-OCT images of the normal and eyes with LSCD. CET was obtained by 1-point (OCT-CET1) and 3-point measurement (OCT-CET3). The values of OCT-CET1 and OCT-CET3 were compared to the CET obtained with in vivo confocal microscopy (IVCM-CET).\n\nResults:\nSixty-eight eyes of 50 patients with LSCD and 52 eyes of 34 normal subjects were included. The mean (±SD) OCT-CET3 was 55.0±3.0 μm (range, 50.6–62.0 μm) in the control group and 41.6±10.8 μm (range, 0–56.3 μm) in the LSCD group (P&lt;0.001). OCT-CET3 had a better correlation with IVCM-CET (r=0.91) than did OCT-CET1 (r=0.87, P=0.001). The degree of reduction in OCT-CET3 increased in more advanced clinical stages of LSCD (all P&lt;0.001). The OCT-CET3 cutoff value that suggests LSCD was 46.6 μm. Compared with the control group, the LSCD group had decreases in mLET in all four limbal regions (all P &lt;0.001). The sensitivity and specificity of OCT-CET3 is the highest among all mLET in detecting LSCD.\n\nConclusions:\nBoth CET and mLET were thinner in patients with LSCD than in normal subjects. OCT-CET3 appears to be a reliable parameter to confirm LSCD when there is clinical suspicion.","container-title":"American journal of ophthalmology","DOI":"10.1016/j.ajo.2020.04.006","ISSN":"0002-9394","journalAbbreviation":"Am J Ophthalmol","note":"PMID: 32283095\nPMCID: PMC7434708","page":"132-139","source":"PubMed Central","title":"Corneal Epithelial Thickness Measured Using AS-OCT as a Diagnostic Parameter for Limbal Stem Cell Deficiency","volume":"216","author":[{"family":"Liang","given":"Qingfeng"},{"family":"Le","given":"Qihua"},{"family":"Cordova","given":"Daniel W."},{"family":"Tseng","given":"Chi-Hong"},{"family":"Deng","given":"Sophie X."}],"issued":{"date-parts":[["2020",8]]}}}],"schema":"https://github.com/citation-style-language/schema/raw/master/csl-citation.json"} </w:instrText>
            </w:r>
            <w:r w:rsidRPr="00216DE1">
              <w:rPr>
                <w:rFonts w:ascii="Palatino Linotype" w:hAnsi="Palatino Linotype"/>
                <w:sz w:val="20"/>
                <w:szCs w:val="20"/>
              </w:rPr>
              <w:fldChar w:fldCharType="separate"/>
            </w:r>
            <w:r w:rsidRPr="00370236">
              <w:rPr>
                <w:rFonts w:ascii="Palatino Linotype" w:hAnsi="Palatino Linotype" w:cs="Times New Roman"/>
                <w:kern w:val="0"/>
                <w:sz w:val="20"/>
              </w:rPr>
              <w:t>(1–3)</w:t>
            </w:r>
            <w:r w:rsidRPr="00216DE1">
              <w:rPr>
                <w:rFonts w:ascii="Palatino Linotype" w:hAnsi="Palatino Linotype"/>
                <w:sz w:val="20"/>
                <w:szCs w:val="20"/>
              </w:rPr>
              <w:fldChar w:fldCharType="end"/>
            </w:r>
            <w:r w:rsidRPr="00216DE1">
              <w:rPr>
                <w:color w:val="auto"/>
                <w:sz w:val="20"/>
                <w:szCs w:val="20"/>
              </w:rPr>
              <w:t xml:space="preserve"> </w:t>
            </w:r>
            <w:r w:rsidRPr="00216DE1">
              <w:rPr>
                <w:rFonts w:ascii="Palatino Linotype" w:hAnsi="Palatino Linotype"/>
                <w:sz w:val="20"/>
                <w:szCs w:val="20"/>
              </w:rPr>
              <w:t xml:space="preserve">limbal epithelium ~83 μm </w:t>
            </w:r>
            <w:proofErr w:type="spellStart"/>
            <w:r w:rsidRPr="00216DE1">
              <w:rPr>
                <w:rFonts w:ascii="Palatino Linotype" w:hAnsi="Palatino Linotype"/>
                <w:sz w:val="20"/>
                <w:szCs w:val="20"/>
              </w:rPr>
              <w:t>μm</w:t>
            </w:r>
            <w:proofErr w:type="spellEnd"/>
            <w:r>
              <w:rPr>
                <w:rFonts w:ascii="Palatino Linotype" w:hAnsi="Palatino Linotype"/>
                <w:sz w:val="20"/>
                <w:szCs w:val="20"/>
              </w:rPr>
              <w:t xml:space="preserve"> </w:t>
            </w:r>
            <w:r w:rsidRPr="00216DE1">
              <w:rPr>
                <w:rFonts w:ascii="Palatino Linotype" w:hAnsi="Palatino Linotype"/>
                <w:sz w:val="20"/>
                <w:szCs w:val="20"/>
              </w:rPr>
              <w:fldChar w:fldCharType="begin"/>
            </w:r>
            <w:r>
              <w:rPr>
                <w:rFonts w:ascii="Palatino Linotype" w:hAnsi="Palatino Linotype"/>
                <w:sz w:val="20"/>
                <w:szCs w:val="20"/>
              </w:rPr>
              <w:instrText xml:space="preserve"> ADDIN ZOTERO_ITEM CSL_CITATION {"citationID":"a28s0ed4m2k","properties":{"formattedCitation":"(4\\uc0\\u8211{}6)","plainCitation":"(4–6)","noteIndex":0},"citationItems":[{"id":1687,"uris":["http://zotero.org/users/10714330/items/RBDQAERZ"],"itemData":{"id":1687,"type":"article-journal","abstract":"Purpose. \n          The purpose of this study was to compare central corneal and limbal total and epithelial thickness using a commercially available optical coherence tomographer.\n          Methods. \n          A Humphrey-Zeiss Optical Coherence Tomographer (OCT [Carl Zeiss, Meditec, Dublin, CA]) was used to obtain corneal images from 10 subjects. Central corneal and limbal total and epithelial thickness of both eyes were measured using the OCT. Each OCT image comprised 100 measurements, 10 nasal, 10 central, and 10 temporal measurements from each image were analysed.\n          Results. \n          The central corneal and epithelial thickness of the right and the left eyes were 507.9 ± 35.8 μm, 58.4 ± 2.5 μm, 506.9 ± 37.4 μm, and 58.5 ± 2.5 μm, respectively. There were no differences between eyes (p &gt; 0.05). The nasal and temporal limbal total and epithelial thickness of the right and left eyes were 703.8 ± 32.1 μm, 704.9 ± 31.0 μm, 76.8 ± 3.5 μm, 77.9 ± 2.9 μm, 704.4 ± 31.8 μm, 706.3 ± 32.5 μm, 77.5 ± 2.8 μm, and 77.8 ± 2.5 μm, respectively. There were no differences between the nasal and temporal total and epithelial thickness of both eyes (p &gt; 0.05). However, there was a statistical difference between the central corneal and limbal total and epithelial thickness (both p &lt; 0.05).\n          Conclusions. \n          Central cornea and limbus are measurably different using OCT. Central cornea is thinner than limbus for both total thickness and epithelial thickness. There is no difference between eyes of central corneal and limbal total and epithelial thickness. Optical Coherence Tomography is a useful instrument for in vivo human limbal morphometry.","container-title":"Optometry and Vision Science","DOI":"10.1097/01.OPX.0000162649.97059.72","ISSN":"1538-9235","issue":"5","language":"en-US","page":"416","source":"journals.lww.com","title":"Comparison of Human Central Cornea and Limbus in Vivo Using Optical Coherence Tomography","volume":"82","author":[{"family":"Feng","given":"Yunwei"},{"family":"Simpson","given":"Trefford L."}],"issued":{"date-parts":[["2005",5]]}}},{"id":1691,"uris":["http://zotero.org/users/10714330/items/6BDKISUB"],"itemData":{"id":1691,"type":"article-journal","abstract":"PURPOSE\nTo characterize the in vivo epithelial thickness profile in a population of normal eyes.\n\nMETHODS\nAn epithelial thickness profile was measured by Artemis 1 (Ultralink LLC) very high-frequency (VHF) digital ultrasound scanning across the central 10-mm diameter of the cornea of 110 eyes of 56 patients who presented for refractive surgery assessment. The average, standard deviation, minimum, maximum, and range of epithelial thickness were calculated for each point in the 10×10-mm Cartesian matrix and plotted. Differences between the epithelial thickness at the corneal vertex and peripheral locations at the 3-mm radius were calculated. The location of the thinnest epithelium was found for each eye and averaged. Correlations of corneal vertex epithelial thickness with age, spherical equivalent refraction, and average keratometry were calculated.\n\nRESULTS\nThe mean epithelial thickness at the corneal vertex was 53.4±4.6 μm, with no statistically significant difference between right and left eyes, and no significant differences in age, spherical equivalent refraction, or keratometry. The average epithelial thickness map showed that the corneal epithelium was thicker inferiorly than superiorly (5.9 μm at the 3-mm radius, P&lt;.001) and thicker nasally than temporally (1.3 μm at the 3-mm radius, P&lt; 001). The location of the thinnest epithelium was displaced on average 0.33 mm temporally and 0.90 mm superiorly with reference to the corneal vertex.\n\nCONCLUSIONS\nThree-dimensional thickness mapping of the corneal epithelium demonstrated that the epithelial thickness is not evenly distributed across the cornea; the epithelium was significantly thicker inferiorly than superiorly and significantly thicker nasally than temporally with a larger inferosuperior difference than nasotemporal difference.","container-title":"Journal of refractive surgery (Thorofare, N.J. : 1995)","DOI":"10.3928/1081597X-20080601-05","ISSN":"1081-597X","issue":"6","journalAbbreviation":"J Refract Surg","note":"PMID: 18581782\nPMCID: PMC2592549","page":"571-581","source":"PubMed Central","title":"Epithelial Thickness in the Normal Cornea: Three-dimensional Display With Very High Frequency Ultrasound","title-short":"Epithelial Thickness in the Normal Cornea","volume":"24","author":[{"family":"Reinstein","given":"Dan Z."},{"family":"Archer","given":"Timothy J."},{"family":"Gobbe","given":"Marine"},{"family":"Silverman","given":"Ronald H."},{"family":"Coleman","given":"D. Jackson"}],"issued":{"date-parts":[["2008",6]]}}},{"id":1701,"uris":["http://zotero.org/users/10714330/items/8NURXYJJ"],"itemData":{"id":1701,"type":"article-journal","abstract":"To use in vivo spectral-domain optical coherence tomography (SD-OCT) to measure corneal, limbal, and bulbar conjunctival epithelial thickness.    A total of 156 eyes of 79 subjects were enrolled in four groups: young control (YC group), &amp;lt; 40 years; middle-aged control (MAC group), &amp;gt; 40 years; patients with dry eye syndrome (KCS group); and patients with glaucoma or ocular hypertension treated with intraocular pressure (IOP)-lowering medication (G group). The central corneal epithelium (CE) thickness, and the limbal (LE) and bulbar conjunctival epithelium (BCE) thickness in four quadrants were measured using SD-OCT.    The mean thicknesses of the CE, LE, and BCE of the YC group were 48.3 ± 2.9 μm, 83.0 ± 14.3 μm, and 42.0 ± 7.5 μm, and for the MAC group were 48.8 ± 3.0 μm, 84.3 ± 10.1 μm, and 42.2 ± 7.9 μm, respectively. The ocular surface epithelial thickness was not significantly different between the YC and MAC groups. CE thicknesses were not significantly different between the KCS, G, and control groups. The mean LE thicknesses were significantly lower in the KCS and G groups compared with the MAC group. The mean BCE was significantly thicker in the KCS and G groups compared with the MAC group.    Anterior segment SD-OCT can provide a noninvasive evaluation of ocular surface epithelial thickness. LE and BCE thickness was modified in dry eye patients and patients using IOP-lowering eye drops, whereas aging seemed to have no effect.","container-title":"Investigative Ophthalmology &amp; Visual Science","DOI":"10.1167/iovs.11-7988","ISSN":"1552-5783","issue":"12","journalAbbreviation":"Invest. Ophthalmol. Vis. Sci.","page":"9116-9123","source":"Silverchair","title":"Ocular Surface Epithelial Thickness Evaluation with Spectral-Domain Optical Coherence Tomography","volume":"52","author":[{"family":"Francoz","given":"Marlène"},{"family":"Karamoko","given":"Issouf"},{"family":"Baudouin","given":"Christophe"},{"family":"Labbé","given":"Antoine"}],"issued":{"date-parts":[["2011",11,24]]}}}],"schema":"https://github.com/citation-style-language/schema/raw/master/csl-citation.json"} </w:instrText>
            </w:r>
            <w:r w:rsidRPr="00216DE1">
              <w:rPr>
                <w:rFonts w:ascii="Palatino Linotype" w:hAnsi="Palatino Linotype"/>
                <w:sz w:val="20"/>
                <w:szCs w:val="20"/>
              </w:rPr>
              <w:fldChar w:fldCharType="separate"/>
            </w:r>
            <w:r w:rsidRPr="00370236">
              <w:rPr>
                <w:rFonts w:ascii="Palatino Linotype" w:hAnsi="Palatino Linotype" w:cs="Times New Roman"/>
                <w:kern w:val="0"/>
                <w:sz w:val="20"/>
              </w:rPr>
              <w:t>(4–6)</w:t>
            </w:r>
            <w:r w:rsidRPr="00216DE1">
              <w:rPr>
                <w:rFonts w:ascii="Palatino Linotype" w:hAnsi="Palatino Linotype"/>
                <w:sz w:val="20"/>
                <w:szCs w:val="20"/>
              </w:rPr>
              <w:fldChar w:fldCharType="end"/>
            </w:r>
            <w:r>
              <w:rPr>
                <w:rFonts w:ascii="Palatino Linotype" w:hAnsi="Palatino Linotype"/>
                <w:sz w:val="20"/>
                <w:szCs w:val="20"/>
              </w:rPr>
              <w:t>.</w:t>
            </w:r>
          </w:p>
        </w:tc>
        <w:tc>
          <w:tcPr>
            <w:tcW w:w="2160" w:type="dxa"/>
            <w:shd w:val="clear" w:color="auto" w:fill="FFFFFF" w:themeFill="background1"/>
            <w:vAlign w:val="center"/>
            <w:hideMark/>
          </w:tcPr>
          <w:p w14:paraId="0AE4EC92" w14:textId="77777777" w:rsidR="00370236" w:rsidRPr="00216DE1" w:rsidRDefault="00370236" w:rsidP="00C922A1">
            <w:pPr>
              <w:spacing w:after="160" w:line="259" w:lineRule="auto"/>
              <w:cnfStyle w:val="000000100000" w:firstRow="0" w:lastRow="0" w:firstColumn="0" w:lastColumn="0" w:oddVBand="0" w:evenVBand="0" w:oddHBand="1" w:evenHBand="0" w:firstRowFirstColumn="0" w:firstRowLastColumn="0" w:lastRowFirstColumn="0" w:lastRowLastColumn="0"/>
              <w:rPr>
                <w:rFonts w:ascii="Palatino Linotype" w:hAnsi="Palatino Linotype"/>
                <w:sz w:val="20"/>
                <w:szCs w:val="20"/>
              </w:rPr>
            </w:pPr>
            <w:r w:rsidRPr="00216DE1">
              <w:rPr>
                <w:rFonts w:ascii="Palatino Linotype" w:hAnsi="Palatino Linotype"/>
                <w:sz w:val="20"/>
                <w:szCs w:val="20"/>
              </w:rPr>
              <w:t>The model produces a stable thickness of 50–54 μm with 5–7 layers at homeostasis,</w:t>
            </w:r>
            <w:r w:rsidRPr="00216DE1">
              <w:rPr>
                <w:color w:val="auto"/>
                <w:sz w:val="20"/>
                <w:szCs w:val="20"/>
              </w:rPr>
              <w:t xml:space="preserve"> </w:t>
            </w:r>
            <w:r w:rsidRPr="00216DE1">
              <w:rPr>
                <w:rFonts w:ascii="Palatino Linotype" w:hAnsi="Palatino Linotype"/>
                <w:sz w:val="20"/>
                <w:szCs w:val="20"/>
              </w:rPr>
              <w:t>and a thicker epithelium (up to 7–8 layers) over the limbal stem cell region, reproducing a limbal–central thickness difference (Figs. 3 and 8).</w:t>
            </w:r>
          </w:p>
        </w:tc>
        <w:tc>
          <w:tcPr>
            <w:tcW w:w="3330" w:type="dxa"/>
            <w:shd w:val="clear" w:color="auto" w:fill="FFFFFF" w:themeFill="background1"/>
            <w:vAlign w:val="center"/>
            <w:hideMark/>
          </w:tcPr>
          <w:p w14:paraId="0B544534" w14:textId="77777777" w:rsidR="00370236" w:rsidRPr="00216DE1" w:rsidRDefault="00370236" w:rsidP="00C922A1">
            <w:pPr>
              <w:spacing w:after="160" w:line="259" w:lineRule="auto"/>
              <w:cnfStyle w:val="000000100000" w:firstRow="0" w:lastRow="0" w:firstColumn="0" w:lastColumn="0" w:oddVBand="0" w:evenVBand="0" w:oddHBand="1" w:evenHBand="0" w:firstRowFirstColumn="0" w:firstRowLastColumn="0" w:lastRowFirstColumn="0" w:lastRowLastColumn="0"/>
              <w:rPr>
                <w:rFonts w:ascii="Palatino Linotype" w:hAnsi="Palatino Linotype"/>
                <w:sz w:val="20"/>
                <w:szCs w:val="20"/>
              </w:rPr>
            </w:pPr>
            <w:r w:rsidRPr="00216DE1">
              <w:rPr>
                <w:rFonts w:ascii="Palatino Linotype" w:hAnsi="Palatino Linotype"/>
                <w:b/>
                <w:bCs/>
                <w:sz w:val="20"/>
                <w:szCs w:val="20"/>
              </w:rPr>
              <w:t xml:space="preserve">Emergent validation. </w:t>
            </w:r>
            <w:r w:rsidRPr="00216DE1">
              <w:rPr>
                <w:rFonts w:ascii="Palatino Linotype" w:hAnsi="Palatino Linotype"/>
                <w:sz w:val="20"/>
                <w:szCs w:val="20"/>
              </w:rPr>
              <w:t>Cell sizes and mechanical parameters were set within physiologically plausible ranges based on in vitro measurements and corneal imaging (</w:t>
            </w:r>
            <w:r>
              <w:rPr>
                <w:rFonts w:ascii="Palatino Linotype" w:hAnsi="Palatino Linotype"/>
                <w:sz w:val="20"/>
                <w:szCs w:val="20"/>
              </w:rPr>
              <w:t>S8</w:t>
            </w:r>
            <w:r w:rsidRPr="00216DE1">
              <w:rPr>
                <w:rFonts w:ascii="Palatino Linotype" w:hAnsi="Palatino Linotype"/>
                <w:sz w:val="20"/>
                <w:szCs w:val="20"/>
              </w:rPr>
              <w:t>–</w:t>
            </w:r>
            <w:r>
              <w:rPr>
                <w:rFonts w:ascii="Palatino Linotype" w:hAnsi="Palatino Linotype"/>
                <w:sz w:val="20"/>
                <w:szCs w:val="20"/>
              </w:rPr>
              <w:t xml:space="preserve">S11 </w:t>
            </w:r>
            <w:r w:rsidRPr="00216DE1">
              <w:rPr>
                <w:rFonts w:ascii="Palatino Linotype" w:hAnsi="Palatino Linotype"/>
                <w:sz w:val="20"/>
                <w:szCs w:val="20"/>
              </w:rPr>
              <w:t>Tables), but neither absolute epithelial thickness nor a limbal–central difference was directly imposed. Both features emerge from the interaction of growth, differentiation, and mechanical rules acting on these physiologically bounded cells.</w:t>
            </w:r>
          </w:p>
        </w:tc>
      </w:tr>
      <w:tr w:rsidR="00370236" w:rsidRPr="007F5505" w14:paraId="33D0CDD0" w14:textId="77777777" w:rsidTr="00C922A1">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hideMark/>
          </w:tcPr>
          <w:p w14:paraId="156CC307" w14:textId="77777777" w:rsidR="00370236" w:rsidRPr="00216DE1" w:rsidRDefault="00370236" w:rsidP="00C922A1">
            <w:pPr>
              <w:rPr>
                <w:rFonts w:ascii="Palatino Linotype" w:eastAsia="Times New Roman" w:hAnsi="Palatino Linotype" w:cs="Times New Roman"/>
                <w:kern w:val="0"/>
                <w:sz w:val="20"/>
                <w:szCs w:val="20"/>
                <w14:ligatures w14:val="none"/>
              </w:rPr>
            </w:pPr>
            <w:r w:rsidRPr="00216DE1">
              <w:rPr>
                <w:rFonts w:ascii="Palatino Linotype" w:eastAsia="Times New Roman" w:hAnsi="Palatino Linotype" w:cs="Times New Roman"/>
                <w:kern w:val="0"/>
                <w:sz w:val="20"/>
                <w:szCs w:val="20"/>
                <w14:ligatures w14:val="none"/>
              </w:rPr>
              <w:t xml:space="preserve">Epithelial turnover time </w:t>
            </w:r>
          </w:p>
        </w:tc>
        <w:tc>
          <w:tcPr>
            <w:tcW w:w="2434" w:type="dxa"/>
            <w:shd w:val="clear" w:color="auto" w:fill="F2F2F2" w:themeFill="background1" w:themeFillShade="F2"/>
            <w:vAlign w:val="center"/>
            <w:hideMark/>
          </w:tcPr>
          <w:p w14:paraId="08829F90" w14:textId="24C0879D" w:rsidR="00370236" w:rsidRPr="00216DE1" w:rsidRDefault="00370236" w:rsidP="00C922A1">
            <w:pP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s="Times New Roman"/>
                <w:kern w:val="0"/>
                <w:sz w:val="20"/>
                <w:szCs w:val="20"/>
                <w14:ligatures w14:val="none"/>
              </w:rPr>
            </w:pPr>
            <w:r w:rsidRPr="00216DE1">
              <w:rPr>
                <w:rFonts w:ascii="Palatino Linotype" w:eastAsia="Times New Roman" w:hAnsi="Palatino Linotype" w:cs="Times New Roman"/>
                <w:kern w:val="0"/>
                <w:sz w:val="20"/>
                <w:szCs w:val="20"/>
                <w14:ligatures w14:val="none"/>
              </w:rPr>
              <w:t xml:space="preserve">Estimates based on in vivo labeling and imaging studies suggest full corneal epithelial turnover in roughly </w:t>
            </w:r>
            <w:r w:rsidRPr="00216DE1">
              <w:rPr>
                <w:rFonts w:ascii="Palatino Linotype" w:eastAsia="Times New Roman" w:hAnsi="Palatino Linotype" w:cs="Times New Roman"/>
                <w:b/>
                <w:bCs/>
                <w:kern w:val="0"/>
                <w:sz w:val="20"/>
                <w:szCs w:val="20"/>
                <w14:ligatures w14:val="none"/>
              </w:rPr>
              <w:t>7–10 days</w:t>
            </w:r>
            <w:r w:rsidRPr="00216DE1">
              <w:rPr>
                <w:rFonts w:ascii="Palatino Linotype" w:eastAsia="Times New Roman" w:hAnsi="Palatino Linotype" w:cs="Times New Roman"/>
                <w:kern w:val="0"/>
                <w:sz w:val="20"/>
                <w:szCs w:val="20"/>
                <w14:ligatures w14:val="none"/>
              </w:rPr>
              <w:t xml:space="preserve">, with some reports up to </w:t>
            </w:r>
            <w:r w:rsidRPr="00216DE1">
              <w:rPr>
                <w:rFonts w:ascii="Palatino Linotype" w:eastAsia="Times New Roman" w:hAnsi="Palatino Linotype" w:cs="Times New Roman"/>
                <w:b/>
                <w:bCs/>
                <w:kern w:val="0"/>
                <w:sz w:val="20"/>
                <w:szCs w:val="20"/>
                <w14:ligatures w14:val="none"/>
              </w:rPr>
              <w:t>14 days</w:t>
            </w:r>
            <w:r w:rsidRPr="00216DE1">
              <w:rPr>
                <w:rFonts w:ascii="Palatino Linotype" w:eastAsia="Times New Roman" w:hAnsi="Palatino Linotype" w:cs="Times New Roman"/>
                <w:kern w:val="0"/>
                <w:sz w:val="20"/>
                <w:szCs w:val="20"/>
                <w14:ligatures w14:val="none"/>
              </w:rPr>
              <w:t xml:space="preserve">; direct quantitative data are limited, but multiple kinetic studies are consistent with this range </w:t>
            </w:r>
            <w:r w:rsidRPr="00216DE1">
              <w:rPr>
                <w:rFonts w:ascii="Palatino Linotype" w:eastAsia="Times New Roman" w:hAnsi="Palatino Linotype" w:cs="Times New Roman"/>
                <w:kern w:val="0"/>
                <w:sz w:val="20"/>
                <w:szCs w:val="20"/>
                <w14:ligatures w14:val="none"/>
              </w:rPr>
              <w:fldChar w:fldCharType="begin"/>
            </w:r>
            <w:r>
              <w:rPr>
                <w:rFonts w:ascii="Palatino Linotype" w:eastAsia="Times New Roman" w:hAnsi="Palatino Linotype" w:cs="Times New Roman"/>
                <w:kern w:val="0"/>
                <w:sz w:val="20"/>
                <w:szCs w:val="20"/>
                <w14:ligatures w14:val="none"/>
              </w:rPr>
              <w:instrText xml:space="preserve"> ADDIN ZOTERO_ITEM CSL_CITATION {"citationID":"aeon7rn2gh","properties":{"formattedCitation":"(2,7\\uc0\\u8211{}9)","plainCitation":"(2,7–9)","noteIndex":0},"citationItems":[{"id":1633,"uris":["http://zotero.org/users/10714330/items/6BXFAEIB"],"itemData":{"id":1633,"type":"article-journal","abstract":"Important functions of cornea in the eye include protecting the structures inside the eye, contributing to the refractive power of the eye, and focusing light rays on the retina with minimum scatter and optical degradation. Considerable advances have taken place in understanding the organization of collagen in the corneal stroma and its clinical significance. In this review, the structure and function of various components of cornea and ocular surface are presented.","container-title":"Indian Journal of Ophthalmology","DOI":"10.4103/ijo.IJO_646_17","ISSN":"0301-4738","issue":"2","journalAbbreviation":"Indian J Ophthalmol","note":"PMID: 29380756\nPMCID: PMC5819093","page":"190-194","source":"PubMed Central","title":"Anatomy of cornea and ocular surface","volume":"66","author":[{"family":"Sridhar","given":"Mittanamalli S"}],"issued":{"date-parts":[["2018",2]]}}},{"id":1677,"uris":["http://zotero.org/users/10714330/items/LFQ7LS7F"],"itemData":{"id":1677,"type":"article-journal","abstract":"We aimed to test previous predictions that limbal epithelial stem cells (LESCs) are quantitatively deficient or qualitatively defective in Pax6+/− mice and decline with age in wild-type (WT) mice. Consistent with previous studies, corneal epithelial stripe patterns coarsened with age in WT mosaics. Mosaic patterns were also coarser in Pax6+/− mosaics than WT at 15 weeks but not at 3 weeks, which excludes a developmental explanation and strengthens the prediction that Pax6+/− mice have a LESC-deficiency. To investigate how Pax6 genotype and age affected corneal homeostasis, we compared corneal epithelial cell turnover and label-retaining cells (LRCs; putative LESCs) in Pax6+/− and WT mice at 15 and 30 weeks. Limbal BrdU-LRC numbers were not reduced in the older WT mice, so this analysis failed to support the predicted age-related decline in slow-cycling LESC numbers in WT corneas. Similarly, limbal BrdU-LRC numbers were not reduced in Pax6+/− heterozygotes but BrdU-LRCs were also present in Pax6+/− corneas. It seems likely that Pax6+/− LRCs are not exclusively stem cells and some may be terminally differentiated CD31-positive blood vessel cells, which invade the Pax6+/− cornea. It was not, therefore, possible to use this approach to test the prediction that Pax6+/− corneas had fewer LESCs than WT. However, short-term BrdU labelling showed that basal to suprabasal movement (leading to cell loss) occurred more rapidly in Pax6+/− than WT mice. This implies that epithelial cell loss is higher in Pax6+/− mice. If increased corneal epithelial cell loss exceeds the cell production capacity it could cause corneal homeostasis to become unstable, resulting in progressive corneal deterioration. Although it remains unclear whether Pax6+/− mice have LESC-deficiency, we suggest that features of corneal deterioration, that are often taken as evidence of LESC-deficiency, might occur in the absence of stem cell deficiency if corneal homeostasis is destabilised by excessive cell loss.","container-title":"PLOS ONE","DOI":"10.1371/journal.pone.0071117","ISSN":"1932-6203","issue":"8","journalAbbreviation":"PLOS ONE","language":"en","note":"publisher: Public Library of Science","page":"e71117","source":"PLoS Journals","title":"Increased Corneal Epithelial Turnover Contributes to Abnormal Homeostasis in the Pax6+/− Mouse Model of Aniridia","volume":"8","author":[{"family":"Douvaras","given":"Panagiotis"},{"family":"Mort","given":"Richard L."},{"family":"Edwards","given":"Dominic"},{"family":"Ramaesh","given":"Kanna"},{"family":"Dhillon","given":"Baljean"},{"family":"Morley","given":"Steven D."},{"family":"Hill","given":"Robert E."},{"family":"West","given":"John D."}],"issued":{"date-parts":[["2013",8,13]]}}},{"id":1675,"uris":["http://zotero.org/users/10714330/items/JIBG238I"],"itemData":{"id":1675,"type":"article-journal","abstract":"Corneal transplantation is often considered the last resort for severe corneal epithelial disorders, especially limbal stem cell deficiency (LSCD). Tissue engineering offers novel strategies to mitigate the shortage of corneal transplant donors. However, low cell viability and compromised functionality in tissue engineering represent a major challenge. In this review, we describe the key characteristics required for corneal epithelium bioscaffolds. We summarize the research progress centered on optimizing cell activity and functionality in the past 10 years from four key perspectives: the sourcing of cells, seed cell pretreatments, biomaterial optimization, and engineered culture system innovation. The sources, isolation, and induction methods of seed cells are described, and the advantages and disadvantages of existing clinical treatment methods are compared. Furthermore, we compare existing clinical therapies and summarize promising seed cell pretreatment strategies for the first time. Several innovative engineered cell culture systems are exhibited as well. We demonstrated how to preserve cell viability through bioscaffold stiffness modulation, topographic design, and application of innovative fabrication techniques. Finally, we propose a personalized and precise regeneration strategy based on high-resolution images, digital modeling, bioprinting, and machine learning.","container-title":"Bioengineering","DOI":"10.3390/bioengineering12111175","ISSN":"2306-5354","issue":"11","language":"en","license":"http://creativecommons.org/licenses/by/3.0/","note":"publisher: Multidisciplinary Digital Publishing Institute","page":"1175","source":"www.mdpi.com","title":"Corneal Epithelial Tissue Engineering Strategy Based on Cell Viability Optimization: A Review and Prospects","title-short":"Corneal Epithelial Tissue Engineering Strategy Based on Cell Viability Optimization","volume":"12","author":[{"family":"Tang","given":"Guoguo"},{"family":"Chi","given":"Miaomiao"},{"family":"Zhai","given":"Yang"},{"family":"Peng","given":"Rongmei"},{"family":"Hong","given":"Jing"}],"issued":{"date-parts":[["2025",11]]}}},{"id":309,"uris":["http://zotero.org/users/local/kXPGHtSM/items/BEAYJUXG","http://zotero.org/users/10714330/items/BEAYJUXG"],"itemData":{"id":309,"type":"article-journal","abstract":"The authors developed a direct chemical approach for estimating the rate of turnover of the corneal epithelium in vivo. The method was used to examine the effects of lovastatin, a potent inhibitor of cholesterol biosynthesis, on proliferation and turnover of the epithelium. Corneal DNA was labeled by pulse injection (IP) of the rat with 3H-thymidine, and 3H-labeled DNA was recovered from peripheral and central corneas over the next 15 days. Only the epithelium became labeled, and the loss of label by cell desquamation began 3 days after injection. The loss of 3H-DNA from the cornea (peripheral plus central region) followed first-order kinetics. The half-life of the disappearance was about 3 days. The peripheral cornea became more highly labeled than the central cornea and began to lose 3H-DNA before the central cornea. These observations support the possibility of a higher mitotic rate in the peripheral region and the centripetal movement of a population of peripheral epithelial cells in the normal cornea. The half-lives of the disappearance of 3H-DNA from peripheral and central corneas measured between days 5 and 15 postinjection were identical, both at 3 days. Complete turnover of the corneal epithelium would, therefore, require about 2 weeks (4-5 half-lives). Treatment of the rat with lovastatin had no obvious effects upon the proliferation or turnover of the corneal epithelium. Although lovastatin inhibited corneal 3-hydroxy-3-methylglutaryl coenzyme A reductase, the key regulatory enzyme of cholesterol synthesis, the cornea compensated by induction of this enzyme so that there was no net inhibition of cholesterol synthesis in the cornea.","container-title":"Investigative Ophthalmology &amp; Visual Science","ISSN":"0146-0404","issue":"10","journalAbbreviation":"Invest Ophthalmol Vis Sci","language":"eng","note":"PMID: 2210991","page":"1957-1962","source":"PubMed","title":"Kinetics of corneal epithelium turnover in vivo. Studies of lovastatin","volume":"31","author":[{"family":"Cenedella","given":"R. J."},{"family":"Fleschner","given":"C. R."}],"issued":{"date-parts":[["1990",10]]}}}],"schema":"https://github.com/citation-style-language/schema/raw/master/csl-citation.json"} </w:instrText>
            </w:r>
            <w:r w:rsidRPr="00216DE1">
              <w:rPr>
                <w:rFonts w:ascii="Palatino Linotype" w:eastAsia="Times New Roman" w:hAnsi="Palatino Linotype" w:cs="Times New Roman"/>
                <w:kern w:val="0"/>
                <w:sz w:val="20"/>
                <w:szCs w:val="20"/>
                <w14:ligatures w14:val="none"/>
              </w:rPr>
              <w:fldChar w:fldCharType="separate"/>
            </w:r>
            <w:r w:rsidRPr="00370236">
              <w:rPr>
                <w:rFonts w:ascii="Palatino Linotype" w:hAnsi="Palatino Linotype" w:cs="Times New Roman"/>
                <w:kern w:val="0"/>
                <w:sz w:val="20"/>
              </w:rPr>
              <w:t>(2,7–9)</w:t>
            </w:r>
            <w:r w:rsidRPr="00216DE1">
              <w:rPr>
                <w:rFonts w:ascii="Palatino Linotype" w:eastAsia="Times New Roman" w:hAnsi="Palatino Linotype" w:cs="Times New Roman"/>
                <w:kern w:val="0"/>
                <w:sz w:val="20"/>
                <w:szCs w:val="20"/>
                <w14:ligatures w14:val="none"/>
              </w:rPr>
              <w:fldChar w:fldCharType="end"/>
            </w:r>
            <w:r>
              <w:rPr>
                <w:rFonts w:ascii="Palatino Linotype" w:eastAsia="Times New Roman" w:hAnsi="Palatino Linotype" w:cs="Times New Roman"/>
                <w:kern w:val="0"/>
                <w:sz w:val="20"/>
                <w:szCs w:val="20"/>
                <w14:ligatures w14:val="none"/>
              </w:rPr>
              <w:t>.</w:t>
            </w:r>
          </w:p>
        </w:tc>
        <w:tc>
          <w:tcPr>
            <w:tcW w:w="2160" w:type="dxa"/>
            <w:shd w:val="clear" w:color="auto" w:fill="F2F2F2" w:themeFill="background1" w:themeFillShade="F2"/>
            <w:vAlign w:val="center"/>
            <w:hideMark/>
          </w:tcPr>
          <w:p w14:paraId="16301DBF" w14:textId="77777777" w:rsidR="00370236" w:rsidRPr="00216DE1" w:rsidRDefault="00370236" w:rsidP="00C922A1">
            <w:pP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s="Times New Roman"/>
                <w:kern w:val="0"/>
                <w:sz w:val="20"/>
                <w:szCs w:val="20"/>
                <w14:ligatures w14:val="none"/>
              </w:rPr>
            </w:pPr>
            <w:r w:rsidRPr="00216DE1">
              <w:rPr>
                <w:rFonts w:ascii="Palatino Linotype" w:eastAsia="Times New Roman" w:hAnsi="Palatino Linotype" w:cs="Times New Roman"/>
                <w:kern w:val="0"/>
                <w:sz w:val="20"/>
                <w:szCs w:val="20"/>
                <w14:ligatures w14:val="none"/>
              </w:rPr>
              <w:t>The model shows ~7–14 days for complete renewal of superficial layers in the central and peripheral epithelium.</w:t>
            </w:r>
          </w:p>
        </w:tc>
        <w:tc>
          <w:tcPr>
            <w:tcW w:w="3330" w:type="dxa"/>
            <w:shd w:val="clear" w:color="auto" w:fill="F2F2F2" w:themeFill="background1" w:themeFillShade="F2"/>
            <w:vAlign w:val="center"/>
            <w:hideMark/>
          </w:tcPr>
          <w:p w14:paraId="4EF1F856" w14:textId="77777777" w:rsidR="00370236" w:rsidRPr="00216DE1" w:rsidRDefault="00370236" w:rsidP="00C922A1">
            <w:pP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s="Times New Roman"/>
                <w:kern w:val="0"/>
                <w:sz w:val="20"/>
                <w:szCs w:val="20"/>
                <w14:ligatures w14:val="none"/>
              </w:rPr>
            </w:pPr>
            <w:r w:rsidRPr="00216DE1">
              <w:rPr>
                <w:rFonts w:ascii="Palatino Linotype" w:eastAsia="Times New Roman" w:hAnsi="Palatino Linotype" w:cs="Times New Roman"/>
                <w:b/>
                <w:bCs/>
                <w:kern w:val="0"/>
                <w:sz w:val="20"/>
                <w:szCs w:val="20"/>
                <w14:ligatures w14:val="none"/>
              </w:rPr>
              <w:t xml:space="preserve">Constrained calibration. </w:t>
            </w:r>
            <w:r w:rsidRPr="00216DE1">
              <w:rPr>
                <w:rFonts w:ascii="Palatino Linotype" w:eastAsia="Times New Roman" w:hAnsi="Palatino Linotype" w:cs="Times New Roman"/>
                <w:kern w:val="0"/>
                <w:sz w:val="20"/>
                <w:szCs w:val="20"/>
                <w14:ligatures w14:val="none"/>
              </w:rPr>
              <w:t>We used the 7–</w:t>
            </w:r>
            <w:proofErr w:type="gramStart"/>
            <w:r w:rsidRPr="00216DE1">
              <w:rPr>
                <w:rFonts w:ascii="Palatino Linotype" w:eastAsia="Times New Roman" w:hAnsi="Palatino Linotype" w:cs="Times New Roman"/>
                <w:kern w:val="0"/>
                <w:sz w:val="20"/>
                <w:szCs w:val="20"/>
                <w14:ligatures w14:val="none"/>
              </w:rPr>
              <w:t>14 day</w:t>
            </w:r>
            <w:proofErr w:type="gramEnd"/>
            <w:r w:rsidRPr="00216DE1">
              <w:rPr>
                <w:rFonts w:ascii="Palatino Linotype" w:eastAsia="Times New Roman" w:hAnsi="Palatino Linotype" w:cs="Times New Roman"/>
                <w:kern w:val="0"/>
                <w:sz w:val="20"/>
                <w:szCs w:val="20"/>
                <w14:ligatures w14:val="none"/>
              </w:rPr>
              <w:t xml:space="preserve"> turnover window as a primary calibration target when tuning proliferation rates and superficial sloughing rate (</w:t>
            </w:r>
            <w:r>
              <w:rPr>
                <w:rFonts w:ascii="Palatino Linotype" w:hAnsi="Palatino Linotype"/>
                <w:sz w:val="20"/>
                <w:szCs w:val="20"/>
              </w:rPr>
              <w:t>S8</w:t>
            </w:r>
            <w:r w:rsidRPr="00216DE1">
              <w:rPr>
                <w:rFonts w:ascii="Palatino Linotype" w:hAnsi="Palatino Linotype"/>
                <w:sz w:val="20"/>
                <w:szCs w:val="20"/>
              </w:rPr>
              <w:t>–</w:t>
            </w:r>
            <w:r>
              <w:rPr>
                <w:rFonts w:ascii="Palatino Linotype" w:hAnsi="Palatino Linotype"/>
                <w:sz w:val="20"/>
                <w:szCs w:val="20"/>
              </w:rPr>
              <w:t xml:space="preserve">S11 </w:t>
            </w:r>
            <w:r w:rsidRPr="00216DE1">
              <w:rPr>
                <w:rFonts w:ascii="Palatino Linotype" w:hAnsi="Palatino Linotype"/>
                <w:sz w:val="20"/>
                <w:szCs w:val="20"/>
              </w:rPr>
              <w:t>Tables</w:t>
            </w:r>
            <w:r w:rsidRPr="00216DE1">
              <w:rPr>
                <w:rFonts w:ascii="Palatino Linotype" w:eastAsia="Times New Roman" w:hAnsi="Palatino Linotype" w:cs="Times New Roman"/>
                <w:kern w:val="0"/>
                <w:sz w:val="20"/>
                <w:szCs w:val="20"/>
                <w14:ligatures w14:val="none"/>
              </w:rPr>
              <w:t>). Only parameter sets that produced full renewal within this window and preserved realistic epithelial thickness and limbal–central gradients (Row 1) were accepted, ensuring that fitted parameters remained within physiologically reasonable ranges</w:t>
            </w:r>
            <w:r w:rsidRPr="00216DE1">
              <w:rPr>
                <w:rFonts w:ascii="Palatino Linotype" w:eastAsia="Times New Roman" w:hAnsi="Palatino Linotype" w:cs="Times New Roman"/>
                <w:b/>
                <w:bCs/>
                <w:i/>
                <w:iCs/>
                <w:kern w:val="0"/>
                <w:sz w:val="20"/>
                <w:szCs w:val="20"/>
                <w14:ligatures w14:val="none"/>
              </w:rPr>
              <w:t>.</w:t>
            </w:r>
          </w:p>
        </w:tc>
      </w:tr>
      <w:tr w:rsidR="00370236" w:rsidRPr="007F5505" w14:paraId="6CB34B85" w14:textId="77777777" w:rsidTr="00C92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6C7484D8" w14:textId="77777777" w:rsidR="00370236" w:rsidRPr="00216DE1" w:rsidRDefault="00370236" w:rsidP="00C922A1">
            <w:pPr>
              <w:rPr>
                <w:rFonts w:ascii="Palatino Linotype" w:eastAsia="Times New Roman" w:hAnsi="Palatino Linotype" w:cs="Times New Roman"/>
                <w:kern w:val="0"/>
                <w:sz w:val="20"/>
                <w:szCs w:val="20"/>
                <w14:ligatures w14:val="none"/>
              </w:rPr>
            </w:pPr>
            <w:r w:rsidRPr="00216DE1">
              <w:rPr>
                <w:rFonts w:ascii="Palatino Linotype" w:eastAsia="Times New Roman" w:hAnsi="Palatino Linotype" w:cs="Times New Roman"/>
                <w:kern w:val="0"/>
                <w:sz w:val="20"/>
                <w:szCs w:val="20"/>
                <w14:ligatures w14:val="none"/>
              </w:rPr>
              <w:t xml:space="preserve">Healing time, slight/mild epithelial </w:t>
            </w:r>
            <w:r w:rsidRPr="00216DE1">
              <w:rPr>
                <w:rFonts w:ascii="Palatino Linotype" w:eastAsia="Times New Roman" w:hAnsi="Palatino Linotype" w:cs="Times New Roman"/>
                <w:kern w:val="0"/>
                <w:sz w:val="20"/>
                <w:szCs w:val="20"/>
                <w14:ligatures w14:val="none"/>
              </w:rPr>
              <w:lastRenderedPageBreak/>
              <w:t>injury (intact BM)</w:t>
            </w:r>
          </w:p>
        </w:tc>
        <w:tc>
          <w:tcPr>
            <w:tcW w:w="2434" w:type="dxa"/>
            <w:shd w:val="clear" w:color="auto" w:fill="FFFFFF" w:themeFill="background1"/>
            <w:vAlign w:val="center"/>
            <w:hideMark/>
          </w:tcPr>
          <w:p w14:paraId="4D193BF8" w14:textId="6F57300D" w:rsidR="00370236" w:rsidRPr="00216DE1" w:rsidRDefault="00370236" w:rsidP="00C922A1">
            <w:pP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cs="Times New Roman"/>
                <w:kern w:val="0"/>
                <w:sz w:val="20"/>
                <w:szCs w:val="20"/>
                <w14:ligatures w14:val="none"/>
              </w:rPr>
            </w:pPr>
            <w:r w:rsidRPr="00216DE1">
              <w:rPr>
                <w:rFonts w:ascii="Palatino Linotype" w:eastAsia="Times New Roman" w:hAnsi="Palatino Linotype" w:cs="Times New Roman"/>
                <w:kern w:val="0"/>
                <w:sz w:val="20"/>
                <w:szCs w:val="20"/>
                <w14:ligatures w14:val="none"/>
              </w:rPr>
              <w:lastRenderedPageBreak/>
              <w:t xml:space="preserve">Small/superficial corneal abrasions usually heal in 1–3 days; and larger but still epithelial-only abrasions heal within </w:t>
            </w:r>
            <w:r w:rsidRPr="00216DE1">
              <w:rPr>
                <w:rFonts w:ascii="Palatino Linotype" w:eastAsia="Times New Roman" w:hAnsi="Palatino Linotype" w:cs="Times New Roman"/>
                <w:kern w:val="0"/>
                <w:sz w:val="20"/>
                <w:szCs w:val="20"/>
                <w14:ligatures w14:val="none"/>
              </w:rPr>
              <w:lastRenderedPageBreak/>
              <w:t xml:space="preserve">about 3–5 days </w:t>
            </w:r>
            <w:r w:rsidRPr="00216DE1">
              <w:rPr>
                <w:rFonts w:ascii="Palatino Linotype" w:eastAsia="Times New Roman" w:hAnsi="Palatino Linotype" w:cs="Times New Roman"/>
                <w:kern w:val="0"/>
                <w:sz w:val="20"/>
                <w:szCs w:val="20"/>
                <w14:ligatures w14:val="none"/>
              </w:rPr>
              <w:fldChar w:fldCharType="begin"/>
            </w:r>
            <w:r>
              <w:rPr>
                <w:rFonts w:ascii="Palatino Linotype" w:eastAsia="Times New Roman" w:hAnsi="Palatino Linotype" w:cs="Times New Roman"/>
                <w:kern w:val="0"/>
                <w:sz w:val="20"/>
                <w:szCs w:val="20"/>
                <w14:ligatures w14:val="none"/>
              </w:rPr>
              <w:instrText xml:space="preserve"> ADDIN ZOTERO_ITEM CSL_CITATION {"citationID":"a19av8grvjc","properties":{"formattedCitation":"(10\\uc0\\u8211{}13)","plainCitation":"(10–13)","noteIndex":0},"citationItems":[{"id":1683,"uris":["http://zotero.org/users/10714330/items/Q6P6DMER"],"itemData":{"id":1683,"type":"article-journal","abstract":"We studied the reepithelialization of corneal abrasions in 21 patients. All abrasions, irrespective of the nature of injury, followed a consistent pattern during reepithelialization. Three to six convex leading fronts of migrating epithelial sheets developed along the circumference of the defect and progressed toward the center. Neighboring fronts met along their sides, resulting in the formation of various geometric shapes. In the final stage of the healing process a contact line shaped like a \"Y\" or two \"Y's\" placed with their long axes end to end was seen where the advancing fronts of migrating epithelial sheets met. The rate of healing of the abrasions was determined by measuring the area of the abrasions at daily intervals from serial photographs. The area of the epithelial defects decreased exponentially with time, indicating a constant rate of epithelial cell migration.","container-title":"American Journal of Ophthalmology","DOI":"10.1016/s0002-9394(14)74105-4","ISSN":"0002-9394","issue":"5","journalAbbreviation":"Am J Ophthalmol","language":"eng","note":"PMID: 3674182","page":"481-489","source":"PubMed","title":"Clinical patterns of corneal epithelial wound healing","volume":"104","author":[{"family":"Dua","given":"H. S."},{"family":"Forrester","given":"J. V."}],"issued":{"date-parts":[["1987",11,15]]}}},{"id":1681,"uris":["http://zotero.org/users/10714330/items/EF2XFCKZ"],"itemData":{"id":1681,"type":"article-journal","abstract":"STUDY OBJECTIVE: We sought to evaluate the efficacy of eye patching in the treatment of traumatic corneal abrasions in terms of time to healing and reduction in pain and discomfort.\nMETHODS: One hundred sixty-three patients presenting at the emergency department of a large university-affiliated hospital with traumatic corneal abrasions were included in this single-blind prospective controlled trial. Eligible patients were assigned to 1 of 2 treatment regimens: topical antibiotic ointment and occlusive patch over the affected eye (n=82) or topical antibiotic ointment 4 times a day without an occlusive patch (n=81). Patients were reexamined every 24 hours until corneal healing occurred. Healing evaluation was performed by the emergency physician, using a slit lamp with fluorescein staining, without knowledge of the patient's assignment to a treatment group. The degree of discomfort was assessed at each visit by using a visual analog scale.\nRESULTS: Both treatment groups were similar regarding size of the corneal lesions, delay from trauma to first ED visit, presence of foreign body or siderosis, initial degree of discomfort, and presence of specific symptoms (irritation, foreign body sensation, photophobia, redness, and pain). In the patched group, cumulative incidences of healing were 51%, 78%, and 92% after 1, 2, and 3 days, respectively, compared with 60%, 83%, and 88% in the nonpatched group. In the patched group, symptoms of initial discomfort decreased by 4.8, 4.1, and 5.5 cm after 1, 2, and 3 days, respectively, compared with 3.3, 5.1, and 6.5 cm in the nonpatched group.\nCONCLUSION: Eye patching does not appear to be beneficial in the treatment of traumatic corneal abrasions compared with topical antibiotic ointment.","container-title":"Annals of Emergency Medicine","DOI":"10.1067/mem.2001.115443","ISSN":"0196-0644","issue":"2","journalAbbreviation":"Ann Emerg Med","language":"eng","note":"PMID: 11468606","page":"129-134","source":"PubMed","title":"Efficacy of eye patching for traumatic corneal abrasions: a controlled clinical trial","title-short":"Efficacy of eye patching for traumatic corneal abrasions","volume":"38","author":[{"family":"Le Sage","given":"N."},{"family":"Verreault","given":"R."},{"family":"Rochette","given":"L."}],"issued":{"date-parts":[["2001",8]]}}},{"id":1696,"uris":["http://zotero.org/users/10714330/items/WS7X5X35"],"itemData":{"id":1696,"type":"article-journal","abstract":"A criticism of the use of the rabbit low-volume eye test to determine eye irritation hazard for man is the lack of comparative data in man and rabbit with undiluted products. To address this, such a study has been performed in man and rabbit using undiluted model liquid detergents. The hypothesis tested was that if, under identical test conditions, the effects in the rabbit were the same or greater than the response in man, then it is valid to use the low-volume eye test to assess eye irritation hazard for man. The studies were carried out using 29 human volunteers and 12 rabbits. The effects in the rabbit were unequivocally greater than the effects observed in man, but clearly less than the expected response from these types of product in the Draize test. The results from this study confirm the sensitivity of the rabbit as a test species, and support the use of the low-volume eye test to assess eye irritation hazard for man. Any in vitro/ex vivo alternative to assess eye irritation should be developed against the rabbit low-volume eye test or human data where available.","container-title":"Food and Chemical Toxicology: An International Journal Published for the British Industrial Biological Research Association","DOI":"10.1016/s0278-6915(00)00057-0","ISSN":"0278-6915","issue":"8","journalAbbreviation":"Food Chem Toxicol","language":"eng","note":"PMID: 10908820","page":"727-734","source":"PubMed","title":"Eye irritation responses in rabbit and man after single applications of equal volumes of undiluted model liquid detergent products","volume":"38","author":[{"family":"Roggeband","given":"R."},{"family":"York","given":"M."},{"family":"Pericoi","given":"M."},{"family":"Braun","given":"W."}],"issued":{"date-parts":[["2000",8]]}}},{"id":1694,"uris":["http://zotero.org/users/10714330/items/RILYHM58"],"itemData":{"id":1694,"type":"article-journal","abstract":"To assess the aetiologies, clinical characteristics, treatment regimens, and outcomes of acute chemical injuries treated at an emergency eye clinic. Retrospective, observational study of all cases of chemical eye injury that presented acutely to the Greenlane Clinical Centre in Auckland, New Zealand from 1 January 2012 through 31 December 2021. Patient demographics, activity at the time of injury, causative chemical, clinical characteristics of injury at presentation, severity (Dua) classification, admission and discharge best corrected visual acuity (BCVA), treatment regimen, time to epithelisation and number of follow-up appointments were recorded. In total, 1522 cases involving 1919 eyes were studied. The mean age was 40.6 ± 18.8 years and 65% were male. The majority of cases occurred at home (62%) and cleaning was the most common activity (38%). There were 1490 Grade I (98%), 22 Grade II (1.5%), 5 Grade III (0.3%), 1 Grade IV (0.07%), 0 Grade V, and 4 Grade VI (0.3%) cases. An epithelial defect was noted in 409 cases (26.9%), of which re-epithelialisation occurred within one week for 378 cases (92%) and within 30 days for 384 cases (94%). Moderate vision loss (BCVA ≤ 6/12) attributed to the injury occurred in 152 (10%), while severe vision loss (BCVA ≤ 6/60) occurred in 30 (2%). Lack of irrigation at the scene was associated with an increased risk of severe injury and longstanding visual impairment (p = 0.0001). Most acute chemical injuries are mild with good clinical outcomes. Although rare, severe injuries are associated with a lack of irrigation at the scene and worse visual outcomes.","container-title":"Scientific Reports","DOI":"10.1038/s41598-024-58670-y","ISSN":"2045-2322","issue":"1","language":"en","license":"2024 The Author(s)","note":"publisher: Nature Publishing Group","page":"8264","source":"www.nature.com","title":"Chemical eye injuries: a 10 year retrospective review of acute presentations and clinical outcomes in Auckland, New Zealand","title-short":"Chemical eye injuries","volume":"14","author":[{"family":"Allen","given":"Natalie E."},{"family":"Crawford","given":"Alexandra Z."},{"family":"McGhee","given":"Charles N. J."},{"family":"Meyer","given":"Jay J."}],"issued":{"date-parts":[["2024",4,9]]}}}],"schema":"https://github.com/citation-style-language/schema/raw/master/csl-citation.json"} </w:instrText>
            </w:r>
            <w:r w:rsidRPr="00216DE1">
              <w:rPr>
                <w:rFonts w:ascii="Palatino Linotype" w:eastAsia="Times New Roman" w:hAnsi="Palatino Linotype" w:cs="Times New Roman"/>
                <w:kern w:val="0"/>
                <w:sz w:val="20"/>
                <w:szCs w:val="20"/>
                <w14:ligatures w14:val="none"/>
              </w:rPr>
              <w:fldChar w:fldCharType="separate"/>
            </w:r>
            <w:r w:rsidRPr="00370236">
              <w:rPr>
                <w:rFonts w:ascii="Palatino Linotype" w:hAnsi="Palatino Linotype" w:cs="Times New Roman"/>
                <w:kern w:val="0"/>
                <w:sz w:val="20"/>
              </w:rPr>
              <w:t>(10–13)</w:t>
            </w:r>
            <w:r w:rsidRPr="00216DE1">
              <w:rPr>
                <w:rFonts w:ascii="Palatino Linotype" w:eastAsia="Times New Roman" w:hAnsi="Palatino Linotype" w:cs="Times New Roman"/>
                <w:kern w:val="0"/>
                <w:sz w:val="20"/>
                <w:szCs w:val="20"/>
                <w14:ligatures w14:val="none"/>
              </w:rPr>
              <w:fldChar w:fldCharType="end"/>
            </w:r>
            <w:r w:rsidRPr="00216DE1">
              <w:rPr>
                <w:rFonts w:ascii="Palatino Linotype" w:eastAsia="Times New Roman" w:hAnsi="Palatino Linotype" w:cs="Times New Roman"/>
                <w:kern w:val="0"/>
                <w:sz w:val="20"/>
                <w:szCs w:val="20"/>
                <w14:ligatures w14:val="none"/>
              </w:rPr>
              <w:t xml:space="preserve">. </w:t>
            </w:r>
            <w:r w:rsidRPr="00CD4BDB">
              <w:rPr>
                <w:rFonts w:ascii="Palatino Linotype" w:eastAsia="Times New Roman" w:hAnsi="Palatino Linotype" w:cs="Times New Roman"/>
                <w:kern w:val="0"/>
                <w:sz w:val="20"/>
                <w:szCs w:val="20"/>
                <w14:ligatures w14:val="none"/>
              </w:rPr>
              <w:t>Here ‘healing’ refers to structural re-epithelialization and restoration of a continuous epithelial surface, as assessed by disappearance of fluorescein-stained defects and normalization of epithelial thickness in clinical imaging.</w:t>
            </w:r>
          </w:p>
        </w:tc>
        <w:tc>
          <w:tcPr>
            <w:tcW w:w="2160" w:type="dxa"/>
            <w:shd w:val="clear" w:color="auto" w:fill="FFFFFF" w:themeFill="background1"/>
            <w:vAlign w:val="center"/>
            <w:hideMark/>
          </w:tcPr>
          <w:p w14:paraId="5C1E6957" w14:textId="77777777" w:rsidR="00370236" w:rsidRPr="00216DE1" w:rsidRDefault="00370236" w:rsidP="00C922A1">
            <w:pP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cs="Times New Roman"/>
                <w:kern w:val="0"/>
                <w:sz w:val="20"/>
                <w:szCs w:val="20"/>
                <w14:ligatures w14:val="none"/>
              </w:rPr>
            </w:pPr>
            <w:r w:rsidRPr="00216DE1">
              <w:rPr>
                <w:rFonts w:ascii="Palatino Linotype" w:eastAsia="Times New Roman" w:hAnsi="Palatino Linotype" w:cs="Times New Roman"/>
                <w:kern w:val="0"/>
                <w:sz w:val="20"/>
                <w:szCs w:val="20"/>
                <w14:ligatures w14:val="none"/>
              </w:rPr>
              <w:lastRenderedPageBreak/>
              <w:t>Slight and mild injuries confined to the epithelium close completely in ~3–5 days, with re-</w:t>
            </w:r>
            <w:r w:rsidRPr="00216DE1">
              <w:rPr>
                <w:rFonts w:ascii="Palatino Linotype" w:eastAsia="Times New Roman" w:hAnsi="Palatino Linotype" w:cs="Times New Roman"/>
                <w:kern w:val="0"/>
                <w:sz w:val="20"/>
                <w:szCs w:val="20"/>
                <w14:ligatures w14:val="none"/>
              </w:rPr>
              <w:lastRenderedPageBreak/>
              <w:t>establishment of a continuous epithelial surface and return of thickness and cell counts to pre-injury baseline (Fig. 9–10, top/middle rows).</w:t>
            </w:r>
          </w:p>
        </w:tc>
        <w:tc>
          <w:tcPr>
            <w:tcW w:w="3330" w:type="dxa"/>
            <w:shd w:val="clear" w:color="auto" w:fill="FFFFFF" w:themeFill="background1"/>
            <w:vAlign w:val="center"/>
            <w:hideMark/>
          </w:tcPr>
          <w:p w14:paraId="15BC1D0D" w14:textId="77777777" w:rsidR="00370236" w:rsidRPr="00216DE1" w:rsidRDefault="00370236" w:rsidP="00C922A1">
            <w:pPr>
              <w:cnfStyle w:val="000000100000" w:firstRow="0" w:lastRow="0" w:firstColumn="0" w:lastColumn="0" w:oddVBand="0" w:evenVBand="0" w:oddHBand="1" w:evenHBand="0" w:firstRowFirstColumn="0" w:firstRowLastColumn="0" w:lastRowFirstColumn="0" w:lastRowLastColumn="0"/>
              <w:rPr>
                <w:rFonts w:ascii="Palatino Linotype" w:eastAsia="Times New Roman" w:hAnsi="Palatino Linotype" w:cs="Times New Roman"/>
                <w:kern w:val="0"/>
                <w:sz w:val="20"/>
                <w:szCs w:val="20"/>
                <w14:ligatures w14:val="none"/>
              </w:rPr>
            </w:pPr>
            <w:r w:rsidRPr="00216DE1">
              <w:rPr>
                <w:rFonts w:ascii="Palatino Linotype" w:eastAsia="Times New Roman" w:hAnsi="Palatino Linotype" w:cs="Times New Roman"/>
                <w:b/>
                <w:bCs/>
                <w:kern w:val="0"/>
                <w:sz w:val="20"/>
                <w:szCs w:val="20"/>
                <w14:ligatures w14:val="none"/>
              </w:rPr>
              <w:lastRenderedPageBreak/>
              <w:t xml:space="preserve">Secondary constraint + validation. </w:t>
            </w:r>
            <w:r w:rsidRPr="00216DE1">
              <w:rPr>
                <w:rFonts w:ascii="Palatino Linotype" w:eastAsia="Times New Roman" w:hAnsi="Palatino Linotype" w:cs="Times New Roman"/>
                <w:kern w:val="0"/>
                <w:sz w:val="20"/>
                <w:szCs w:val="20"/>
                <w14:ligatures w14:val="none"/>
              </w:rPr>
              <w:t>During parameter screening, we rejected parameter sets for which slight/mild epithelial-only injuries failed to close within the 1–</w:t>
            </w:r>
            <w:proofErr w:type="gramStart"/>
            <w:r w:rsidRPr="00216DE1">
              <w:rPr>
                <w:rFonts w:ascii="Palatino Linotype" w:eastAsia="Times New Roman" w:hAnsi="Palatino Linotype" w:cs="Times New Roman"/>
                <w:kern w:val="0"/>
                <w:sz w:val="20"/>
                <w:szCs w:val="20"/>
                <w14:ligatures w14:val="none"/>
              </w:rPr>
              <w:t>5 day</w:t>
            </w:r>
            <w:proofErr w:type="gramEnd"/>
            <w:r w:rsidRPr="00216DE1">
              <w:rPr>
                <w:rFonts w:ascii="Palatino Linotype" w:eastAsia="Times New Roman" w:hAnsi="Palatino Linotype" w:cs="Times New Roman"/>
                <w:kern w:val="0"/>
                <w:sz w:val="20"/>
                <w:szCs w:val="20"/>
                <w14:ligatures w14:val="none"/>
              </w:rPr>
              <w:t xml:space="preserve"> </w:t>
            </w:r>
            <w:r w:rsidRPr="00216DE1">
              <w:rPr>
                <w:rFonts w:ascii="Palatino Linotype" w:eastAsia="Times New Roman" w:hAnsi="Palatino Linotype" w:cs="Times New Roman"/>
                <w:kern w:val="0"/>
                <w:sz w:val="20"/>
                <w:szCs w:val="20"/>
                <w14:ligatures w14:val="none"/>
              </w:rPr>
              <w:lastRenderedPageBreak/>
              <w:t>clinical window (Row 3, experimental column). However, we did not fit an exact time course. After fixing parameters based on homeostasis and turnover (Rows 1–2), we confirmed that the resulting wound-closure dynamics, recovery of epithelial thickness and cell counts, and near-exponential decrease in defect area qualitatively match clinical observations of epithelial sheet migration and area closure</w:t>
            </w:r>
            <w:r>
              <w:rPr>
                <w:rFonts w:ascii="Palatino Linotype" w:eastAsia="Times New Roman" w:hAnsi="Palatino Linotype" w:cs="Times New Roman"/>
                <w:kern w:val="0"/>
                <w:sz w:val="20"/>
                <w:szCs w:val="20"/>
                <w14:ligatures w14:val="none"/>
              </w:rPr>
              <w:t>.</w:t>
            </w:r>
          </w:p>
        </w:tc>
      </w:tr>
      <w:tr w:rsidR="00370236" w:rsidRPr="007F5505" w14:paraId="0490FCDC" w14:textId="77777777" w:rsidTr="00C922A1">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hideMark/>
          </w:tcPr>
          <w:p w14:paraId="35651851" w14:textId="77777777" w:rsidR="00370236" w:rsidRPr="00216DE1" w:rsidRDefault="00370236" w:rsidP="00C922A1">
            <w:pPr>
              <w:rPr>
                <w:rFonts w:ascii="Palatino Linotype" w:eastAsia="Times New Roman" w:hAnsi="Palatino Linotype" w:cs="Times New Roman"/>
                <w:kern w:val="0"/>
                <w:sz w:val="20"/>
                <w:szCs w:val="20"/>
                <w14:ligatures w14:val="none"/>
              </w:rPr>
            </w:pPr>
            <w:r w:rsidRPr="00216DE1">
              <w:rPr>
                <w:rFonts w:ascii="Palatino Linotype" w:eastAsia="Times New Roman" w:hAnsi="Palatino Linotype" w:cs="Times New Roman"/>
                <w:kern w:val="0"/>
                <w:sz w:val="20"/>
                <w:szCs w:val="20"/>
                <w14:ligatures w14:val="none"/>
              </w:rPr>
              <w:lastRenderedPageBreak/>
              <w:t>Healing after basement membrane damage (moderate injuries)</w:t>
            </w:r>
          </w:p>
        </w:tc>
        <w:tc>
          <w:tcPr>
            <w:tcW w:w="2434" w:type="dxa"/>
            <w:shd w:val="clear" w:color="auto" w:fill="F2F2F2" w:themeFill="background1" w:themeFillShade="F2"/>
            <w:vAlign w:val="center"/>
            <w:hideMark/>
          </w:tcPr>
          <w:p w14:paraId="02629D97" w14:textId="33F19DF8" w:rsidR="00370236" w:rsidRPr="00216DE1" w:rsidRDefault="00370236" w:rsidP="00C922A1">
            <w:pP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s="Times New Roman"/>
                <w:kern w:val="0"/>
                <w:sz w:val="20"/>
                <w:szCs w:val="20"/>
                <w14:ligatures w14:val="none"/>
              </w:rPr>
            </w:pPr>
            <w:r w:rsidRPr="00216DE1">
              <w:rPr>
                <w:rFonts w:ascii="Palatino Linotype" w:eastAsia="Times New Roman" w:hAnsi="Palatino Linotype" w:cs="Times New Roman"/>
                <w:kern w:val="0"/>
                <w:sz w:val="20"/>
                <w:szCs w:val="20"/>
                <w14:ligatures w14:val="none"/>
              </w:rPr>
              <w:t xml:space="preserve">When the epithelial basement membrane is disrupted, re-epithelialization and restoration of stable epithelial adhesion are slower and prone to recurrent erosions; clinically, structurally closed epithelia may repeatedly break down for weeks to months, resulting in recurrent corneal erosion (RCE), where structurally closed epithelia reopen under minor stress </w:t>
            </w:r>
            <w:r w:rsidRPr="00216DE1">
              <w:rPr>
                <w:rFonts w:ascii="Palatino Linotype" w:eastAsia="Times New Roman" w:hAnsi="Palatino Linotype" w:cs="Times New Roman"/>
                <w:kern w:val="0"/>
                <w:sz w:val="20"/>
                <w:szCs w:val="20"/>
                <w14:ligatures w14:val="none"/>
              </w:rPr>
              <w:fldChar w:fldCharType="begin"/>
            </w:r>
            <w:r>
              <w:rPr>
                <w:rFonts w:ascii="Palatino Linotype" w:eastAsia="Times New Roman" w:hAnsi="Palatino Linotype" w:cs="Times New Roman"/>
                <w:kern w:val="0"/>
                <w:sz w:val="20"/>
                <w:szCs w:val="20"/>
                <w14:ligatures w14:val="none"/>
              </w:rPr>
              <w:instrText xml:space="preserve"> ADDIN ZOTERO_ITEM CSL_CITATION {"citationID":"a2e5b8u3349","properties":{"formattedCitation":"(11\\uc0\\u8211{}15)","plainCitation":"(11–15)","noteIndex":0},"citationItems":[{"id":305,"uris":["http://zotero.org/users/local/kXPGHtSM/items/S6L8REMH","http://zotero.org/users/10714330/items/S6L8REMH"],"itemData":{"id":305,"type":"article-journal","abstract":"Recurrent corneal erosions (RCE) are common. They are characterised by repeated episodes of pain, difficulty in opening the eyes, watering, and photophobia resulting from poor epithelial adhesion. In the majority of patients with RCE, trauma is the initiating factor. Epithelial, stromal, and endothelial corneal dystrophies have all been described in association with RCE. Other causes that may lead to RCE include chemical and thermal injuries, previous herpetic keratitis, meibomian gland dysfunction, ocular rosacea, diabetes mellitus, Salzmann's nodular degeneration, band keratopathy, previous bacterial ulceration, kerato-conjunctivitis sicca, and epidermolysis bullosa. The conditions that are associated with RCE can be either primary or secondary depending on whether the basement membrane complex abnormality is intrinsic or acquired. Primary types tend to be bilateral, symmetrical and develop in multiple corneal locations. The pathogenetic mechanism of this disorder is related to poor adhesion of the corneal epithelium to the underlying stroma. Excessive matrix metalloproteinase (MMP) activity may play a role in the pathogenesis. Although the majority of patients will respond to simple measures such as padding and antibiotic ointment, RCE resistant to simple measures require approaches that are more elaborate. The common goal of these approaches is to encourage proper formation of adhesion complexes between the epithelium and the stroma. The use of long-term contact lenses, autologous serum eye drops, botulinum toxin, induced ptosis, oral MMP inhibitors, diamond burr polishing of Bowman's membrane have been reported with varying degree of success in treating RCE. Anterior stromal puncture with insulin needles or Neodymium : aluminium–yttrium–garnet may enhance the epithelial adhesion to the basement membrane by scar formation and success rates of up to 80% have been reported in the treatment of recalcitrant RCE. Excimer laser photo-therapeutic keratectomy (PTK) is now a well-established treatment modality for RCE and is being used both safely and effectively. Partial ablation of Bowman's layer with PTK gives a smooth surface for the newly generating epithelium to migrate and form adhesion complexes. The pathogenesis, clinical features, and management options of this common disorder are discussed in this review article.","container-title":"Eye","DOI":"10.1038/sj.eye.6702005","ISSN":"1476-5454","issue":"6","language":"en","license":"2006 Royal College of Ophthalmologists","note":"publisher: Nature Publishing Group","page":"635-644","source":"www.nature.com","title":"Pathogenesis, clinical features and management of recurrent corneal erosions","volume":"20","author":[{"family":"Ramamurthi","given":"S."},{"family":"Rahman","given":"M. Q."},{"family":"Dutton","given":"G. N."},{"family":"Ramaesh","given":"K."}],"issued":{"date-parts":[["2006",6]]}}},{"id":1681,"uris":["http://zotero.org/users/10714330/items/EF2XFCKZ"],"itemData":{"id":1681,"type":"article-journal","abstract":"STUDY OBJECTIVE: We sought to evaluate the efficacy of eye patching in the treatment of traumatic corneal abrasions in terms of time to healing and reduction in pain and discomfort.\nMETHODS: One hundred sixty-three patients presenting at the emergency department of a large university-affiliated hospital with traumatic corneal abrasions were included in this single-blind prospective controlled trial. Eligible patients were assigned to 1 of 2 treatment regimens: topical antibiotic ointment and occlusive patch over the affected eye (n=82) or topical antibiotic ointment 4 times a day without an occlusive patch (n=81). Patients were reexamined every 24 hours until corneal healing occurred. Healing evaluation was performed by the emergency physician, using a slit lamp with fluorescein staining, without knowledge of the patient's assignment to a treatment group. The degree of discomfort was assessed at each visit by using a visual analog scale.\nRESULTS: Both treatment groups were similar regarding size of the corneal lesions, delay from trauma to first ED visit, presence of foreign body or siderosis, initial degree of discomfort, and presence of specific symptoms (irritation, foreign body sensation, photophobia, redness, and pain). In the patched group, cumulative incidences of healing were 51%, 78%, and 92% after 1, 2, and 3 days, respectively, compared with 60%, 83%, and 88% in the nonpatched group. In the patched group, symptoms of initial discomfort decreased by 4.8, 4.1, and 5.5 cm after 1, 2, and 3 days, respectively, compared with 3.3, 5.1, and 6.5 cm in the nonpatched group.\nCONCLUSION: Eye patching does not appear to be beneficial in the treatment of traumatic corneal abrasions compared with topical antibiotic ointment.","container-title":"Annals of Emergency Medicine","DOI":"10.1067/mem.2001.115443","ISSN":"0196-0644","issue":"2","journalAbbreviation":"Ann Emerg Med","language":"eng","note":"PMID: 11468606","page":"129-134","source":"PubMed","title":"Efficacy of eye patching for traumatic corneal abrasions: a controlled clinical trial","title-short":"Efficacy of eye patching for traumatic corneal abrasions","volume":"38","author":[{"family":"Le Sage","given":"N."},{"family":"Verreault","given":"R."},{"family":"Rochette","given":"L."}],"issued":{"date-parts":[["2001",8]]}}},{"id":1696,"uris":["http://zotero.org/users/10714330/items/WS7X5X35"],"itemData":{"id":1696,"type":"article-journal","abstract":"A criticism of the use of the rabbit low-volume eye test to determine eye irritation hazard for man is the lack of comparative data in man and rabbit with undiluted products. To address this, such a study has been performed in man and rabbit using undiluted model liquid detergents. The hypothesis tested was that if, under identical test conditions, the effects in the rabbit were the same or greater than the response in man, then it is valid to use the low-volume eye test to assess eye irritation hazard for man. The studies were carried out using 29 human volunteers and 12 rabbits. The effects in the rabbit were unequivocally greater than the effects observed in man, but clearly less than the expected response from these types of product in the Draize test. The results from this study confirm the sensitivity of the rabbit as a test species, and support the use of the low-volume eye test to assess eye irritation hazard for man. Any in vitro/ex vivo alternative to assess eye irritation should be developed against the rabbit low-volume eye test or human data where available.","container-title":"Food and Chemical Toxicology: An International Journal Published for the British Industrial Biological Research Association","DOI":"10.1016/s0278-6915(00)00057-0","ISSN":"0278-6915","issue":"8","journalAbbreviation":"Food Chem Toxicol","language":"eng","note":"PMID: 10908820","page":"727-734","source":"PubMed","title":"Eye irritation responses in rabbit and man after single applications of equal volumes of undiluted model liquid detergent products","volume":"38","author":[{"family":"Roggeband","given":"R."},{"family":"York","given":"M."},{"family":"Pericoi","given":"M."},{"family":"Braun","given":"W."}],"issued":{"date-parts":[["2000",8]]}}},{"id":1694,"uris":["http://zotero.org/users/10714330/items/RILYHM58"],"itemData":{"id":1694,"type":"article-journal","abstract":"To assess the aetiologies, clinical characteristics, treatment regimens, and outcomes of acute chemical injuries treated at an emergency eye clinic. Retrospective, observational study of all cases of chemical eye injury that presented acutely to the Greenlane Clinical Centre in Auckland, New Zealand from 1 January 2012 through 31 December 2021. Patient demographics, activity at the time of injury, causative chemical, clinical characteristics of injury at presentation, severity (Dua) classification, admission and discharge best corrected visual acuity (BCVA), treatment regimen, time to epithelisation and number of follow-up appointments were recorded. In total, 1522 cases involving 1919 eyes were studied. The mean age was 40.6 ± 18.8 years and 65% were male. The majority of cases occurred at home (62%) and cleaning was the most common activity (38%). There were 1490 Grade I (98%), 22 Grade II (1.5%), 5 Grade III (0.3%), 1 Grade IV (0.07%), 0 Grade V, and 4 Grade VI (0.3%) cases. An epithelial defect was noted in 409 cases (26.9%), of which re-epithelialisation occurred within one week for 378 cases (92%) and within 30 days for 384 cases (94%). Moderate vision loss (BCVA ≤ 6/12) attributed to the injury occurred in 152 (10%), while severe vision loss (BCVA ≤ 6/60) occurred in 30 (2%). Lack of irrigation at the scene was associated with an increased risk of severe injury and longstanding visual impairment (p = 0.0001). Most acute chemical injuries are mild with good clinical outcomes. Although rare, severe injuries are associated with a lack of irrigation at the scene and worse visual outcomes.","container-title":"Scientific Reports","DOI":"10.1038/s41598-024-58670-y","ISSN":"2045-2322","issue":"1","language":"en","license":"2024 The Author(s)","note":"publisher: Nature Publishing Group","page":"8264","source":"www.nature.com","title":"Chemical eye injuries: a 10 year retrospective review of acute presentations and clinical outcomes in Auckland, New Zealand","title-short":"Chemical eye injuries","volume":"14","author":[{"family":"Allen","given":"Natalie E."},{"family":"Crawford","given":"Alexandra Z."},{"family":"McGhee","given":"Charles N. J."},{"family":"Meyer","given":"Jay J."}],"issued":{"date-parts":[["2024",4,9]]}}},{"id":1679,"uris":["http://zotero.org/users/10714330/items/PCPK7AY7"],"itemData":{"id":1679,"type":"article-journal","abstract":"PURPOSE: (i) To describe the course of ocular symptoms and recurrent corneal erosion (RCE) following traumatic corneal abrasion (TCA). (ii) To assess the efficacy of a regimen of nightly eye ointment in preventing symptoms and RCE.\nMETHODS: Patients presenting with TCA were treated with g. cyclopentolate 1% stat. and oc. chloramphenicol q.d.s. for 5 days. Eye pads were not used. For injuries caused by a fingernail, patients were randomised to receive either this 'standard regimen' alone, or to follow with a lubricating ointment (Lacrilube) nocte for 2 months. Follow-up was by telephone, using a symptom-based questionnaire. Recurrent symptoms were graded as: (i) none or minimal, (ii) mild, (iii) moderate (difficulty with some activities, or sought further opinion) and (iv) disabling (confirmed macroform RCE). After 2 years, case-notes were reviewed. The study is continuing, with further telephone follow-up taking place.\nRESULTS: Three-month follow-up was completed for 42 'fingernail' injuries and 32 'non-fingernail' TCAs. When treated with our standard regimen, 'mild' symptoms were reported in 10% of 'fingernail' and 10% of 'non-fingernail' injuries. Symptoms were 'moderate' in 0 and 12% respectively. Chisquared test confirmed a significantly higher prevalence of recurrent symptoms in the 'additional nightly ointment' group of 'fingernail' injuries (p = 0.016). Two macroform RCEs were confirmed by 2 years: one from each treatment group of 'fingernail' injury.\nCONCLUSIONS: When TCA is managed as above, there is a high prevalence of recurrent symptoms in the following 3 months. Additional nightly ointment appears to worsen prognosis. Macroform RCE is not common in the 2 years following TCA.","container-title":"Eye (London, England)","DOI":"10.1038/eye.1999.87","ISSN":"0950-222X","journalAbbreviation":"Eye (Lond)","language":"eng","note":"PMID: 10624430","page":"345-347","source":"PubMed","title":"Recurrent symptoms following traumatic corneal abrasion: prevalence, severity, and the effect of a simple regimen of prophylaxis","title-short":"Recurrent symptoms following traumatic corneal abrasion","volume":"13 ( Pt 3a)","author":[{"family":"Eke","given":"T."},{"family":"Morrison","given":"D. A."},{"family":"Austin","given":"D. J."}],"issued":{"date-parts":[["1999",6]]}}}],"schema":"https://github.com/citation-style-language/schema/raw/master/csl-citation.json"} </w:instrText>
            </w:r>
            <w:r w:rsidRPr="00216DE1">
              <w:rPr>
                <w:rFonts w:ascii="Palatino Linotype" w:eastAsia="Times New Roman" w:hAnsi="Palatino Linotype" w:cs="Times New Roman"/>
                <w:kern w:val="0"/>
                <w:sz w:val="20"/>
                <w:szCs w:val="20"/>
                <w14:ligatures w14:val="none"/>
              </w:rPr>
              <w:fldChar w:fldCharType="separate"/>
            </w:r>
            <w:r w:rsidRPr="00370236">
              <w:rPr>
                <w:rFonts w:ascii="Palatino Linotype" w:hAnsi="Palatino Linotype" w:cs="Times New Roman"/>
                <w:kern w:val="0"/>
                <w:sz w:val="20"/>
              </w:rPr>
              <w:t>(11–15)</w:t>
            </w:r>
            <w:r w:rsidRPr="00216DE1">
              <w:rPr>
                <w:rFonts w:ascii="Palatino Linotype" w:eastAsia="Times New Roman" w:hAnsi="Palatino Linotype" w:cs="Times New Roman"/>
                <w:kern w:val="0"/>
                <w:sz w:val="20"/>
                <w:szCs w:val="20"/>
                <w14:ligatures w14:val="none"/>
              </w:rPr>
              <w:fldChar w:fldCharType="end"/>
            </w:r>
            <w:r w:rsidRPr="00216DE1">
              <w:rPr>
                <w:rFonts w:ascii="Palatino Linotype" w:eastAsia="Times New Roman" w:hAnsi="Palatino Linotype" w:cs="Times New Roman"/>
                <w:kern w:val="0"/>
                <w:sz w:val="20"/>
                <w:szCs w:val="20"/>
                <w14:ligatures w14:val="none"/>
              </w:rPr>
              <w:t xml:space="preserve"> </w:t>
            </w:r>
          </w:p>
        </w:tc>
        <w:tc>
          <w:tcPr>
            <w:tcW w:w="2160" w:type="dxa"/>
            <w:shd w:val="clear" w:color="auto" w:fill="F2F2F2" w:themeFill="background1" w:themeFillShade="F2"/>
            <w:vAlign w:val="center"/>
            <w:hideMark/>
          </w:tcPr>
          <w:p w14:paraId="1C446C3F" w14:textId="77777777" w:rsidR="00370236" w:rsidRPr="00216DE1" w:rsidRDefault="00370236" w:rsidP="00C922A1">
            <w:pP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s="Times New Roman"/>
                <w:kern w:val="0"/>
                <w:sz w:val="20"/>
                <w:szCs w:val="20"/>
                <w14:ligatures w14:val="none"/>
              </w:rPr>
            </w:pPr>
            <w:r w:rsidRPr="00216DE1">
              <w:rPr>
                <w:rFonts w:ascii="Palatino Linotype" w:eastAsia="Times New Roman" w:hAnsi="Palatino Linotype" w:cs="Times New Roman"/>
                <w:kern w:val="0"/>
                <w:sz w:val="20"/>
                <w:szCs w:val="20"/>
                <w14:ligatures w14:val="none"/>
              </w:rPr>
              <w:t xml:space="preserve">Moderate injuries that destroy EpBM do not fully return to stable homeostasis over 20 days. After initial closure, the model exhibits repeated episodes of epithelial detachment and loss of superficial/wing layers, with incomplete recovery of cell numbers and thickness—behavior qualitatively </w:t>
            </w:r>
            <w:proofErr w:type="gramStart"/>
            <w:r w:rsidRPr="00216DE1">
              <w:rPr>
                <w:rFonts w:ascii="Palatino Linotype" w:eastAsia="Times New Roman" w:hAnsi="Palatino Linotype" w:cs="Times New Roman"/>
                <w:kern w:val="0"/>
                <w:sz w:val="20"/>
                <w:szCs w:val="20"/>
                <w14:ligatures w14:val="none"/>
              </w:rPr>
              <w:t>similar to</w:t>
            </w:r>
            <w:proofErr w:type="gramEnd"/>
            <w:r w:rsidRPr="00216DE1">
              <w:rPr>
                <w:rFonts w:ascii="Palatino Linotype" w:eastAsia="Times New Roman" w:hAnsi="Palatino Linotype" w:cs="Times New Roman"/>
                <w:kern w:val="0"/>
                <w:sz w:val="20"/>
                <w:szCs w:val="20"/>
                <w14:ligatures w14:val="none"/>
              </w:rPr>
              <w:t xml:space="preserve"> clinical RCE.</w:t>
            </w:r>
          </w:p>
        </w:tc>
        <w:tc>
          <w:tcPr>
            <w:tcW w:w="3330" w:type="dxa"/>
            <w:shd w:val="clear" w:color="auto" w:fill="F2F2F2" w:themeFill="background1" w:themeFillShade="F2"/>
            <w:vAlign w:val="center"/>
            <w:hideMark/>
          </w:tcPr>
          <w:p w14:paraId="07F95DD2" w14:textId="77777777" w:rsidR="00370236" w:rsidRPr="00216DE1" w:rsidRDefault="00370236" w:rsidP="00C922A1">
            <w:pPr>
              <w:cnfStyle w:val="000000000000" w:firstRow="0" w:lastRow="0" w:firstColumn="0" w:lastColumn="0" w:oddVBand="0" w:evenVBand="0" w:oddHBand="0" w:evenHBand="0" w:firstRowFirstColumn="0" w:firstRowLastColumn="0" w:lastRowFirstColumn="0" w:lastRowLastColumn="0"/>
              <w:rPr>
                <w:rFonts w:ascii="Palatino Linotype" w:eastAsia="Times New Roman" w:hAnsi="Palatino Linotype" w:cs="Times New Roman"/>
                <w:kern w:val="0"/>
                <w:sz w:val="20"/>
                <w:szCs w:val="20"/>
                <w14:ligatures w14:val="none"/>
              </w:rPr>
            </w:pPr>
            <w:r w:rsidRPr="00216DE1">
              <w:rPr>
                <w:rFonts w:ascii="Palatino Linotype" w:eastAsia="Times New Roman" w:hAnsi="Palatino Linotype" w:cs="Times New Roman"/>
                <w:b/>
                <w:bCs/>
                <w:kern w:val="0"/>
                <w:sz w:val="20"/>
                <w:szCs w:val="20"/>
                <w14:ligatures w14:val="none"/>
              </w:rPr>
              <w:t>Qualitative emergent behavior.</w:t>
            </w:r>
            <w:r w:rsidRPr="00216DE1">
              <w:rPr>
                <w:rFonts w:ascii="Palatino Linotype" w:eastAsia="Times New Roman" w:hAnsi="Palatino Linotype" w:cs="Times New Roman"/>
                <w:kern w:val="0"/>
                <w:sz w:val="20"/>
                <w:szCs w:val="20"/>
                <w14:ligatures w14:val="none"/>
              </w:rPr>
              <w:t xml:space="preserve"> </w:t>
            </w:r>
            <w:r w:rsidRPr="00216DE1">
              <w:rPr>
                <w:rFonts w:ascii="Palatino Linotype" w:hAnsi="Palatino Linotype"/>
                <w:sz w:val="20"/>
                <w:szCs w:val="20"/>
              </w:rPr>
              <w:t>Recurrent breakdown of the epithelium arises naturally from impaired basement membrane adhesion. For example, we did not add any extra rules (e.g., special “RCE” states or injury-depth-dependent sloughing); the same parameter set calibrated for homeostasis and epithelial-only injuries (Rows 1–3) automatically produces RCE-like instability when EpBM is removed.</w:t>
            </w:r>
          </w:p>
        </w:tc>
      </w:tr>
    </w:tbl>
    <w:p w14:paraId="778E3FF3" w14:textId="16DD8ACD" w:rsidR="000813FA" w:rsidRDefault="000813FA"/>
    <w:p w14:paraId="7131C1AF" w14:textId="77777777" w:rsidR="00370236" w:rsidRPr="009C7A3C" w:rsidRDefault="00370236" w:rsidP="00370236">
      <w:pPr>
        <w:pStyle w:val="Heading1"/>
        <w:rPr>
          <w:rFonts w:ascii="Palatino Linotype" w:hAnsi="Palatino Linotype"/>
        </w:rPr>
      </w:pPr>
      <w:bookmarkStart w:id="0" w:name="_Hlk216709239"/>
      <w:bookmarkStart w:id="1" w:name="_Hlk216711817"/>
      <w:r w:rsidRPr="00E02109">
        <w:rPr>
          <w:rFonts w:ascii="Palatino Linotype" w:hAnsi="Palatino Linotype"/>
        </w:rPr>
        <w:t>R</w:t>
      </w:r>
      <w:r w:rsidRPr="009C7A3C">
        <w:rPr>
          <w:rFonts w:ascii="Palatino Linotype" w:hAnsi="Palatino Linotype"/>
        </w:rPr>
        <w:t>eferences</w:t>
      </w:r>
      <w:bookmarkEnd w:id="0"/>
    </w:p>
    <w:bookmarkEnd w:id="1"/>
    <w:p w14:paraId="00A52767" w14:textId="77777777" w:rsidR="00370236" w:rsidRPr="00370236" w:rsidRDefault="00370236" w:rsidP="00370236">
      <w:pPr>
        <w:pStyle w:val="Bibliography"/>
        <w:rPr>
          <w:rFonts w:ascii="Aptos" w:hAnsi="Aptos"/>
        </w:rPr>
      </w:pPr>
      <w:r>
        <w:fldChar w:fldCharType="begin"/>
      </w:r>
      <w:r>
        <w:instrText xml:space="preserve"> ADDIN ZOTERO_BIBL {"uncited":[],"omitted":[],"custom":[]} CSL_BIBLIOGRAPHY </w:instrText>
      </w:r>
      <w:r>
        <w:fldChar w:fldCharType="separate"/>
      </w:r>
      <w:r w:rsidRPr="00370236">
        <w:rPr>
          <w:rFonts w:ascii="Aptos" w:hAnsi="Aptos"/>
        </w:rPr>
        <w:t>1.</w:t>
      </w:r>
      <w:r w:rsidRPr="00370236">
        <w:rPr>
          <w:rFonts w:ascii="Aptos" w:hAnsi="Aptos"/>
        </w:rPr>
        <w:tab/>
      </w:r>
      <w:proofErr w:type="spellStart"/>
      <w:r w:rsidRPr="00370236">
        <w:rPr>
          <w:rFonts w:ascii="Aptos" w:hAnsi="Aptos"/>
        </w:rPr>
        <w:t>AlTurki</w:t>
      </w:r>
      <w:proofErr w:type="spellEnd"/>
      <w:r w:rsidRPr="00370236">
        <w:rPr>
          <w:rFonts w:ascii="Aptos" w:hAnsi="Aptos"/>
        </w:rPr>
        <w:t xml:space="preserve"> HS, </w:t>
      </w:r>
      <w:proofErr w:type="spellStart"/>
      <w:r w:rsidRPr="00370236">
        <w:rPr>
          <w:rFonts w:ascii="Aptos" w:hAnsi="Aptos"/>
        </w:rPr>
        <w:t>Alsubhi</w:t>
      </w:r>
      <w:proofErr w:type="spellEnd"/>
      <w:r w:rsidRPr="00370236">
        <w:rPr>
          <w:rFonts w:ascii="Aptos" w:hAnsi="Aptos"/>
        </w:rPr>
        <w:t xml:space="preserve"> SS, Alhazmi A, </w:t>
      </w:r>
      <w:proofErr w:type="spellStart"/>
      <w:r w:rsidRPr="00370236">
        <w:rPr>
          <w:rFonts w:ascii="Aptos" w:hAnsi="Aptos"/>
        </w:rPr>
        <w:t>Alhadlag</w:t>
      </w:r>
      <w:proofErr w:type="spellEnd"/>
      <w:r w:rsidRPr="00370236">
        <w:rPr>
          <w:rFonts w:ascii="Aptos" w:hAnsi="Aptos"/>
        </w:rPr>
        <w:t xml:space="preserve"> A, </w:t>
      </w:r>
      <w:proofErr w:type="spellStart"/>
      <w:r w:rsidRPr="00370236">
        <w:rPr>
          <w:rFonts w:ascii="Aptos" w:hAnsi="Aptos"/>
        </w:rPr>
        <w:t>Albalawi</w:t>
      </w:r>
      <w:proofErr w:type="spellEnd"/>
      <w:r w:rsidRPr="00370236">
        <w:rPr>
          <w:rFonts w:ascii="Aptos" w:hAnsi="Aptos"/>
        </w:rPr>
        <w:t xml:space="preserve"> NS, </w:t>
      </w:r>
      <w:proofErr w:type="spellStart"/>
      <w:r w:rsidRPr="00370236">
        <w:rPr>
          <w:rFonts w:ascii="Aptos" w:hAnsi="Aptos"/>
        </w:rPr>
        <w:t>Alzoman</w:t>
      </w:r>
      <w:proofErr w:type="spellEnd"/>
      <w:r w:rsidRPr="00370236">
        <w:rPr>
          <w:rFonts w:ascii="Aptos" w:hAnsi="Aptos"/>
        </w:rPr>
        <w:t xml:space="preserve"> MA, et al. Corneal Epithelial Thickness Mapping in Healthy Population Corneas Using MS-39 Anterior Segment Optical Coherence Tomography. OPTH. 2025 Jan </w:t>
      </w:r>
      <w:proofErr w:type="gramStart"/>
      <w:r w:rsidRPr="00370236">
        <w:rPr>
          <w:rFonts w:ascii="Aptos" w:hAnsi="Aptos"/>
        </w:rPr>
        <w:t>22;19:249</w:t>
      </w:r>
      <w:proofErr w:type="gramEnd"/>
      <w:r w:rsidRPr="00370236">
        <w:rPr>
          <w:rFonts w:ascii="Aptos" w:hAnsi="Aptos"/>
        </w:rPr>
        <w:t xml:space="preserve">–59. </w:t>
      </w:r>
    </w:p>
    <w:p w14:paraId="5AE53AC9" w14:textId="77777777" w:rsidR="00370236" w:rsidRPr="00370236" w:rsidRDefault="00370236" w:rsidP="00370236">
      <w:pPr>
        <w:pStyle w:val="Bibliography"/>
        <w:rPr>
          <w:rFonts w:ascii="Aptos" w:hAnsi="Aptos"/>
        </w:rPr>
      </w:pPr>
      <w:r w:rsidRPr="00370236">
        <w:rPr>
          <w:rFonts w:ascii="Aptos" w:hAnsi="Aptos"/>
        </w:rPr>
        <w:t>2.</w:t>
      </w:r>
      <w:r w:rsidRPr="00370236">
        <w:rPr>
          <w:rFonts w:ascii="Aptos" w:hAnsi="Aptos"/>
        </w:rPr>
        <w:tab/>
        <w:t xml:space="preserve">Sridhar MS. Anatomy of cornea and ocular surface. Indian J </w:t>
      </w:r>
      <w:proofErr w:type="spellStart"/>
      <w:r w:rsidRPr="00370236">
        <w:rPr>
          <w:rFonts w:ascii="Aptos" w:hAnsi="Aptos"/>
        </w:rPr>
        <w:t>Ophthalmol</w:t>
      </w:r>
      <w:proofErr w:type="spellEnd"/>
      <w:r w:rsidRPr="00370236">
        <w:rPr>
          <w:rFonts w:ascii="Aptos" w:hAnsi="Aptos"/>
        </w:rPr>
        <w:t xml:space="preserve">. 2018 Feb;66(2):190–4. </w:t>
      </w:r>
    </w:p>
    <w:p w14:paraId="270D1CD8" w14:textId="77777777" w:rsidR="00370236" w:rsidRPr="00370236" w:rsidRDefault="00370236" w:rsidP="00370236">
      <w:pPr>
        <w:pStyle w:val="Bibliography"/>
        <w:rPr>
          <w:rFonts w:ascii="Aptos" w:hAnsi="Aptos"/>
        </w:rPr>
      </w:pPr>
      <w:r w:rsidRPr="00370236">
        <w:rPr>
          <w:rFonts w:ascii="Aptos" w:hAnsi="Aptos"/>
        </w:rPr>
        <w:t>3.</w:t>
      </w:r>
      <w:r w:rsidRPr="00370236">
        <w:rPr>
          <w:rFonts w:ascii="Aptos" w:hAnsi="Aptos"/>
        </w:rPr>
        <w:tab/>
        <w:t xml:space="preserve">Liang Q, Le Q, Cordova DW, Tseng CH, Deng SX. Corneal Epithelial Thickness Measured Using AS-OCT as a Diagnostic Parameter for Limbal Stem Cell Deficiency. </w:t>
      </w:r>
      <w:proofErr w:type="gramStart"/>
      <w:r w:rsidRPr="00370236">
        <w:rPr>
          <w:rFonts w:ascii="Aptos" w:hAnsi="Aptos"/>
        </w:rPr>
        <w:t>Am</w:t>
      </w:r>
      <w:proofErr w:type="gramEnd"/>
      <w:r w:rsidRPr="00370236">
        <w:rPr>
          <w:rFonts w:ascii="Aptos" w:hAnsi="Aptos"/>
        </w:rPr>
        <w:t xml:space="preserve"> J </w:t>
      </w:r>
      <w:proofErr w:type="spellStart"/>
      <w:r w:rsidRPr="00370236">
        <w:rPr>
          <w:rFonts w:ascii="Aptos" w:hAnsi="Aptos"/>
        </w:rPr>
        <w:t>Ophthalmol</w:t>
      </w:r>
      <w:proofErr w:type="spellEnd"/>
      <w:r w:rsidRPr="00370236">
        <w:rPr>
          <w:rFonts w:ascii="Aptos" w:hAnsi="Aptos"/>
        </w:rPr>
        <w:t xml:space="preserve">. 2020 </w:t>
      </w:r>
      <w:proofErr w:type="gramStart"/>
      <w:r w:rsidRPr="00370236">
        <w:rPr>
          <w:rFonts w:ascii="Aptos" w:hAnsi="Aptos"/>
        </w:rPr>
        <w:t>Aug;216:132</w:t>
      </w:r>
      <w:proofErr w:type="gramEnd"/>
      <w:r w:rsidRPr="00370236">
        <w:rPr>
          <w:rFonts w:ascii="Aptos" w:hAnsi="Aptos"/>
        </w:rPr>
        <w:t xml:space="preserve">–9. </w:t>
      </w:r>
    </w:p>
    <w:p w14:paraId="3D185805" w14:textId="77777777" w:rsidR="00370236" w:rsidRPr="00370236" w:rsidRDefault="00370236" w:rsidP="00370236">
      <w:pPr>
        <w:pStyle w:val="Bibliography"/>
        <w:rPr>
          <w:rFonts w:ascii="Aptos" w:hAnsi="Aptos"/>
        </w:rPr>
      </w:pPr>
      <w:r w:rsidRPr="00370236">
        <w:rPr>
          <w:rFonts w:ascii="Aptos" w:hAnsi="Aptos"/>
        </w:rPr>
        <w:t>4.</w:t>
      </w:r>
      <w:r w:rsidRPr="00370236">
        <w:rPr>
          <w:rFonts w:ascii="Aptos" w:hAnsi="Aptos"/>
        </w:rPr>
        <w:tab/>
        <w:t xml:space="preserve">Feng Y, Simpson TL. Comparison of Human Central Cornea and Limbus in Vivo Using Optical Coherence Tomography. Optometry and Vision Science. 2005 May;82(5):416. </w:t>
      </w:r>
    </w:p>
    <w:p w14:paraId="69F59194" w14:textId="77777777" w:rsidR="00370236" w:rsidRPr="00370236" w:rsidRDefault="00370236" w:rsidP="00370236">
      <w:pPr>
        <w:pStyle w:val="Bibliography"/>
        <w:rPr>
          <w:rFonts w:ascii="Aptos" w:hAnsi="Aptos"/>
        </w:rPr>
      </w:pPr>
      <w:r w:rsidRPr="00370236">
        <w:rPr>
          <w:rFonts w:ascii="Aptos" w:hAnsi="Aptos"/>
        </w:rPr>
        <w:lastRenderedPageBreak/>
        <w:t>5.</w:t>
      </w:r>
      <w:r w:rsidRPr="00370236">
        <w:rPr>
          <w:rFonts w:ascii="Aptos" w:hAnsi="Aptos"/>
        </w:rPr>
        <w:tab/>
        <w:t xml:space="preserve">Reinstein DZ, Archer TJ, </w:t>
      </w:r>
      <w:proofErr w:type="spellStart"/>
      <w:r w:rsidRPr="00370236">
        <w:rPr>
          <w:rFonts w:ascii="Aptos" w:hAnsi="Aptos"/>
        </w:rPr>
        <w:t>Gobbe</w:t>
      </w:r>
      <w:proofErr w:type="spellEnd"/>
      <w:r w:rsidRPr="00370236">
        <w:rPr>
          <w:rFonts w:ascii="Aptos" w:hAnsi="Aptos"/>
        </w:rPr>
        <w:t xml:space="preserve"> M, Silverman RH, Coleman DJ. Epithelial Thickness in the Normal Cornea: Three-dimensional Display </w:t>
      </w:r>
      <w:proofErr w:type="gramStart"/>
      <w:r w:rsidRPr="00370236">
        <w:rPr>
          <w:rFonts w:ascii="Aptos" w:hAnsi="Aptos"/>
        </w:rPr>
        <w:t>With</w:t>
      </w:r>
      <w:proofErr w:type="gramEnd"/>
      <w:r w:rsidRPr="00370236">
        <w:rPr>
          <w:rFonts w:ascii="Aptos" w:hAnsi="Aptos"/>
        </w:rPr>
        <w:t xml:space="preserve"> Very High Frequency Ultrasound. J Refract Surg. 2008 June;24(6):571–81. </w:t>
      </w:r>
    </w:p>
    <w:p w14:paraId="0CDECBD6" w14:textId="77777777" w:rsidR="00370236" w:rsidRPr="00370236" w:rsidRDefault="00370236" w:rsidP="00370236">
      <w:pPr>
        <w:pStyle w:val="Bibliography"/>
        <w:rPr>
          <w:rFonts w:ascii="Aptos" w:hAnsi="Aptos"/>
        </w:rPr>
      </w:pPr>
      <w:r w:rsidRPr="00370236">
        <w:rPr>
          <w:rFonts w:ascii="Aptos" w:hAnsi="Aptos"/>
        </w:rPr>
        <w:t>6.</w:t>
      </w:r>
      <w:r w:rsidRPr="00370236">
        <w:rPr>
          <w:rFonts w:ascii="Aptos" w:hAnsi="Aptos"/>
        </w:rPr>
        <w:tab/>
      </w:r>
      <w:proofErr w:type="spellStart"/>
      <w:r w:rsidRPr="00370236">
        <w:rPr>
          <w:rFonts w:ascii="Aptos" w:hAnsi="Aptos"/>
        </w:rPr>
        <w:t>Francoz</w:t>
      </w:r>
      <w:proofErr w:type="spellEnd"/>
      <w:r w:rsidRPr="00370236">
        <w:rPr>
          <w:rFonts w:ascii="Aptos" w:hAnsi="Aptos"/>
        </w:rPr>
        <w:t xml:space="preserve"> M, Karamoko I, Baudouin C, Labbé A. Ocular Surface Epithelial Thickness Evaluation with Spectral-Domain Optical Coherence Tomography. Invest </w:t>
      </w:r>
      <w:proofErr w:type="spellStart"/>
      <w:r w:rsidRPr="00370236">
        <w:rPr>
          <w:rFonts w:ascii="Aptos" w:hAnsi="Aptos"/>
        </w:rPr>
        <w:t>Ophthalmol</w:t>
      </w:r>
      <w:proofErr w:type="spellEnd"/>
      <w:r w:rsidRPr="00370236">
        <w:rPr>
          <w:rFonts w:ascii="Aptos" w:hAnsi="Aptos"/>
        </w:rPr>
        <w:t xml:space="preserve"> Vis Sci. 2011 Nov 24;52(12):9116–23. </w:t>
      </w:r>
    </w:p>
    <w:p w14:paraId="5A3E87E3" w14:textId="77777777" w:rsidR="00370236" w:rsidRPr="00370236" w:rsidRDefault="00370236" w:rsidP="00370236">
      <w:pPr>
        <w:pStyle w:val="Bibliography"/>
        <w:rPr>
          <w:rFonts w:ascii="Aptos" w:hAnsi="Aptos"/>
        </w:rPr>
      </w:pPr>
      <w:r w:rsidRPr="00370236">
        <w:rPr>
          <w:rFonts w:ascii="Aptos" w:hAnsi="Aptos"/>
        </w:rPr>
        <w:t>7.</w:t>
      </w:r>
      <w:r w:rsidRPr="00370236">
        <w:rPr>
          <w:rFonts w:ascii="Aptos" w:hAnsi="Aptos"/>
        </w:rPr>
        <w:tab/>
      </w:r>
      <w:proofErr w:type="spellStart"/>
      <w:r w:rsidRPr="00370236">
        <w:rPr>
          <w:rFonts w:ascii="Aptos" w:hAnsi="Aptos"/>
        </w:rPr>
        <w:t>Douvaras</w:t>
      </w:r>
      <w:proofErr w:type="spellEnd"/>
      <w:r w:rsidRPr="00370236">
        <w:rPr>
          <w:rFonts w:ascii="Aptos" w:hAnsi="Aptos"/>
        </w:rPr>
        <w:t xml:space="preserve"> P, Mort RL, Edwards D, </w:t>
      </w:r>
      <w:proofErr w:type="spellStart"/>
      <w:r w:rsidRPr="00370236">
        <w:rPr>
          <w:rFonts w:ascii="Aptos" w:hAnsi="Aptos"/>
        </w:rPr>
        <w:t>Ramaesh</w:t>
      </w:r>
      <w:proofErr w:type="spellEnd"/>
      <w:r w:rsidRPr="00370236">
        <w:rPr>
          <w:rFonts w:ascii="Aptos" w:hAnsi="Aptos"/>
        </w:rPr>
        <w:t xml:space="preserve"> K, Dhillon B, Morley SD, et al. Increased Corneal Epithelial Turnover Contributes to Abnormal Homeostasis in the Pax6+/− Mouse Model of Aniridia. PLOS ONE. 2013 Aug 13;8(8</w:t>
      </w:r>
      <w:proofErr w:type="gramStart"/>
      <w:r w:rsidRPr="00370236">
        <w:rPr>
          <w:rFonts w:ascii="Aptos" w:hAnsi="Aptos"/>
        </w:rPr>
        <w:t>):e</w:t>
      </w:r>
      <w:proofErr w:type="gramEnd"/>
      <w:r w:rsidRPr="00370236">
        <w:rPr>
          <w:rFonts w:ascii="Aptos" w:hAnsi="Aptos"/>
        </w:rPr>
        <w:t xml:space="preserve">71117. </w:t>
      </w:r>
    </w:p>
    <w:p w14:paraId="2BF003AE" w14:textId="77777777" w:rsidR="00370236" w:rsidRPr="00370236" w:rsidRDefault="00370236" w:rsidP="00370236">
      <w:pPr>
        <w:pStyle w:val="Bibliography"/>
        <w:rPr>
          <w:rFonts w:ascii="Aptos" w:hAnsi="Aptos"/>
        </w:rPr>
      </w:pPr>
      <w:r w:rsidRPr="00370236">
        <w:rPr>
          <w:rFonts w:ascii="Aptos" w:hAnsi="Aptos"/>
        </w:rPr>
        <w:t>8.</w:t>
      </w:r>
      <w:r w:rsidRPr="00370236">
        <w:rPr>
          <w:rFonts w:ascii="Aptos" w:hAnsi="Aptos"/>
        </w:rPr>
        <w:tab/>
        <w:t xml:space="preserve">Tang G, Chi M, Zhai Y, Peng R, Hong J. Corneal Epithelial Tissue Engineering Strategy Based on Cell Viability Optimization: A Review and Prospects. Bioengineering. 2025 Nov;12(11):1175. </w:t>
      </w:r>
    </w:p>
    <w:p w14:paraId="31C9F97C" w14:textId="77777777" w:rsidR="00370236" w:rsidRPr="00370236" w:rsidRDefault="00370236" w:rsidP="00370236">
      <w:pPr>
        <w:pStyle w:val="Bibliography"/>
        <w:rPr>
          <w:rFonts w:ascii="Aptos" w:hAnsi="Aptos"/>
        </w:rPr>
      </w:pPr>
      <w:r w:rsidRPr="00370236">
        <w:rPr>
          <w:rFonts w:ascii="Aptos" w:hAnsi="Aptos"/>
        </w:rPr>
        <w:t>9.</w:t>
      </w:r>
      <w:r w:rsidRPr="00370236">
        <w:rPr>
          <w:rFonts w:ascii="Aptos" w:hAnsi="Aptos"/>
        </w:rPr>
        <w:tab/>
        <w:t xml:space="preserve">Cenedella RJ, Fleschner CR. Kinetics of corneal epithelium turnover in vivo. Studies of lovastatin. Invest </w:t>
      </w:r>
      <w:proofErr w:type="spellStart"/>
      <w:r w:rsidRPr="00370236">
        <w:rPr>
          <w:rFonts w:ascii="Aptos" w:hAnsi="Aptos"/>
        </w:rPr>
        <w:t>Ophthalmol</w:t>
      </w:r>
      <w:proofErr w:type="spellEnd"/>
      <w:r w:rsidRPr="00370236">
        <w:rPr>
          <w:rFonts w:ascii="Aptos" w:hAnsi="Aptos"/>
        </w:rPr>
        <w:t xml:space="preserve"> Vis Sci. 1990 Oct;31(10):1957–62. </w:t>
      </w:r>
    </w:p>
    <w:p w14:paraId="2C74EAA2" w14:textId="77777777" w:rsidR="00370236" w:rsidRPr="00370236" w:rsidRDefault="00370236" w:rsidP="00370236">
      <w:pPr>
        <w:pStyle w:val="Bibliography"/>
        <w:rPr>
          <w:rFonts w:ascii="Aptos" w:hAnsi="Aptos"/>
        </w:rPr>
      </w:pPr>
      <w:r w:rsidRPr="00370236">
        <w:rPr>
          <w:rFonts w:ascii="Aptos" w:hAnsi="Aptos"/>
        </w:rPr>
        <w:t>10.</w:t>
      </w:r>
      <w:r w:rsidRPr="00370236">
        <w:rPr>
          <w:rFonts w:ascii="Aptos" w:hAnsi="Aptos"/>
        </w:rPr>
        <w:tab/>
        <w:t xml:space="preserve">Dua HS, Forrester JV. Clinical patterns of corneal epithelial wound healing. </w:t>
      </w:r>
      <w:proofErr w:type="gramStart"/>
      <w:r w:rsidRPr="00370236">
        <w:rPr>
          <w:rFonts w:ascii="Aptos" w:hAnsi="Aptos"/>
        </w:rPr>
        <w:t>Am</w:t>
      </w:r>
      <w:proofErr w:type="gramEnd"/>
      <w:r w:rsidRPr="00370236">
        <w:rPr>
          <w:rFonts w:ascii="Aptos" w:hAnsi="Aptos"/>
        </w:rPr>
        <w:t xml:space="preserve"> J </w:t>
      </w:r>
      <w:proofErr w:type="spellStart"/>
      <w:r w:rsidRPr="00370236">
        <w:rPr>
          <w:rFonts w:ascii="Aptos" w:hAnsi="Aptos"/>
        </w:rPr>
        <w:t>Ophthalmol</w:t>
      </w:r>
      <w:proofErr w:type="spellEnd"/>
      <w:r w:rsidRPr="00370236">
        <w:rPr>
          <w:rFonts w:ascii="Aptos" w:hAnsi="Aptos"/>
        </w:rPr>
        <w:t xml:space="preserve">. 1987 Nov 15;104(5):481–9. </w:t>
      </w:r>
    </w:p>
    <w:p w14:paraId="1C5A0180" w14:textId="77777777" w:rsidR="00370236" w:rsidRPr="00370236" w:rsidRDefault="00370236" w:rsidP="00370236">
      <w:pPr>
        <w:pStyle w:val="Bibliography"/>
        <w:rPr>
          <w:rFonts w:ascii="Aptos" w:hAnsi="Aptos"/>
        </w:rPr>
      </w:pPr>
      <w:r w:rsidRPr="00370236">
        <w:rPr>
          <w:rFonts w:ascii="Aptos" w:hAnsi="Aptos"/>
        </w:rPr>
        <w:t>11.</w:t>
      </w:r>
      <w:r w:rsidRPr="00370236">
        <w:rPr>
          <w:rFonts w:ascii="Aptos" w:hAnsi="Aptos"/>
        </w:rPr>
        <w:tab/>
        <w:t xml:space="preserve">Le Sage N, </w:t>
      </w:r>
      <w:proofErr w:type="spellStart"/>
      <w:r w:rsidRPr="00370236">
        <w:rPr>
          <w:rFonts w:ascii="Aptos" w:hAnsi="Aptos"/>
        </w:rPr>
        <w:t>Verreault</w:t>
      </w:r>
      <w:proofErr w:type="spellEnd"/>
      <w:r w:rsidRPr="00370236">
        <w:rPr>
          <w:rFonts w:ascii="Aptos" w:hAnsi="Aptos"/>
        </w:rPr>
        <w:t xml:space="preserve"> R, Rochette L. Efficacy of eye patching for traumatic corneal abrasions: a controlled clinical trial. Ann Emerg Med. 2001 Aug;38(2):129–34. </w:t>
      </w:r>
    </w:p>
    <w:p w14:paraId="43F84B44" w14:textId="77777777" w:rsidR="00370236" w:rsidRPr="00370236" w:rsidRDefault="00370236" w:rsidP="00370236">
      <w:pPr>
        <w:pStyle w:val="Bibliography"/>
        <w:rPr>
          <w:rFonts w:ascii="Aptos" w:hAnsi="Aptos"/>
        </w:rPr>
      </w:pPr>
      <w:r w:rsidRPr="00370236">
        <w:rPr>
          <w:rFonts w:ascii="Aptos" w:hAnsi="Aptos"/>
        </w:rPr>
        <w:t>12.</w:t>
      </w:r>
      <w:r w:rsidRPr="00370236">
        <w:rPr>
          <w:rFonts w:ascii="Aptos" w:hAnsi="Aptos"/>
        </w:rPr>
        <w:tab/>
      </w:r>
      <w:proofErr w:type="spellStart"/>
      <w:r w:rsidRPr="00370236">
        <w:rPr>
          <w:rFonts w:ascii="Aptos" w:hAnsi="Aptos"/>
        </w:rPr>
        <w:t>Roggeband</w:t>
      </w:r>
      <w:proofErr w:type="spellEnd"/>
      <w:r w:rsidRPr="00370236">
        <w:rPr>
          <w:rFonts w:ascii="Aptos" w:hAnsi="Aptos"/>
        </w:rPr>
        <w:t xml:space="preserve"> R, York M, </w:t>
      </w:r>
      <w:proofErr w:type="spellStart"/>
      <w:r w:rsidRPr="00370236">
        <w:rPr>
          <w:rFonts w:ascii="Aptos" w:hAnsi="Aptos"/>
        </w:rPr>
        <w:t>Pericoi</w:t>
      </w:r>
      <w:proofErr w:type="spellEnd"/>
      <w:r w:rsidRPr="00370236">
        <w:rPr>
          <w:rFonts w:ascii="Aptos" w:hAnsi="Aptos"/>
        </w:rPr>
        <w:t xml:space="preserve"> M, Braun W. Eye irritation responses in rabbit and man after single applications of equal volumes of undiluted model liquid detergent products. Food Chem </w:t>
      </w:r>
      <w:proofErr w:type="spellStart"/>
      <w:r w:rsidRPr="00370236">
        <w:rPr>
          <w:rFonts w:ascii="Aptos" w:hAnsi="Aptos"/>
        </w:rPr>
        <w:t>Toxicol</w:t>
      </w:r>
      <w:proofErr w:type="spellEnd"/>
      <w:r w:rsidRPr="00370236">
        <w:rPr>
          <w:rFonts w:ascii="Aptos" w:hAnsi="Aptos"/>
        </w:rPr>
        <w:t xml:space="preserve">. 2000 Aug;38(8):727–34. </w:t>
      </w:r>
    </w:p>
    <w:p w14:paraId="276C3949" w14:textId="77777777" w:rsidR="00370236" w:rsidRPr="00370236" w:rsidRDefault="00370236" w:rsidP="00370236">
      <w:pPr>
        <w:pStyle w:val="Bibliography"/>
        <w:rPr>
          <w:rFonts w:ascii="Aptos" w:hAnsi="Aptos"/>
        </w:rPr>
      </w:pPr>
      <w:r w:rsidRPr="00370236">
        <w:rPr>
          <w:rFonts w:ascii="Aptos" w:hAnsi="Aptos"/>
        </w:rPr>
        <w:t>13.</w:t>
      </w:r>
      <w:r w:rsidRPr="00370236">
        <w:rPr>
          <w:rFonts w:ascii="Aptos" w:hAnsi="Aptos"/>
        </w:rPr>
        <w:tab/>
        <w:t xml:space="preserve">Allen NE, Crawford AZ, McGhee CNJ, Meyer JJ. Chemical eye injuries: a </w:t>
      </w:r>
      <w:proofErr w:type="gramStart"/>
      <w:r w:rsidRPr="00370236">
        <w:rPr>
          <w:rFonts w:ascii="Aptos" w:hAnsi="Aptos"/>
        </w:rPr>
        <w:t>10 year</w:t>
      </w:r>
      <w:proofErr w:type="gramEnd"/>
      <w:r w:rsidRPr="00370236">
        <w:rPr>
          <w:rFonts w:ascii="Aptos" w:hAnsi="Aptos"/>
        </w:rPr>
        <w:t xml:space="preserve"> retrospective review of acute presentations and clinical outcomes in Auckland, New Zealand. Scientific Reports. 2024 Apr 9;14(1):8264. </w:t>
      </w:r>
    </w:p>
    <w:p w14:paraId="7DDE673A" w14:textId="77777777" w:rsidR="00370236" w:rsidRPr="00370236" w:rsidRDefault="00370236" w:rsidP="00370236">
      <w:pPr>
        <w:pStyle w:val="Bibliography"/>
        <w:rPr>
          <w:rFonts w:ascii="Aptos" w:hAnsi="Aptos"/>
        </w:rPr>
      </w:pPr>
      <w:r w:rsidRPr="00370236">
        <w:rPr>
          <w:rFonts w:ascii="Aptos" w:hAnsi="Aptos"/>
        </w:rPr>
        <w:t>14.</w:t>
      </w:r>
      <w:r w:rsidRPr="00370236">
        <w:rPr>
          <w:rFonts w:ascii="Aptos" w:hAnsi="Aptos"/>
        </w:rPr>
        <w:tab/>
        <w:t xml:space="preserve">Ramamurthi S, Rahman MQ, Dutton GN, </w:t>
      </w:r>
      <w:proofErr w:type="spellStart"/>
      <w:r w:rsidRPr="00370236">
        <w:rPr>
          <w:rFonts w:ascii="Aptos" w:hAnsi="Aptos"/>
        </w:rPr>
        <w:t>Ramaesh</w:t>
      </w:r>
      <w:proofErr w:type="spellEnd"/>
      <w:r w:rsidRPr="00370236">
        <w:rPr>
          <w:rFonts w:ascii="Aptos" w:hAnsi="Aptos"/>
        </w:rPr>
        <w:t xml:space="preserve"> K. Pathogenesis, clinical features and management of recurrent corneal erosions. Eye. 2006 June;20(6):635–44. </w:t>
      </w:r>
    </w:p>
    <w:p w14:paraId="582B27BC" w14:textId="77777777" w:rsidR="00370236" w:rsidRPr="00370236" w:rsidRDefault="00370236" w:rsidP="00370236">
      <w:pPr>
        <w:pStyle w:val="Bibliography"/>
        <w:rPr>
          <w:rFonts w:ascii="Aptos" w:hAnsi="Aptos"/>
        </w:rPr>
      </w:pPr>
      <w:r w:rsidRPr="00370236">
        <w:rPr>
          <w:rFonts w:ascii="Aptos" w:hAnsi="Aptos"/>
        </w:rPr>
        <w:t>15.</w:t>
      </w:r>
      <w:r w:rsidRPr="00370236">
        <w:rPr>
          <w:rFonts w:ascii="Aptos" w:hAnsi="Aptos"/>
        </w:rPr>
        <w:tab/>
        <w:t xml:space="preserve">Eke T, Morrison DA, Austin DJ. Recurrent symptoms following traumatic corneal abrasion: prevalence, severity, and the effect of a simple regimen of prophylaxis. Eye (Lond). 1999 June;13 </w:t>
      </w:r>
      <w:proofErr w:type="gramStart"/>
      <w:r w:rsidRPr="00370236">
        <w:rPr>
          <w:rFonts w:ascii="Aptos" w:hAnsi="Aptos"/>
        </w:rPr>
        <w:t>( Pt</w:t>
      </w:r>
      <w:proofErr w:type="gramEnd"/>
      <w:r w:rsidRPr="00370236">
        <w:rPr>
          <w:rFonts w:ascii="Aptos" w:hAnsi="Aptos"/>
        </w:rPr>
        <w:t xml:space="preserve"> 3a):345–7. </w:t>
      </w:r>
    </w:p>
    <w:p w14:paraId="64B234B0" w14:textId="4B6967FD" w:rsidR="00370236" w:rsidRDefault="00370236">
      <w:r>
        <w:fldChar w:fldCharType="end"/>
      </w:r>
    </w:p>
    <w:sectPr w:rsidR="00370236" w:rsidSect="002833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236"/>
    <w:rsid w:val="000813FA"/>
    <w:rsid w:val="001F7015"/>
    <w:rsid w:val="002833A3"/>
    <w:rsid w:val="00370236"/>
    <w:rsid w:val="005A3671"/>
    <w:rsid w:val="006808D9"/>
    <w:rsid w:val="00AB6F6E"/>
    <w:rsid w:val="00DA3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B8236"/>
  <w15:chartTrackingRefBased/>
  <w15:docId w15:val="{C639F6E0-B342-484E-AB59-EC52D1391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236"/>
  </w:style>
  <w:style w:type="paragraph" w:styleId="Heading1">
    <w:name w:val="heading 1"/>
    <w:basedOn w:val="Normal"/>
    <w:next w:val="Normal"/>
    <w:link w:val="Heading1Char"/>
    <w:uiPriority w:val="9"/>
    <w:qFormat/>
    <w:rsid w:val="003702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2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2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2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2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2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236"/>
    <w:rPr>
      <w:rFonts w:eastAsiaTheme="majorEastAsia" w:cstheme="majorBidi"/>
      <w:color w:val="272727" w:themeColor="text1" w:themeTint="D8"/>
    </w:rPr>
  </w:style>
  <w:style w:type="paragraph" w:styleId="Title">
    <w:name w:val="Title"/>
    <w:basedOn w:val="Normal"/>
    <w:next w:val="Normal"/>
    <w:link w:val="TitleChar"/>
    <w:uiPriority w:val="10"/>
    <w:qFormat/>
    <w:rsid w:val="00370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236"/>
    <w:pPr>
      <w:spacing w:before="160"/>
      <w:jc w:val="center"/>
    </w:pPr>
    <w:rPr>
      <w:i/>
      <w:iCs/>
      <w:color w:val="404040" w:themeColor="text1" w:themeTint="BF"/>
    </w:rPr>
  </w:style>
  <w:style w:type="character" w:customStyle="1" w:styleId="QuoteChar">
    <w:name w:val="Quote Char"/>
    <w:basedOn w:val="DefaultParagraphFont"/>
    <w:link w:val="Quote"/>
    <w:uiPriority w:val="29"/>
    <w:rsid w:val="00370236"/>
    <w:rPr>
      <w:i/>
      <w:iCs/>
      <w:color w:val="404040" w:themeColor="text1" w:themeTint="BF"/>
    </w:rPr>
  </w:style>
  <w:style w:type="paragraph" w:styleId="ListParagraph">
    <w:name w:val="List Paragraph"/>
    <w:basedOn w:val="Normal"/>
    <w:uiPriority w:val="34"/>
    <w:qFormat/>
    <w:rsid w:val="00370236"/>
    <w:pPr>
      <w:ind w:left="720"/>
      <w:contextualSpacing/>
    </w:pPr>
  </w:style>
  <w:style w:type="character" w:styleId="IntenseEmphasis">
    <w:name w:val="Intense Emphasis"/>
    <w:basedOn w:val="DefaultParagraphFont"/>
    <w:uiPriority w:val="21"/>
    <w:qFormat/>
    <w:rsid w:val="00370236"/>
    <w:rPr>
      <w:i/>
      <w:iCs/>
      <w:color w:val="0F4761" w:themeColor="accent1" w:themeShade="BF"/>
    </w:rPr>
  </w:style>
  <w:style w:type="paragraph" w:styleId="IntenseQuote">
    <w:name w:val="Intense Quote"/>
    <w:basedOn w:val="Normal"/>
    <w:next w:val="Normal"/>
    <w:link w:val="IntenseQuoteChar"/>
    <w:uiPriority w:val="30"/>
    <w:qFormat/>
    <w:rsid w:val="00370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236"/>
    <w:rPr>
      <w:i/>
      <w:iCs/>
      <w:color w:val="0F4761" w:themeColor="accent1" w:themeShade="BF"/>
    </w:rPr>
  </w:style>
  <w:style w:type="character" w:styleId="IntenseReference">
    <w:name w:val="Intense Reference"/>
    <w:basedOn w:val="DefaultParagraphFont"/>
    <w:uiPriority w:val="32"/>
    <w:qFormat/>
    <w:rsid w:val="00370236"/>
    <w:rPr>
      <w:b/>
      <w:bCs/>
      <w:smallCaps/>
      <w:color w:val="0F4761" w:themeColor="accent1" w:themeShade="BF"/>
      <w:spacing w:val="5"/>
    </w:rPr>
  </w:style>
  <w:style w:type="character" w:styleId="Emphasis">
    <w:name w:val="Emphasis"/>
    <w:basedOn w:val="DefaultParagraphFont"/>
    <w:uiPriority w:val="20"/>
    <w:qFormat/>
    <w:rsid w:val="00370236"/>
    <w:rPr>
      <w:i/>
      <w:iCs/>
    </w:rPr>
  </w:style>
  <w:style w:type="table" w:styleId="ListTable6Colorful">
    <w:name w:val="List Table 6 Colorful"/>
    <w:basedOn w:val="TableNormal"/>
    <w:uiPriority w:val="51"/>
    <w:rsid w:val="0037023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y">
    <w:name w:val="Bibliography"/>
    <w:basedOn w:val="Normal"/>
    <w:next w:val="Normal"/>
    <w:uiPriority w:val="37"/>
    <w:unhideWhenUsed/>
    <w:rsid w:val="00370236"/>
    <w:pPr>
      <w:tabs>
        <w:tab w:val="left" w:pos="384"/>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7007</Words>
  <Characters>42397</Characters>
  <Application>Microsoft Office Word</Application>
  <DocSecurity>0</DocSecurity>
  <Lines>2018</Lines>
  <Paragraphs>260</Paragraphs>
  <ScaleCrop>false</ScaleCrop>
  <Company/>
  <LinksUpToDate>false</LinksUpToDate>
  <CharactersWithSpaces>49144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Vanin, Joel</dc:creator>
  <cp:keywords/>
  <dc:description/>
  <cp:lastModifiedBy>Vanin, Joel</cp:lastModifiedBy>
  <cp:revision>1</cp:revision>
  <dcterms:created xsi:type="dcterms:W3CDTF">2025-12-15T22:24:00Z</dcterms:created>
  <dcterms:modified xsi:type="dcterms:W3CDTF">2025-12-15T22:25:00Z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id="UvG69vWK"/&gt;&lt;style id="http://www.zotero.org/styles/vancouver" locale="en-US" hasBibliography="1" bibliographyStyleHasBeenSet="1"/&gt;&lt;prefs&gt;&lt;pref name="fieldType" value="Field"/&gt;&lt;/prefs&gt;&lt;/data&gt;</vt:lpwstr>
  </property>
</Properties>
</file>