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E27" w:rsidRDefault="00E87E27" w:rsidP="00E87E27">
      <w:pPr>
        <w:pStyle w:val="Default"/>
        <w:rPr>
          <w:sz w:val="22"/>
          <w:szCs w:val="22"/>
        </w:rPr>
      </w:pPr>
      <w:r>
        <w:rPr>
          <w:sz w:val="22"/>
          <w:szCs w:val="22"/>
        </w:rPr>
        <w:t>Assignment 1: Report</w:t>
      </w:r>
    </w:p>
    <w:p w:rsidR="00E87E27" w:rsidRDefault="00E87E27" w:rsidP="00E87E27">
      <w:pPr>
        <w:pStyle w:val="Default"/>
        <w:rPr>
          <w:sz w:val="22"/>
          <w:szCs w:val="22"/>
        </w:rPr>
      </w:pPr>
      <w:r>
        <w:rPr>
          <w:sz w:val="22"/>
          <w:szCs w:val="22"/>
        </w:rPr>
        <w:t xml:space="preserve">Virginia Commonwealth University, Fall 2018 </w:t>
      </w:r>
    </w:p>
    <w:p w:rsidR="00E87E27" w:rsidRDefault="00E87E27" w:rsidP="00E87E27">
      <w:pPr>
        <w:pStyle w:val="Default"/>
        <w:rPr>
          <w:sz w:val="22"/>
          <w:szCs w:val="22"/>
        </w:rPr>
      </w:pPr>
      <w:r>
        <w:rPr>
          <w:noProof/>
        </w:rPr>
        <mc:AlternateContent>
          <mc:Choice Requires="wps">
            <w:drawing>
              <wp:anchor distT="0" distB="0" distL="114300" distR="114300" simplePos="0" relativeHeight="251659264" behindDoc="0" locked="0" layoutInCell="1" allowOverlap="1" wp14:anchorId="0544B869" wp14:editId="38633EB4">
                <wp:simplePos x="0" y="0"/>
                <wp:positionH relativeFrom="column">
                  <wp:posOffset>-63660</wp:posOffset>
                </wp:positionH>
                <wp:positionV relativeFrom="paragraph">
                  <wp:posOffset>190580</wp:posOffset>
                </wp:positionV>
                <wp:extent cx="5387718" cy="0"/>
                <wp:effectExtent l="0" t="0" r="22860" b="19050"/>
                <wp:wrapNone/>
                <wp:docPr id="1" name="Straight Connector 1"/>
                <wp:cNvGraphicFramePr/>
                <a:graphic xmlns:a="http://schemas.openxmlformats.org/drawingml/2006/main">
                  <a:graphicData uri="http://schemas.microsoft.com/office/word/2010/wordprocessingShape">
                    <wps:wsp>
                      <wps:cNvCnPr/>
                      <wps:spPr>
                        <a:xfrm flipV="1">
                          <a:off x="0" y="0"/>
                          <a:ext cx="5387718"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C014B"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15pt" to="419.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" strokecolor="#5b9bd5 [3204]" strokeweight="1.5pt">
                <v:stroke joinstyle="miter"/>
              </v:line>
            </w:pict>
          </mc:Fallback>
        </mc:AlternateContent>
      </w:r>
      <w:r>
        <w:rPr>
          <w:sz w:val="22"/>
          <w:szCs w:val="22"/>
        </w:rPr>
        <w:t>Sina Ghadermarzi</w:t>
      </w:r>
    </w:p>
    <w:p w:rsidR="00E87E27" w:rsidRDefault="00E87E27"/>
    <w:p w:rsidR="00E87E27" w:rsidRDefault="00E87E27">
      <w:r>
        <w:t xml:space="preserve">The table shows the results for the serial and parallel version of KNN. </w:t>
      </w:r>
    </w:p>
    <w:tbl>
      <w:tblPr>
        <w:tblStyle w:val="TableGrid"/>
        <w:tblW w:w="0" w:type="auto"/>
        <w:tblLook w:val="04A0" w:firstRow="1" w:lastRow="0" w:firstColumn="1" w:lastColumn="0" w:noHBand="0" w:noVBand="1"/>
      </w:tblPr>
      <w:tblGrid>
        <w:gridCol w:w="896"/>
        <w:gridCol w:w="1169"/>
        <w:gridCol w:w="810"/>
        <w:gridCol w:w="1348"/>
        <w:gridCol w:w="1258"/>
        <w:gridCol w:w="1264"/>
        <w:gridCol w:w="1260"/>
        <w:gridCol w:w="1345"/>
      </w:tblGrid>
      <w:tr w:rsidR="00E87E27" w:rsidTr="00AF6F37">
        <w:tc>
          <w:tcPr>
            <w:tcW w:w="896" w:type="dxa"/>
            <w:shd w:val="clear" w:color="auto" w:fill="D0CECE" w:themeFill="background2" w:themeFillShade="E6"/>
            <w:vAlign w:val="center"/>
          </w:tcPr>
          <w:p w:rsidR="00E87E27" w:rsidRPr="004D3AA0" w:rsidRDefault="00E87E27" w:rsidP="00AF6F37">
            <w:pPr>
              <w:jc w:val="center"/>
              <w:rPr>
                <w:sz w:val="18"/>
              </w:rPr>
            </w:pPr>
          </w:p>
        </w:tc>
        <w:tc>
          <w:tcPr>
            <w:tcW w:w="1169" w:type="dxa"/>
            <w:shd w:val="clear" w:color="auto" w:fill="D0CECE" w:themeFill="background2" w:themeFillShade="E6"/>
            <w:vAlign w:val="center"/>
          </w:tcPr>
          <w:p w:rsidR="00E87E27" w:rsidRPr="004D3AA0" w:rsidRDefault="00E87E27" w:rsidP="00AF6F37">
            <w:pPr>
              <w:jc w:val="center"/>
              <w:rPr>
                <w:sz w:val="18"/>
              </w:rPr>
            </w:pPr>
            <w:r w:rsidRPr="004D3AA0">
              <w:rPr>
                <w:sz w:val="18"/>
              </w:rPr>
              <w:t># of threads</w:t>
            </w:r>
          </w:p>
        </w:tc>
        <w:tc>
          <w:tcPr>
            <w:tcW w:w="810" w:type="dxa"/>
            <w:shd w:val="clear" w:color="auto" w:fill="D0CECE" w:themeFill="background2" w:themeFillShade="E6"/>
            <w:vAlign w:val="center"/>
          </w:tcPr>
          <w:p w:rsidR="00E87E27" w:rsidRPr="004D3AA0" w:rsidRDefault="00E87E27" w:rsidP="00AF6F37">
            <w:pPr>
              <w:jc w:val="center"/>
              <w:rPr>
                <w:sz w:val="18"/>
                <w:szCs w:val="18"/>
              </w:rPr>
            </w:pPr>
            <w:r w:rsidRPr="004D3AA0">
              <w:rPr>
                <w:sz w:val="18"/>
                <w:szCs w:val="18"/>
              </w:rPr>
              <w:t>Serial</w:t>
            </w:r>
          </w:p>
        </w:tc>
        <w:tc>
          <w:tcPr>
            <w:tcW w:w="1348" w:type="dxa"/>
            <w:shd w:val="clear" w:color="auto" w:fill="D0CECE" w:themeFill="background2" w:themeFillShade="E6"/>
            <w:vAlign w:val="center"/>
          </w:tcPr>
          <w:p w:rsidR="00E87E27" w:rsidRPr="004D3AA0" w:rsidRDefault="00E87E27" w:rsidP="00AF6F37">
            <w:pPr>
              <w:jc w:val="center"/>
              <w:rPr>
                <w:sz w:val="18"/>
                <w:szCs w:val="18"/>
              </w:rPr>
            </w:pPr>
            <w:r w:rsidRPr="004D3AA0">
              <w:rPr>
                <w:sz w:val="18"/>
                <w:szCs w:val="18"/>
              </w:rPr>
              <w:t>1</w:t>
            </w:r>
          </w:p>
        </w:tc>
        <w:tc>
          <w:tcPr>
            <w:tcW w:w="1258" w:type="dxa"/>
            <w:shd w:val="clear" w:color="auto" w:fill="D0CECE" w:themeFill="background2" w:themeFillShade="E6"/>
            <w:vAlign w:val="center"/>
          </w:tcPr>
          <w:p w:rsidR="00E87E27" w:rsidRPr="004D3AA0" w:rsidRDefault="00E87E27" w:rsidP="00AF6F37">
            <w:pPr>
              <w:jc w:val="center"/>
              <w:rPr>
                <w:sz w:val="18"/>
                <w:szCs w:val="18"/>
              </w:rPr>
            </w:pPr>
            <w:r w:rsidRPr="004D3AA0">
              <w:rPr>
                <w:sz w:val="18"/>
                <w:szCs w:val="18"/>
              </w:rPr>
              <w:t>2</w:t>
            </w:r>
          </w:p>
        </w:tc>
        <w:tc>
          <w:tcPr>
            <w:tcW w:w="1264" w:type="dxa"/>
            <w:shd w:val="clear" w:color="auto" w:fill="D0CECE" w:themeFill="background2" w:themeFillShade="E6"/>
            <w:vAlign w:val="center"/>
          </w:tcPr>
          <w:p w:rsidR="00E87E27" w:rsidRPr="004D3AA0" w:rsidRDefault="00E87E27" w:rsidP="00AF6F37">
            <w:pPr>
              <w:jc w:val="center"/>
              <w:rPr>
                <w:sz w:val="18"/>
                <w:szCs w:val="18"/>
              </w:rPr>
            </w:pPr>
            <w:r w:rsidRPr="004D3AA0">
              <w:rPr>
                <w:sz w:val="18"/>
                <w:szCs w:val="18"/>
              </w:rPr>
              <w:t>4</w:t>
            </w:r>
          </w:p>
        </w:tc>
        <w:tc>
          <w:tcPr>
            <w:tcW w:w="1260" w:type="dxa"/>
            <w:shd w:val="clear" w:color="auto" w:fill="D0CECE" w:themeFill="background2" w:themeFillShade="E6"/>
            <w:vAlign w:val="center"/>
          </w:tcPr>
          <w:p w:rsidR="00E87E27" w:rsidRPr="004D3AA0" w:rsidRDefault="00E87E27" w:rsidP="00AF6F37">
            <w:pPr>
              <w:jc w:val="center"/>
              <w:rPr>
                <w:sz w:val="18"/>
                <w:szCs w:val="18"/>
              </w:rPr>
            </w:pPr>
            <w:r w:rsidRPr="004D3AA0">
              <w:rPr>
                <w:sz w:val="18"/>
                <w:szCs w:val="18"/>
              </w:rPr>
              <w:t>8</w:t>
            </w:r>
          </w:p>
        </w:tc>
        <w:tc>
          <w:tcPr>
            <w:tcW w:w="1345" w:type="dxa"/>
            <w:shd w:val="clear" w:color="auto" w:fill="D0CECE" w:themeFill="background2" w:themeFillShade="E6"/>
            <w:vAlign w:val="center"/>
          </w:tcPr>
          <w:p w:rsidR="00E87E27" w:rsidRPr="004D3AA0" w:rsidRDefault="00E87E27" w:rsidP="00AF6F37">
            <w:pPr>
              <w:jc w:val="center"/>
              <w:rPr>
                <w:sz w:val="18"/>
                <w:szCs w:val="18"/>
              </w:rPr>
            </w:pPr>
            <w:r w:rsidRPr="004D3AA0">
              <w:rPr>
                <w:sz w:val="18"/>
                <w:szCs w:val="18"/>
              </w:rPr>
              <w:t>2048</w:t>
            </w:r>
          </w:p>
        </w:tc>
      </w:tr>
      <w:tr w:rsidR="00E87E27" w:rsidTr="00AF6F37">
        <w:tc>
          <w:tcPr>
            <w:tcW w:w="896" w:type="dxa"/>
            <w:vMerge w:val="restart"/>
            <w:shd w:val="clear" w:color="auto" w:fill="D0CECE" w:themeFill="background2" w:themeFillShade="E6"/>
            <w:vAlign w:val="center"/>
          </w:tcPr>
          <w:p w:rsidR="00E87E27" w:rsidRPr="004D3AA0" w:rsidRDefault="00E87E27" w:rsidP="00AF6F37">
            <w:pPr>
              <w:jc w:val="center"/>
              <w:rPr>
                <w:sz w:val="18"/>
              </w:rPr>
            </w:pPr>
            <w:r w:rsidRPr="004D3AA0">
              <w:rPr>
                <w:sz w:val="18"/>
              </w:rPr>
              <w:t>Virtual Machine</w:t>
            </w:r>
          </w:p>
        </w:tc>
        <w:tc>
          <w:tcPr>
            <w:tcW w:w="1169" w:type="dxa"/>
            <w:shd w:val="clear" w:color="auto" w:fill="D0CECE" w:themeFill="background2" w:themeFillShade="E6"/>
            <w:vAlign w:val="center"/>
          </w:tcPr>
          <w:p w:rsidR="00E87E27" w:rsidRPr="004D3AA0" w:rsidRDefault="00E87E27" w:rsidP="00AF6F37">
            <w:pPr>
              <w:jc w:val="center"/>
              <w:rPr>
                <w:sz w:val="18"/>
              </w:rPr>
            </w:pPr>
            <w:r w:rsidRPr="004D3AA0">
              <w:rPr>
                <w:sz w:val="18"/>
              </w:rPr>
              <w:t>Small</w:t>
            </w:r>
          </w:p>
        </w:tc>
        <w:tc>
          <w:tcPr>
            <w:tcW w:w="810" w:type="dxa"/>
            <w:vAlign w:val="center"/>
          </w:tcPr>
          <w:p w:rsidR="00E87E27" w:rsidRDefault="00E87E27" w:rsidP="00AF6F37">
            <w:pPr>
              <w:jc w:val="center"/>
            </w:pPr>
            <w:r w:rsidRPr="000A34F7">
              <w:t>36</w:t>
            </w:r>
          </w:p>
        </w:tc>
        <w:tc>
          <w:tcPr>
            <w:tcW w:w="1348" w:type="dxa"/>
            <w:vAlign w:val="center"/>
          </w:tcPr>
          <w:p w:rsidR="00E87E27" w:rsidRDefault="00E87E27" w:rsidP="00AF6F37">
            <w:pPr>
              <w:jc w:val="center"/>
            </w:pPr>
            <w:r>
              <w:t>35 (1.02)</w:t>
            </w:r>
          </w:p>
        </w:tc>
        <w:tc>
          <w:tcPr>
            <w:tcW w:w="1258" w:type="dxa"/>
            <w:vAlign w:val="center"/>
          </w:tcPr>
          <w:p w:rsidR="00E87E27" w:rsidRDefault="00E87E27" w:rsidP="00AF6F37">
            <w:pPr>
              <w:jc w:val="center"/>
            </w:pPr>
            <w:r>
              <w:t>26 (1.38)</w:t>
            </w:r>
          </w:p>
        </w:tc>
        <w:tc>
          <w:tcPr>
            <w:tcW w:w="1264" w:type="dxa"/>
            <w:vAlign w:val="center"/>
          </w:tcPr>
          <w:p w:rsidR="00E87E27" w:rsidRDefault="00E87E27" w:rsidP="00AF6F37">
            <w:pPr>
              <w:jc w:val="center"/>
            </w:pPr>
            <w:r>
              <w:t>20 (1.8)</w:t>
            </w:r>
          </w:p>
        </w:tc>
        <w:tc>
          <w:tcPr>
            <w:tcW w:w="1260" w:type="dxa"/>
            <w:vAlign w:val="center"/>
          </w:tcPr>
          <w:p w:rsidR="00E87E27" w:rsidRPr="005C47FB" w:rsidRDefault="00E87E27" w:rsidP="00AF6F37">
            <w:pPr>
              <w:jc w:val="center"/>
            </w:pPr>
            <w:r w:rsidRPr="005C47FB">
              <w:t>30</w:t>
            </w:r>
            <w:r>
              <w:t xml:space="preserve"> (1.2)</w:t>
            </w:r>
          </w:p>
        </w:tc>
        <w:tc>
          <w:tcPr>
            <w:tcW w:w="1345" w:type="dxa"/>
            <w:vAlign w:val="center"/>
          </w:tcPr>
          <w:p w:rsidR="00E87E27" w:rsidRDefault="00E87E27" w:rsidP="00AF6F37">
            <w:pPr>
              <w:jc w:val="center"/>
            </w:pPr>
            <w:r>
              <w:t>556 (0.06)</w:t>
            </w:r>
          </w:p>
        </w:tc>
      </w:tr>
      <w:tr w:rsidR="00E87E27" w:rsidTr="00AF6F37">
        <w:tc>
          <w:tcPr>
            <w:tcW w:w="896" w:type="dxa"/>
            <w:vMerge/>
            <w:shd w:val="clear" w:color="auto" w:fill="D0CECE" w:themeFill="background2" w:themeFillShade="E6"/>
            <w:vAlign w:val="center"/>
          </w:tcPr>
          <w:p w:rsidR="00E87E27" w:rsidRPr="004D3AA0" w:rsidRDefault="00E87E27" w:rsidP="00AF6F37">
            <w:pPr>
              <w:jc w:val="center"/>
              <w:rPr>
                <w:sz w:val="18"/>
              </w:rPr>
            </w:pPr>
          </w:p>
        </w:tc>
        <w:tc>
          <w:tcPr>
            <w:tcW w:w="1169" w:type="dxa"/>
            <w:shd w:val="clear" w:color="auto" w:fill="D0CECE" w:themeFill="background2" w:themeFillShade="E6"/>
            <w:vAlign w:val="center"/>
          </w:tcPr>
          <w:p w:rsidR="00E87E27" w:rsidRPr="004D3AA0" w:rsidRDefault="00E87E27" w:rsidP="00AF6F37">
            <w:pPr>
              <w:jc w:val="center"/>
              <w:rPr>
                <w:sz w:val="18"/>
              </w:rPr>
            </w:pPr>
            <w:r w:rsidRPr="004D3AA0">
              <w:rPr>
                <w:sz w:val="18"/>
              </w:rPr>
              <w:t>Medium</w:t>
            </w:r>
          </w:p>
        </w:tc>
        <w:tc>
          <w:tcPr>
            <w:tcW w:w="810" w:type="dxa"/>
            <w:vAlign w:val="center"/>
          </w:tcPr>
          <w:p w:rsidR="00E87E27" w:rsidRDefault="00E87E27" w:rsidP="00AF6F37">
            <w:pPr>
              <w:jc w:val="center"/>
            </w:pPr>
            <w:r w:rsidRPr="00734165">
              <w:t>12810</w:t>
            </w:r>
          </w:p>
        </w:tc>
        <w:tc>
          <w:tcPr>
            <w:tcW w:w="1348" w:type="dxa"/>
            <w:vAlign w:val="center"/>
          </w:tcPr>
          <w:p w:rsidR="00E87E27" w:rsidRDefault="00E87E27" w:rsidP="00AF6F37">
            <w:pPr>
              <w:jc w:val="center"/>
            </w:pPr>
            <w:r w:rsidRPr="008141E7">
              <w:t>13342</w:t>
            </w:r>
            <w:r>
              <w:t xml:space="preserve"> (0.96)</w:t>
            </w:r>
          </w:p>
        </w:tc>
        <w:tc>
          <w:tcPr>
            <w:tcW w:w="1258" w:type="dxa"/>
            <w:vAlign w:val="center"/>
          </w:tcPr>
          <w:p w:rsidR="00E87E27" w:rsidRDefault="00E87E27" w:rsidP="00AF6F37">
            <w:pPr>
              <w:jc w:val="center"/>
            </w:pPr>
            <w:r w:rsidRPr="008141E7">
              <w:t>6273</w:t>
            </w:r>
            <w:r>
              <w:t xml:space="preserve"> (2.04)</w:t>
            </w:r>
          </w:p>
        </w:tc>
        <w:tc>
          <w:tcPr>
            <w:tcW w:w="1264" w:type="dxa"/>
            <w:vAlign w:val="center"/>
          </w:tcPr>
          <w:p w:rsidR="00E87E27" w:rsidRDefault="00E87E27" w:rsidP="00AF6F37">
            <w:pPr>
              <w:jc w:val="center"/>
            </w:pPr>
            <w:r w:rsidRPr="008141E7">
              <w:t>4212</w:t>
            </w:r>
            <w:r>
              <w:t xml:space="preserve"> (3.04)</w:t>
            </w:r>
          </w:p>
        </w:tc>
        <w:tc>
          <w:tcPr>
            <w:tcW w:w="1260" w:type="dxa"/>
            <w:vAlign w:val="center"/>
          </w:tcPr>
          <w:p w:rsidR="00E87E27" w:rsidRPr="005C47FB" w:rsidRDefault="00E87E27" w:rsidP="00AF6F37">
            <w:pPr>
              <w:jc w:val="center"/>
            </w:pPr>
            <w:r w:rsidRPr="005C47FB">
              <w:t>4798</w:t>
            </w:r>
            <w:r>
              <w:t xml:space="preserve"> (2.67)</w:t>
            </w:r>
          </w:p>
        </w:tc>
        <w:tc>
          <w:tcPr>
            <w:tcW w:w="1345" w:type="dxa"/>
            <w:vAlign w:val="center"/>
          </w:tcPr>
          <w:p w:rsidR="00E87E27" w:rsidRDefault="00E87E27" w:rsidP="00AF6F37">
            <w:pPr>
              <w:jc w:val="center"/>
            </w:pPr>
          </w:p>
        </w:tc>
      </w:tr>
      <w:tr w:rsidR="00E87E27" w:rsidTr="00AF6F37">
        <w:tc>
          <w:tcPr>
            <w:tcW w:w="896" w:type="dxa"/>
            <w:vMerge w:val="restart"/>
            <w:shd w:val="clear" w:color="auto" w:fill="D0CECE" w:themeFill="background2" w:themeFillShade="E6"/>
            <w:vAlign w:val="center"/>
          </w:tcPr>
          <w:p w:rsidR="00E87E27" w:rsidRPr="004D3AA0" w:rsidRDefault="00E87E27" w:rsidP="00AF6F37">
            <w:pPr>
              <w:jc w:val="center"/>
              <w:rPr>
                <w:sz w:val="18"/>
              </w:rPr>
            </w:pPr>
            <w:r w:rsidRPr="004D3AA0">
              <w:rPr>
                <w:sz w:val="18"/>
              </w:rPr>
              <w:t>Maple Server</w:t>
            </w:r>
          </w:p>
        </w:tc>
        <w:tc>
          <w:tcPr>
            <w:tcW w:w="1169" w:type="dxa"/>
            <w:shd w:val="clear" w:color="auto" w:fill="D0CECE" w:themeFill="background2" w:themeFillShade="E6"/>
            <w:vAlign w:val="center"/>
          </w:tcPr>
          <w:p w:rsidR="00E87E27" w:rsidRPr="004D3AA0" w:rsidRDefault="00E87E27" w:rsidP="00AF6F37">
            <w:pPr>
              <w:jc w:val="center"/>
              <w:rPr>
                <w:sz w:val="18"/>
              </w:rPr>
            </w:pPr>
            <w:r w:rsidRPr="004D3AA0">
              <w:rPr>
                <w:sz w:val="18"/>
              </w:rPr>
              <w:t>Small</w:t>
            </w:r>
          </w:p>
        </w:tc>
        <w:tc>
          <w:tcPr>
            <w:tcW w:w="810" w:type="dxa"/>
            <w:vAlign w:val="center"/>
          </w:tcPr>
          <w:p w:rsidR="00E87E27" w:rsidRDefault="00E87E27" w:rsidP="00AF6F37">
            <w:pPr>
              <w:jc w:val="center"/>
            </w:pPr>
            <w:r>
              <w:t>61</w:t>
            </w:r>
          </w:p>
        </w:tc>
        <w:tc>
          <w:tcPr>
            <w:tcW w:w="1348" w:type="dxa"/>
            <w:vAlign w:val="center"/>
          </w:tcPr>
          <w:p w:rsidR="00E87E27" w:rsidRDefault="00E87E27" w:rsidP="00AF6F37">
            <w:pPr>
              <w:jc w:val="center"/>
            </w:pPr>
            <w:r w:rsidRPr="00BD3677">
              <w:t>64</w:t>
            </w:r>
            <w:r>
              <w:t xml:space="preserve"> (0.95)</w:t>
            </w:r>
          </w:p>
        </w:tc>
        <w:tc>
          <w:tcPr>
            <w:tcW w:w="1258" w:type="dxa"/>
            <w:vAlign w:val="center"/>
          </w:tcPr>
          <w:p w:rsidR="00E87E27" w:rsidRDefault="00E87E27" w:rsidP="00AF6F37">
            <w:pPr>
              <w:jc w:val="center"/>
            </w:pPr>
            <w:r w:rsidRPr="00BD3677">
              <w:t>37</w:t>
            </w:r>
            <w:r>
              <w:t xml:space="preserve"> (1.64)</w:t>
            </w:r>
          </w:p>
        </w:tc>
        <w:tc>
          <w:tcPr>
            <w:tcW w:w="1264" w:type="dxa"/>
            <w:vAlign w:val="center"/>
          </w:tcPr>
          <w:p w:rsidR="00E87E27" w:rsidRDefault="00E87E27" w:rsidP="00AF6F37">
            <w:pPr>
              <w:jc w:val="center"/>
            </w:pPr>
            <w:r w:rsidRPr="00BD3677">
              <w:t>20</w:t>
            </w:r>
            <w:r>
              <w:t xml:space="preserve"> (3.05)</w:t>
            </w:r>
          </w:p>
        </w:tc>
        <w:tc>
          <w:tcPr>
            <w:tcW w:w="1260" w:type="dxa"/>
            <w:vAlign w:val="center"/>
          </w:tcPr>
          <w:p w:rsidR="00E87E27" w:rsidRPr="005C47FB" w:rsidRDefault="00E87E27" w:rsidP="00AF6F37">
            <w:pPr>
              <w:jc w:val="center"/>
            </w:pPr>
            <w:r w:rsidRPr="005C47FB">
              <w:t>11</w:t>
            </w:r>
            <w:r>
              <w:t xml:space="preserve"> (5.5)</w:t>
            </w:r>
          </w:p>
        </w:tc>
        <w:tc>
          <w:tcPr>
            <w:tcW w:w="1345" w:type="dxa"/>
            <w:vAlign w:val="center"/>
          </w:tcPr>
          <w:p w:rsidR="00E87E27" w:rsidRDefault="00E87E27" w:rsidP="00AF6F37">
            <w:pPr>
              <w:jc w:val="center"/>
            </w:pPr>
            <w:r w:rsidRPr="00BD3677">
              <w:t>128</w:t>
            </w:r>
            <w:r>
              <w:t xml:space="preserve"> (0.47)</w:t>
            </w:r>
          </w:p>
        </w:tc>
      </w:tr>
      <w:tr w:rsidR="00E87E27" w:rsidTr="00AF6F37">
        <w:trPr>
          <w:trHeight w:val="46"/>
        </w:trPr>
        <w:tc>
          <w:tcPr>
            <w:tcW w:w="896" w:type="dxa"/>
            <w:vMerge/>
            <w:shd w:val="clear" w:color="auto" w:fill="D0CECE" w:themeFill="background2" w:themeFillShade="E6"/>
            <w:vAlign w:val="center"/>
          </w:tcPr>
          <w:p w:rsidR="00E87E27" w:rsidRPr="004D3AA0" w:rsidRDefault="00E87E27" w:rsidP="00AF6F37">
            <w:pPr>
              <w:jc w:val="center"/>
              <w:rPr>
                <w:sz w:val="18"/>
              </w:rPr>
            </w:pPr>
          </w:p>
        </w:tc>
        <w:tc>
          <w:tcPr>
            <w:tcW w:w="1169" w:type="dxa"/>
            <w:shd w:val="clear" w:color="auto" w:fill="D0CECE" w:themeFill="background2" w:themeFillShade="E6"/>
            <w:vAlign w:val="center"/>
          </w:tcPr>
          <w:p w:rsidR="00E87E27" w:rsidRPr="004D3AA0" w:rsidRDefault="00E87E27" w:rsidP="00AF6F37">
            <w:pPr>
              <w:jc w:val="center"/>
              <w:rPr>
                <w:sz w:val="18"/>
              </w:rPr>
            </w:pPr>
            <w:r w:rsidRPr="004D3AA0">
              <w:rPr>
                <w:sz w:val="18"/>
              </w:rPr>
              <w:t>Medium</w:t>
            </w:r>
          </w:p>
        </w:tc>
        <w:tc>
          <w:tcPr>
            <w:tcW w:w="810" w:type="dxa"/>
            <w:vAlign w:val="center"/>
          </w:tcPr>
          <w:p w:rsidR="00E87E27" w:rsidRDefault="00E87E27" w:rsidP="00AF6F37">
            <w:pPr>
              <w:jc w:val="center"/>
            </w:pPr>
            <w:r w:rsidRPr="008141E7">
              <w:t>9395</w:t>
            </w:r>
          </w:p>
        </w:tc>
        <w:tc>
          <w:tcPr>
            <w:tcW w:w="1348" w:type="dxa"/>
            <w:vAlign w:val="center"/>
          </w:tcPr>
          <w:p w:rsidR="00E87E27" w:rsidRDefault="00E87E27" w:rsidP="00AF6F37">
            <w:pPr>
              <w:jc w:val="center"/>
            </w:pPr>
            <w:r w:rsidRPr="008141E7">
              <w:t>9589</w:t>
            </w:r>
            <w:r>
              <w:t xml:space="preserve"> (0.98)</w:t>
            </w:r>
          </w:p>
        </w:tc>
        <w:tc>
          <w:tcPr>
            <w:tcW w:w="1258" w:type="dxa"/>
            <w:vAlign w:val="center"/>
          </w:tcPr>
          <w:p w:rsidR="00E87E27" w:rsidRDefault="00E87E27" w:rsidP="00AF6F37">
            <w:pPr>
              <w:jc w:val="center"/>
            </w:pPr>
            <w:r w:rsidRPr="008141E7">
              <w:t>4863</w:t>
            </w:r>
            <w:r>
              <w:t xml:space="preserve"> (1.93)</w:t>
            </w:r>
          </w:p>
        </w:tc>
        <w:tc>
          <w:tcPr>
            <w:tcW w:w="1264" w:type="dxa"/>
            <w:vAlign w:val="center"/>
          </w:tcPr>
          <w:p w:rsidR="00E87E27" w:rsidRDefault="00E87E27" w:rsidP="00AF6F37">
            <w:pPr>
              <w:jc w:val="center"/>
            </w:pPr>
            <w:r w:rsidRPr="00BD3677">
              <w:t>2529</w:t>
            </w:r>
            <w:r>
              <w:t xml:space="preserve"> (3.71)</w:t>
            </w:r>
          </w:p>
        </w:tc>
        <w:tc>
          <w:tcPr>
            <w:tcW w:w="1260" w:type="dxa"/>
            <w:vAlign w:val="center"/>
          </w:tcPr>
          <w:p w:rsidR="00E87E27" w:rsidRPr="005C47FB" w:rsidRDefault="00E87E27" w:rsidP="00AF6F37">
            <w:pPr>
              <w:jc w:val="center"/>
            </w:pPr>
            <w:r w:rsidRPr="005C47FB">
              <w:t>1378</w:t>
            </w:r>
            <w:r>
              <w:t xml:space="preserve"> (6.96)</w:t>
            </w:r>
          </w:p>
        </w:tc>
        <w:tc>
          <w:tcPr>
            <w:tcW w:w="1345" w:type="dxa"/>
            <w:vAlign w:val="center"/>
          </w:tcPr>
          <w:p w:rsidR="00E87E27" w:rsidRDefault="00E87E27" w:rsidP="00AF6F37">
            <w:pPr>
              <w:jc w:val="center"/>
            </w:pPr>
            <w:r w:rsidRPr="00BD3677">
              <w:t>1995</w:t>
            </w:r>
            <w:r>
              <w:t xml:space="preserve"> (4.70)</w:t>
            </w:r>
          </w:p>
        </w:tc>
      </w:tr>
    </w:tbl>
    <w:p w:rsidR="00E87E27" w:rsidRDefault="00E87E27">
      <w:r>
        <w:t xml:space="preserve"> </w:t>
      </w:r>
    </w:p>
    <w:p w:rsidR="00313FBE" w:rsidRDefault="00E87E27">
      <w:r>
        <w:t>On the CUDA platform, the result was</w:t>
      </w:r>
      <w:r w:rsidR="00313FBE">
        <w:t>:</w:t>
      </w:r>
    </w:p>
    <w:p w:rsidR="00313FBE" w:rsidRDefault="00313FBE" w:rsidP="00313FBE">
      <w:pPr>
        <w:pStyle w:val="ListParagraph"/>
        <w:numPr>
          <w:ilvl w:val="0"/>
          <w:numId w:val="1"/>
        </w:numPr>
      </w:pPr>
      <w:r w:rsidRPr="00313FBE">
        <w:t>226 ms</w:t>
      </w:r>
      <w:r>
        <w:t xml:space="preserve"> for the small dataset. </w:t>
      </w:r>
      <w:r w:rsidR="00407F9D">
        <w:t xml:space="preserve">(speedup = </w:t>
      </w:r>
      <w:r w:rsidR="00407F9D">
        <w:t>0.26)</w:t>
      </w:r>
      <w:bookmarkStart w:id="0" w:name="_GoBack"/>
      <w:bookmarkEnd w:id="0"/>
    </w:p>
    <w:p w:rsidR="00313FBE" w:rsidRDefault="00313FBE" w:rsidP="00313FBE">
      <w:pPr>
        <w:pStyle w:val="ListParagraph"/>
        <w:numPr>
          <w:ilvl w:val="0"/>
          <w:numId w:val="1"/>
        </w:numPr>
      </w:pPr>
      <w:r>
        <w:t>215 ms for the medium dataset (speedup = 44).</w:t>
      </w:r>
    </w:p>
    <w:p w:rsidR="00313FBE" w:rsidRDefault="00FC2F9E" w:rsidP="00313FBE">
      <w:r>
        <w:t>The results shows that the delay is mostly the overhead of communication with GPU and actual computation for the two dataset doesn’t have significant difference. Which probably means that the higher speedups can be achieved with databases of larger size</w:t>
      </w:r>
      <w:r w:rsidR="007310BB">
        <w:t>.</w:t>
      </w:r>
    </w:p>
    <w:p w:rsidR="00313FBE" w:rsidRDefault="00313FBE" w:rsidP="00313FBE"/>
    <w:p w:rsidR="00E87E27" w:rsidRDefault="00E87E27">
      <w:r>
        <w:t xml:space="preserve"> </w:t>
      </w:r>
    </w:p>
    <w:sectPr w:rsidR="00E87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D470B"/>
    <w:multiLevelType w:val="hybridMultilevel"/>
    <w:tmpl w:val="8332A7C0"/>
    <w:lvl w:ilvl="0" w:tplc="AD68FC58">
      <w:start w:val="199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205"/>
    <w:rsid w:val="00313FBE"/>
    <w:rsid w:val="00407F9D"/>
    <w:rsid w:val="007310BB"/>
    <w:rsid w:val="00BE3205"/>
    <w:rsid w:val="00C43FDE"/>
    <w:rsid w:val="00E87E27"/>
    <w:rsid w:val="00FA1AE8"/>
    <w:rsid w:val="00FC2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C1A79"/>
  <w15:chartTrackingRefBased/>
  <w15:docId w15:val="{752E0F8B-16EB-4056-95D8-151EB7AAC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E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87E27"/>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E87E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3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130</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EGR</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Ghadermarzi</dc:creator>
  <cp:keywords/>
  <dc:description/>
  <cp:lastModifiedBy>Sina Ghadermarzi</cp:lastModifiedBy>
  <cp:revision>5</cp:revision>
  <cp:lastPrinted>2018-10-23T04:01:00Z</cp:lastPrinted>
  <dcterms:created xsi:type="dcterms:W3CDTF">2018-10-23T03:21:00Z</dcterms:created>
  <dcterms:modified xsi:type="dcterms:W3CDTF">2018-10-23T04:02:00Z</dcterms:modified>
</cp:coreProperties>
</file>