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Reliable LLM Issue Triage Through Calibrated Deferral and Production Testing</w:t>
      </w:r>
    </w:p>
    <w:p>
      <w:pPr>
        <w:spacing w:after="100"/>
      </w:pPr>
      <w:r>
        <w:rPr>
          <w:sz w:val="20"/>
        </w:rPr>
        <w:t>UIC CS544 Machine Learning in Production | Hybrid project report</w:t>
      </w:r>
    </w:p>
    <w:p>
      <w:pPr>
        <w:spacing w:after="180"/>
      </w:pPr>
      <w:r>
        <w:rPr>
          <w:b/>
        </w:rPr>
        <w:t xml:space="preserve">Group members. </w:t>
      </w:r>
      <w:r>
        <w:t>[Member 1]    [Member 2]    [Member 3]</w:t>
      </w:r>
    </w:p>
    <w:p>
      <w:pPr>
        <w:spacing w:after="120"/>
      </w:pPr>
      <w:r>
        <w:rPr>
          <w:b/>
        </w:rPr>
        <w:t xml:space="preserve">Research problem. </w:t>
      </w:r>
      <w:r>
        <w:t>An issue-labeling service must decide whether to assign bug, feature, or question automatically or ask a maintainer to review the issue. We study how much automation is possible at a target error rate, and whether that decision remains reliable as repositories, time periods, and writing styles change.</w:t>
      </w:r>
    </w:p>
    <w:p>
      <w:pPr>
        <w:spacing w:after="120"/>
      </w:pPr>
      <w:r>
        <w:rPr>
          <w:b/>
        </w:rPr>
        <w:t xml:space="preserve">Background. </w:t>
      </w:r>
      <w:r>
        <w:t>Prior work studies classical and LLM issue classification [1,2]. Temperature scaling, selective classification, risk control, and conformal prediction offer ways to assess confidence and defer uncertain cases [3-6]. Behavioral testing and research on user-related performance differences motivate controlled wording tests [7,8]. Explanation evaluation and production testing inform supporting analyses [9,10].</w:t>
      </w:r>
    </w:p>
    <w:p>
      <w:pPr>
        <w:spacing w:after="120"/>
      </w:pPr>
      <w:r>
        <w:rPr>
          <w:b/>
        </w:rPr>
        <w:t xml:space="preserve">Goal and scope. </w:t>
      </w:r>
      <w:r>
        <w:t>The contribution is a reproducible evaluation of selective issue triage, including operational tradeoffs, controlled behavioral tests, and regression checks. The core study concerns automatic-label errors and human-review workload; explanations and monitoring provide supporting diagnostics.</w:t>
      </w:r>
    </w:p>
    <w:p>
      <w:pPr>
        <w:keepNext/>
        <w:spacing w:after="40"/>
      </w:pPr>
      <w:r>
        <w:rPr>
          <w:b/>
        </w:rPr>
        <w:t>Research questions</w:t>
      </w:r>
    </w:p>
    <w:p>
      <w:pPr>
        <w:spacing w:after="40"/>
        <w:ind w:left="173"/>
      </w:pPr>
      <w:r>
        <w:rPr>
          <w:b/>
        </w:rPr>
        <w:t xml:space="preserve">RQ1. </w:t>
      </w:r>
      <w:r>
        <w:t>How do classical and LLM triagers compare in accuracy and cost across benchmark, recent, and held-out-repository issues?</w:t>
      </w:r>
    </w:p>
    <w:p>
      <w:pPr>
        <w:spacing w:after="40"/>
        <w:ind w:left="173"/>
      </w:pPr>
      <w:r>
        <w:rPr>
          <w:b/>
        </w:rPr>
        <w:t xml:space="preserve">RQ2. </w:t>
      </w:r>
      <w:r>
        <w:t>How much coverage can deferral policies achieve at a 10% error target, and how does target attainment change under shift?</w:t>
      </w:r>
    </w:p>
    <w:p>
      <w:pPr>
        <w:spacing w:after="40"/>
        <w:ind w:left="173"/>
      </w:pPr>
      <w:r>
        <w:rPr>
          <w:b/>
        </w:rPr>
        <w:t xml:space="preserve">RQ3. </w:t>
      </w:r>
      <w:r>
        <w:t>How do controlled changes in wording and reporter cues affect predictions and referral to human review?</w:t>
      </w:r>
    </w:p>
    <w:p>
      <w:pPr>
        <w:spacing w:after="40"/>
        <w:ind w:left="173"/>
      </w:pPr>
      <w:r>
        <w:rPr>
          <w:b/>
        </w:rPr>
        <w:t xml:space="preserve">RQ4. </w:t>
      </w:r>
      <w:r>
        <w:t>Do quoted explanations identify evidence that influences the classifier's decisions?</w:t>
      </w:r>
    </w:p>
    <w:p>
      <w:pPr>
        <w:spacing w:after="40"/>
        <w:ind w:left="173"/>
      </w:pPr>
      <w:r>
        <w:rPr>
          <w:b/>
        </w:rPr>
        <w:t xml:space="preserve">RQ5. </w:t>
      </w:r>
      <w:r>
        <w:t>Which signals detect changes in issue traffic, and which service faults do regression tests catch?</w:t>
      </w:r>
    </w:p>
    <w:p>
      <w:pPr>
        <w:spacing w:after="120" w:before="80"/>
      </w:pPr>
      <w:r>
        <w:rPr>
          <w:b/>
        </w:rPr>
        <w:t xml:space="preserve">Working hypotheses. </w:t>
      </w:r>
      <w:r>
        <w:t>H1: LLM triagers transfer across repositories better than classifiers trained on issue history. H2: Confidence-based deferral reduces automatic-label errors while sacrificing coverage; changes in traffic and reporter style affect both reliability and review workload.</w:t>
      </w:r>
    </w:p>
    <w:p>
      <w:pPr>
        <w:spacing w:after="120"/>
      </w:pPr>
      <w:r>
        <w:rPr>
          <w:b/>
        </w:rPr>
        <w:t xml:space="preserve">General approach. </w:t>
      </w:r>
      <w:r>
        <w:t>Using matched issue text, compare TF-IDF and embedding logistic regression with local Qwen2.5-7B in zero-shot and few-shot modes; the latter retrieves six labeled examples. Evaluate auto-all, confidence thresholds, risk-controlled thresholds, singleton conformal sets, and classifier agreement. Planned validation separates temperature fitting from certification and excludes target repositories from training and calibration. Human annotators will check rewrites; reporter-cue controls will separate newcomer status from question-like wording. Supporting tests compare evidence deletion with matched random deletion and evaluate monitoring on independent clean traffic.</w:t>
      </w:r>
    </w:p>
    <w:p>
      <w:pPr>
        <w:spacing w:after="120"/>
      </w:pPr>
      <w:r>
        <w:rPr>
          <w:b/>
        </w:rPr>
        <w:t xml:space="preserve">Evaluation benchmarks and metrics. </w:t>
      </w:r>
      <w:r>
        <w:t>Use NLBSE'24's 3,000 issues from five repositories: 1,005 history, 495 reserved for calibration stages, and 1,500 test. The recent collection contains 1,430 single-type issues from 2025-26, with 514 sampled for evaluation. Reuse benchmark subsets for held-out-repository testing (750 issues) and behavioral probes (210). Measure accuracy, macro-F1, calibration error, coverage (share auto-labeled), and selective risk (errors among automatic labels), with uncertainty intervals. Also measure rewrite-induced label and referral changes, quote validity and deletion effects, monitoring delay and false alarms, mutation detection, and end-to-end latency.</w:t>
      </w:r>
    </w:p>
    <w:p>
      <w:r>
        <w:br w:type="page"/>
      </w:r>
    </w:p>
    <w:p>
      <w:pPr>
        <w:pStyle w:val="Heading1"/>
      </w:pPr>
      <w:r>
        <w:t>Selected literature and project relevance</w:t>
      </w:r>
    </w:p>
    <w:p>
      <w:pPr>
        <w:spacing w:after="180"/>
      </w:pPr>
      <w:r>
        <w:t>References 1-2 cover issue classification; 3-6 support calibration and deferral; 7-8 motivate behavioral and fairness tests; 9-10 guide explanation and production testing. Paper titles link to primary sources.</w:t>
      </w:r>
    </w:p>
    <w:p>
      <w:pPr>
        <w:keepNext/>
        <w:spacing w:after="20"/>
        <w:ind w:left="389" w:hanging="389"/>
      </w:pPr>
      <w:r>
        <w:rPr>
          <w:b/>
        </w:rPr>
        <w:t xml:space="preserve">[1] </w:t>
      </w:r>
      <w:r>
        <w:t xml:space="preserve">Kallis, R., Di Sorbo, A., Canfora, G., and Panichella, S. (2021). </w:t>
      </w:r>
      <w:hyperlink r:id="rId9">
        <w:r>
          <w:rPr>
            <w:color w:val="000000"/>
            <w:u w:val="single"/>
          </w:rPr>
          <w:t>Predicting Issue Types on GitHub</w:t>
        </w:r>
      </w:hyperlink>
      <w:r>
        <w:t>. arXiv:2107.09936, preprint.</w:t>
      </w:r>
    </w:p>
    <w:p>
      <w:pPr>
        <w:spacing w:after="140"/>
        <w:ind w:left="389"/>
      </w:pPr>
      <w:r>
        <w:rPr>
          <w:sz w:val="21"/>
        </w:rPr>
        <w:t>Task foundation: presents Ticket Tagger for issue-type prediction; motivates automated labeling and classical baselines.</w:t>
      </w:r>
    </w:p>
    <w:p>
      <w:pPr>
        <w:keepNext/>
        <w:spacing w:after="20"/>
        <w:ind w:left="389" w:hanging="389"/>
      </w:pPr>
      <w:r>
        <w:rPr>
          <w:b/>
        </w:rPr>
        <w:t xml:space="preserve">[2] </w:t>
      </w:r>
      <w:r>
        <w:t xml:space="preserve">Aracena, G., et al. (2025). </w:t>
      </w:r>
      <w:hyperlink r:id="rId10">
        <w:r>
          <w:rPr>
            <w:color w:val="000000"/>
            <w:u w:val="single"/>
          </w:rPr>
          <w:t>Applying Large Language Models to Issue Classification: Revisiting with Extended Data and New Models</w:t>
        </w:r>
      </w:hyperlink>
      <w:r>
        <w:t>. arXiv:2506.00128, preprint.</w:t>
      </w:r>
    </w:p>
    <w:p>
      <w:pPr>
        <w:spacing w:after="140"/>
        <w:ind w:left="389"/>
      </w:pPr>
      <w:r>
        <w:rPr>
          <w:sz w:val="21"/>
        </w:rPr>
        <w:t>LLM baseline: evaluates issue classification across NLBSE datasets; provides context for our deployment-focused study.</w:t>
      </w:r>
    </w:p>
    <w:p>
      <w:pPr>
        <w:keepNext/>
        <w:spacing w:after="20"/>
        <w:ind w:left="389" w:hanging="389"/>
      </w:pPr>
      <w:r>
        <w:rPr>
          <w:b/>
        </w:rPr>
        <w:t xml:space="preserve">[3] </w:t>
      </w:r>
      <w:r>
        <w:t xml:space="preserve">Guo, C., Pleiss, G., Sun, Y., and Weinberger, K. Q. (2017). </w:t>
      </w:r>
      <w:hyperlink r:id="rId11">
        <w:r>
          <w:rPr>
            <w:color w:val="000000"/>
            <w:u w:val="single"/>
          </w:rPr>
          <w:t>On Calibration of Modern Neural Networks</w:t>
        </w:r>
      </w:hyperlink>
      <w:r>
        <w:t>. ICML 2017.</w:t>
      </w:r>
    </w:p>
    <w:p>
      <w:pPr>
        <w:spacing w:after="140"/>
        <w:ind w:left="389"/>
      </w:pPr>
      <w:r>
        <w:rPr>
          <w:sz w:val="21"/>
        </w:rPr>
        <w:t>Confidence calibration: supplies temperature scaling and calibration-error analysis for classifier scores.</w:t>
      </w:r>
    </w:p>
    <w:p>
      <w:pPr>
        <w:keepNext/>
        <w:spacing w:after="20"/>
        <w:ind w:left="389" w:hanging="389"/>
      </w:pPr>
      <w:r>
        <w:rPr>
          <w:b/>
        </w:rPr>
        <w:t xml:space="preserve">[4] </w:t>
      </w:r>
      <w:r>
        <w:t xml:space="preserve">Geifman, Y., and El-Yaniv, R. (2017). </w:t>
      </w:r>
      <w:hyperlink r:id="rId12">
        <w:r>
          <w:rPr>
            <w:color w:val="000000"/>
            <w:u w:val="single"/>
          </w:rPr>
          <w:t>Selective Classification for Deep Neural Networks</w:t>
        </w:r>
      </w:hyperlink>
      <w:r>
        <w:t>. NeurIPS 2017.</w:t>
      </w:r>
    </w:p>
    <w:p>
      <w:pPr>
        <w:spacing w:after="140"/>
        <w:ind w:left="389"/>
      </w:pPr>
      <w:r>
        <w:rPr>
          <w:sz w:val="21"/>
        </w:rPr>
        <w:t>Selective automation: motivates abstention and evaluation through the tradeoff between risk and coverage.</w:t>
      </w:r>
    </w:p>
    <w:p>
      <w:pPr>
        <w:keepNext/>
        <w:spacing w:after="20"/>
        <w:ind w:left="389" w:hanging="389"/>
      </w:pPr>
      <w:r>
        <w:rPr>
          <w:b/>
        </w:rPr>
        <w:t xml:space="preserve">[5] </w:t>
      </w:r>
      <w:r>
        <w:t xml:space="preserve">Angelopoulos, A. N., et al. (2021). </w:t>
      </w:r>
      <w:hyperlink r:id="rId13">
        <w:r>
          <w:rPr>
            <w:color w:val="000000"/>
            <w:u w:val="single"/>
          </w:rPr>
          <w:t>Learn then Test: Calibrating Predictive Algorithms to Achieve Risk Control</w:t>
        </w:r>
      </w:hyperlink>
      <w:r>
        <w:t>. arXiv:2110.01052, preprint.</w:t>
      </w:r>
    </w:p>
    <w:p>
      <w:pPr>
        <w:spacing w:after="140"/>
        <w:ind w:left="389"/>
      </w:pPr>
      <w:r>
        <w:rPr>
          <w:sz w:val="21"/>
        </w:rPr>
        <w:t>Risk control: supplies hypothesis-testing procedures for certifying an error target using held-out calibration data.</w:t>
      </w:r>
    </w:p>
    <w:p>
      <w:pPr>
        <w:keepNext/>
        <w:spacing w:after="20"/>
        <w:ind w:left="389" w:hanging="389"/>
      </w:pPr>
      <w:r>
        <w:rPr>
          <w:b/>
        </w:rPr>
        <w:t xml:space="preserve">[6] </w:t>
      </w:r>
      <w:r>
        <w:t xml:space="preserve">Angelopoulos, A. N., and Bates, S. (2021). </w:t>
      </w:r>
      <w:hyperlink r:id="rId14">
        <w:r>
          <w:rPr>
            <w:color w:val="000000"/>
            <w:u w:val="single"/>
          </w:rPr>
          <w:t>A Gentle Introduction to Conformal Prediction and Distribution-Free Uncertainty Quantification</w:t>
        </w:r>
      </w:hyperlink>
      <w:r>
        <w:t>. arXiv:2107.07511, tutorial paper.</w:t>
      </w:r>
    </w:p>
    <w:p>
      <w:pPr>
        <w:spacing w:after="140"/>
        <w:ind w:left="389"/>
      </w:pPr>
      <w:r>
        <w:rPr>
          <w:sz w:val="21"/>
        </w:rPr>
        <w:t>Prediction sets: motivates singleton-set automation and states the exchangeability assumptions behind coverage guarantees.</w:t>
      </w:r>
    </w:p>
    <w:p>
      <w:pPr>
        <w:keepNext/>
        <w:spacing w:after="20"/>
        <w:ind w:left="389" w:hanging="389"/>
      </w:pPr>
      <w:r>
        <w:rPr>
          <w:b/>
        </w:rPr>
        <w:t xml:space="preserve">[7] </w:t>
      </w:r>
      <w:r>
        <w:t xml:space="preserve">Ribeiro, M. T., Wu, T., Guestrin, C., and Singh, S. (2020). </w:t>
      </w:r>
      <w:hyperlink r:id="rId15">
        <w:r>
          <w:rPr>
            <w:color w:val="000000"/>
            <w:u w:val="single"/>
          </w:rPr>
          <w:t>Beyond Accuracy: Behavioral Testing of NLP Models with CheckList</w:t>
        </w:r>
      </w:hyperlink>
      <w:r>
        <w:t>. ACL 2020.</w:t>
      </w:r>
    </w:p>
    <w:p>
      <w:pPr>
        <w:spacing w:after="140"/>
        <w:ind w:left="389"/>
      </w:pPr>
      <w:r>
        <w:rPr>
          <w:sz w:val="21"/>
        </w:rPr>
        <w:t>Behavioral testing: guides controlled invariance tests for wording, template structure, and reporter cues.</w:t>
      </w:r>
    </w:p>
    <w:p>
      <w:pPr>
        <w:keepNext/>
        <w:spacing w:after="20"/>
        <w:ind w:left="389" w:hanging="389"/>
      </w:pPr>
      <w:r>
        <w:rPr>
          <w:b/>
        </w:rPr>
        <w:t xml:space="preserve">[8] </w:t>
      </w:r>
      <w:r>
        <w:t xml:space="preserve">Poole-Dayan, E., Roy, D., and Kabbara, J. (2024). </w:t>
      </w:r>
      <w:hyperlink r:id="rId16">
        <w:r>
          <w:rPr>
            <w:color w:val="000000"/>
            <w:u w:val="single"/>
          </w:rPr>
          <w:t>LLM Targeted Underperformance Disproportionately Impacts Vulnerable Users</w:t>
        </w:r>
      </w:hyperlink>
      <w:r>
        <w:t>. arXiv:2406.17737; accepted at AAAI 2026.</w:t>
      </w:r>
    </w:p>
    <w:p>
      <w:pPr>
        <w:spacing w:after="140"/>
        <w:ind w:left="389"/>
      </w:pPr>
      <w:r>
        <w:rPr>
          <w:sz w:val="21"/>
        </w:rPr>
        <w:t>Fairness motivation: studies response-quality differences by user traits, including English proficiency; motivates style tests.</w:t>
      </w:r>
    </w:p>
    <w:p>
      <w:pPr>
        <w:keepNext/>
        <w:spacing w:after="20"/>
        <w:ind w:left="389" w:hanging="389"/>
      </w:pPr>
      <w:r>
        <w:rPr>
          <w:b/>
        </w:rPr>
        <w:t xml:space="preserve">[9] </w:t>
      </w:r>
      <w:r>
        <w:t xml:space="preserve">DeYoung, J., et al. (2020). </w:t>
      </w:r>
      <w:hyperlink r:id="rId17">
        <w:r>
          <w:rPr>
            <w:color w:val="000000"/>
            <w:u w:val="single"/>
          </w:rPr>
          <w:t>ERASER: A Benchmark to Evaluate Rationalized NLP Models</w:t>
        </w:r>
      </w:hyperlink>
      <w:r>
        <w:t>. ACL 2020.</w:t>
      </w:r>
    </w:p>
    <w:p>
      <w:pPr>
        <w:spacing w:after="140"/>
        <w:ind w:left="389"/>
      </w:pPr>
      <w:r>
        <w:rPr>
          <w:sz w:val="21"/>
        </w:rPr>
        <w:t>Explanation testing: motivates rationale deletion tests and separate evaluation of plausibility and faithfulness.</w:t>
      </w:r>
    </w:p>
    <w:p>
      <w:pPr>
        <w:keepNext/>
        <w:spacing w:after="20"/>
        <w:ind w:left="389" w:hanging="389"/>
      </w:pPr>
      <w:r>
        <w:rPr>
          <w:b/>
        </w:rPr>
        <w:t xml:space="preserve">[10] </w:t>
      </w:r>
      <w:r>
        <w:t xml:space="preserve">Breck, E., Cai, S., Nielsen, E., Salib, M., and Sculley, D. (2017). </w:t>
      </w:r>
      <w:hyperlink r:id="rId18">
        <w:r>
          <w:rPr>
            <w:color w:val="000000"/>
            <w:u w:val="single"/>
          </w:rPr>
          <w:t>The ML Test Score: A Rubric for ML Production Readiness and Technical Debt Reduction</w:t>
        </w:r>
      </w:hyperlink>
      <w:r>
        <w:t>. IEEE Big Data 2017.</w:t>
      </w:r>
    </w:p>
    <w:p>
      <w:pPr>
        <w:spacing w:after="140"/>
        <w:ind w:left="389"/>
      </w:pPr>
      <w:r>
        <w:rPr>
          <w:sz w:val="21"/>
        </w:rPr>
        <w:t>Production readiness: guides monitoring, regression suites, and tests of operational failure paths.</w:t>
      </w:r>
    </w:p>
    <w:sectPr w:rsidR="00FC693F" w:rsidRPr="0006063C" w:rsidSect="00034616">
      <w:footerReference w:type="default" r:id="rId1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100"/>
    </w:pPr>
    <w:rPr>
      <w:rFonts w:ascii="Times New Roman" w:hAnsi="Times New Roman" w:cs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107.09936" TargetMode="External"/><Relationship Id="rId10" Type="http://schemas.openxmlformats.org/officeDocument/2006/relationships/hyperlink" Target="https://arxiv.org/abs/2506.00128" TargetMode="External"/><Relationship Id="rId11" Type="http://schemas.openxmlformats.org/officeDocument/2006/relationships/hyperlink" Target="https://proceedings.mlr.press/v70/guo17a.html" TargetMode="External"/><Relationship Id="rId12" Type="http://schemas.openxmlformats.org/officeDocument/2006/relationships/hyperlink" Target="https://arxiv.org/abs/1705.08500" TargetMode="External"/><Relationship Id="rId13" Type="http://schemas.openxmlformats.org/officeDocument/2006/relationships/hyperlink" Target="https://arxiv.org/abs/2110.01052" TargetMode="External"/><Relationship Id="rId14" Type="http://schemas.openxmlformats.org/officeDocument/2006/relationships/hyperlink" Target="https://arxiv.org/abs/2107.07511" TargetMode="External"/><Relationship Id="rId15" Type="http://schemas.openxmlformats.org/officeDocument/2006/relationships/hyperlink" Target="https://aclanthology.org/2020.acl-main.442/" TargetMode="External"/><Relationship Id="rId16" Type="http://schemas.openxmlformats.org/officeDocument/2006/relationships/hyperlink" Target="https://arxiv.org/abs/2406.17737" TargetMode="External"/><Relationship Id="rId17" Type="http://schemas.openxmlformats.org/officeDocument/2006/relationships/hyperlink" Target="https://aclanthology.org/2020.acl-main.408/" TargetMode="External"/><Relationship Id="rId18" Type="http://schemas.openxmlformats.org/officeDocument/2006/relationships/hyperlink" Target="https://research.google/pubs/the-ml-test-score-a-rubric-for-ml-production-readiness-and-technical-debt-reduction/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Reliable LLM Issue Triage Through Calibrated Deferral and Production Testing</dc:title>
  <dc:subject>CS544 hybrid project report and annotated bibliography</dc:subject>
  <dc:creator>CS544 Project Group</dc:creator>
  <cp:keywords>issue triage, selective classification, calibration, deferral, CS544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