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4F007" w14:textId="77777777" w:rsidR="000A2783" w:rsidRDefault="00000000">
      <w:pPr>
        <w:pStyle w:val="Title"/>
      </w:pPr>
      <w:r>
        <w:t>An Information Firewall Between Wind and Platform Motion in Floating Offshore Wind Turbines: A Transfer-Entropy Analysis with Implications for Health Monitoring</w:t>
      </w:r>
    </w:p>
    <w:p w14:paraId="2A793208" w14:textId="77777777" w:rsidR="000A2783" w:rsidRDefault="00000000">
      <w:pPr>
        <w:pStyle w:val="Author"/>
      </w:pPr>
      <w:r>
        <w:t>Sina Hadadi</w:t>
      </w:r>
    </w:p>
    <w:p w14:paraId="06812F8E" w14:textId="77777777" w:rsidR="000A2783" w:rsidRDefault="00000000">
      <w:pPr>
        <w:pStyle w:val="Date"/>
      </w:pPr>
      <w:r>
        <w:t>2026-07-14</w:t>
      </w:r>
    </w:p>
    <w:p w14:paraId="250A1B7A" w14:textId="77777777" w:rsidR="000A2783" w:rsidRDefault="00000000">
      <w:pPr>
        <w:pStyle w:val="Heading2"/>
      </w:pPr>
      <w:bookmarkStart w:id="0" w:name="abstract"/>
      <w:r>
        <w:t>Abstract</w:t>
      </w:r>
    </w:p>
    <w:p w14:paraId="0FCCD657"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and reveal nothing about whether the controller works. In a healthy FOWT the blade-pitch controller is shown to act as an information </w:t>
      </w:r>
      <w:r>
        <w:rPr>
          <w:i/>
          <w:iCs/>
        </w:rPr>
        <w:t>firewall</w:t>
      </w:r>
      <w:r>
        <w:t>, regulating rotor thrust so effectively that turbulent wind transfers essentially no information into platform motion. Using model-free transfer entropy (TE) with the Kraskov–Stögbauer–Grassberger estimator on 54 OpenFAST simulations of the IEA-15MW on VolturnUS-S, TE(Wind → platform pitch) averages 0.0009 nats (maximum 0.029; significant in 3.7% of cases) against 0.121 nats for wave forcing (100% significant); wind is selected as a significant source less often than chance — the firewall is total within the test’s resolution. Linear coherence reports a strong apparent link (γ² ≈ 0.72) — shared spectral power, not causation — so the undirected tool misses the firewall; delay-resolved analysis confirms it is no lag artifact. The firewall is attributed to the controller, not wave dominance: SURD locates the wind information in the blade-pitch command, and an open-loop twin shows that influence collapsing once the loop opens. The firewall suggests a diagnostic: a fault degrading thrust regulation should re-admit wind information into the structure. This is framed as a motivated outlook, not a method — the dataset contains no computed fault-case TE — and the graded-fault validation required is specified. To the authors’ knowledge, this is the first use of directed information flow to show how control shapes disturbance propagation into a floating turbine’s structure.</w:t>
      </w:r>
    </w:p>
    <w:p w14:paraId="404771DE"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FE81636" w14:textId="77777777" w:rsidR="000A2783" w:rsidRDefault="00000000">
      <w:r>
        <w:pict w14:anchorId="7750026B">
          <v:rect id="_x0000_i1025" style="width:0;height:1.5pt" o:hralign="center" o:hrstd="t" o:hr="t"/>
        </w:pict>
      </w:r>
    </w:p>
    <w:p w14:paraId="55A8D0CF" w14:textId="77777777" w:rsidR="000A2783" w:rsidRDefault="00000000">
      <w:pPr>
        <w:pStyle w:val="Heading2"/>
      </w:pPr>
      <w:bookmarkStart w:id="1" w:name="introduction"/>
      <w:bookmarkEnd w:id="0"/>
      <w:r>
        <w:lastRenderedPageBreak/>
        <w:t>1. Introduction</w:t>
      </w:r>
    </w:p>
    <w:p w14:paraId="485F8212"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130DC375" w14:textId="77777777" w:rsidR="000A2783" w:rsidRDefault="00000000">
      <w:pPr>
        <w:pStyle w:val="Heading3"/>
      </w:pPr>
      <w:bookmarkStart w:id="2" w:name="background"/>
      <w:r>
        <w:t>1.1 Background</w:t>
      </w:r>
    </w:p>
    <w:p w14:paraId="12102DF5"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11BFCA4D"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05C0AB97"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4B837B7F"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0E25A775" w14:textId="77777777" w:rsidR="000A2783" w:rsidRDefault="00000000">
      <w:pPr>
        <w:pStyle w:val="Heading3"/>
      </w:pPr>
      <w:bookmarkStart w:id="3" w:name="motivation-and-contribution"/>
      <w:bookmarkEnd w:id="2"/>
      <w:r>
        <w:t>1.2 Motivation and Contribution</w:t>
      </w:r>
    </w:p>
    <w:p w14:paraId="5595F1B2"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detect the absence of a pathway deliberately created by a controller, or use this absence as a signal of health.</w:t>
      </w:r>
    </w:p>
    <w:p w14:paraId="74660A5C" w14:textId="77777777" w:rsidR="000A2783" w:rsidRDefault="00000000">
      <w:pPr>
        <w:pStyle w:val="BodyText"/>
      </w:pPr>
      <w:r>
        <w:lastRenderedPageBreak/>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blade-pitch controller causes the transfer entropy from wind to platform motion to be effectively zero — not because wind is irrelevant, but because the controller intercepts the wind information before it reaches the structure. This phenomenon is known as the </w:t>
      </w:r>
      <w:r>
        <w:rPr>
          <w:i/>
          <w:iCs/>
        </w:rPr>
        <w:t>information firewall</w:t>
      </w:r>
      <w:r>
        <w:t>.</w:t>
      </w:r>
    </w:p>
    <w:p w14:paraId="09A85D51" w14:textId="77777777" w:rsidR="000A2783" w:rsidRDefault="00000000">
      <w:pPr>
        <w:pStyle w:val="BodyText"/>
      </w:pPr>
      <w:r>
        <w:t>These observations highlight a gap in current health monitoring approaches. The needed metric should indicate whether the closed loop is operational, not just detect component wear. In floating-turbine control, the control intentionally breaks the connection between wind and the platform,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monitors the controller-induced lack of directed information flow — and its breach by faults — as the key indicator. This paper addresses that gap by establishing the firewall concept, linking it to the controller, and proposing its breach as a diagnostic indicator. Traditional association or variance-based tools cannot detect a severed pathway or determine when it has been reconnected due to a fault.</w:t>
      </w:r>
    </w:p>
    <w:p w14:paraId="1B10A380" w14:textId="77777777" w:rsidR="000A2783" w:rsidRDefault="00000000">
      <w:pPr>
        <w:pStyle w:val="BodyText"/>
      </w:pPr>
      <w:r>
        <w:t>This paper makes two contributions and develops a motivated outlook:</w:t>
      </w:r>
    </w:p>
    <w:p w14:paraId="685D2C61" w14:textId="77777777" w:rsidR="000A2783" w:rsidRDefault="00000000">
      <w:pPr>
        <w:numPr>
          <w:ilvl w:val="0"/>
          <w:numId w:val="2"/>
        </w:numPr>
      </w:pPr>
      <w:r>
        <w:rPr>
          <w:b/>
          <w:bCs/>
        </w:rPr>
        <w:t>A control-induced information firewall in a FOWT is identified and quantified.</w:t>
      </w:r>
      <w:r>
        <w:t xml:space="preserve"> Across 54 simulations spanning four wind speeds, TE from hub-height wind to platform pitch is statistically indistinguishable from zero (mean 0.0009 nats, significant in 3.7% of cases), whereas TE from wave elevation to the same response is large and universally significant (mean 0.121 nats, 100%). Linear coherence is shown to report a strong apparent wind–platform link — shared spectral power that reads as influence — where TE certifies none, illustrating concretely why directed, nonlinear methods are needed in a closed loop.</w:t>
      </w:r>
    </w:p>
    <w:p w14:paraId="597C7EFF" w14:textId="77777777" w:rsidR="000A2783" w:rsidRDefault="00000000">
      <w:pPr>
        <w:numPr>
          <w:ilvl w:val="0"/>
          <w:numId w:val="2"/>
        </w:numPr>
      </w:pPr>
      <w:r>
        <w:rPr>
          <w:b/>
          <w:bCs/>
        </w:rPr>
        <w:t>The firewall is attributed to the controller, not to wave dominance.</w:t>
      </w:r>
      <w:r>
        <w:t xml:space="preserve"> Using the SURD decomposition (Martínez-Sánchez et al., 2024), the wind information is shown to be redirected into the blade-pitch command, and using an open-loop twin — in which the pitch command’s unique influence on platform motion collapses once the loop is opened — the barrier is shown to be a property of active control rather than a generic feature of the platform.</w:t>
      </w:r>
    </w:p>
    <w:p w14:paraId="1820DCD9" w14:textId="77777777" w:rsidR="000A2783" w:rsidRDefault="00000000">
      <w:pPr>
        <w:pStyle w:val="FirstParagraph"/>
      </w:pPr>
      <w:r>
        <w:t xml:space="preserve">The two contributions above are demonstrated results. Beyond them, the firewall’s </w:t>
      </w:r>
      <w:r>
        <w:rPr>
          <w:b/>
          <w:bCs/>
        </w:rPr>
        <w:t>implications for health monitoring</w:t>
      </w:r>
      <w:r>
        <w:t xml:space="preserve"> are outlined as an outlook: because a healthy </w:t>
        <w:lastRenderedPageBreak/>
        <w:t>controller holds wind→structure information at a near-zero, tightly bounded baseline, a fault that degrades thrust regulation should re-admit wind information into the structure, yielding a model-free diagnostic. This is explicitly a hypothesis rather than a demonstrated method — the present dataset contains no computed fault-case transfer entropy — and the graded-fault campaign required to test it is specified (Section 4.3).</w:t>
      </w:r>
    </w:p>
    <w:p w14:paraId="3FC52D00" w14:textId="77777777" w:rsidR="000A2783" w:rsidRDefault="00000000">
      <w:pPr>
        <w:pStyle w:val="BodyText"/>
      </w:pPr>
      <w:r>
        <w:t>The scope is deliberately narrow: a single turbine (IEA-15MW) on a single platform (VolturnUS-S), simulated in OpenFAST at four wind speeds under the IEC normal turbulence model with wind-speed-matched sea states, plus a severe-sea-state DLC 1.6 set near rated. The claims made here are correspondingly bounded, and Section 4 states them as such. What the study establishes is a mechanism and its attribution; what it does not establish is a validated fault-detection method, a boundary made explicit throughout.</w:t>
      </w:r>
    </w:p>
    <w:p w14:paraId="0A5C2D5F"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attribution evidence, and the monitoring hypothesis. Section 4 discusses physical interpretation, the monitoring outlook, and limitations. Section 5 concludes.</w:t>
      </w:r>
    </w:p>
    <w:p w14:paraId="0D455D39" w14:textId="77777777" w:rsidR="000A2783" w:rsidRDefault="00000000">
      <w:r>
        <w:pict w14:anchorId="5379A94C">
          <v:rect id="_x0000_i1026" style="width:0;height:1.5pt" o:hralign="center" o:hrstd="t" o:hr="t"/>
        </w:pict>
      </w:r>
    </w:p>
    <w:p w14:paraId="391600AA" w14:textId="77777777" w:rsidR="000A2783" w:rsidRDefault="00000000">
      <w:pPr>
        <w:pStyle w:val="Heading2"/>
      </w:pPr>
      <w:bookmarkStart w:id="4" w:name="theory-and-methods"/>
      <w:bookmarkEnd w:id="1"/>
      <w:bookmarkEnd w:id="3"/>
      <w:r>
        <w:t>2. Theory and Methods</w:t>
      </w:r>
    </w:p>
    <w:p w14:paraId="1C245300" w14:textId="77777777" w:rsidR="000A2783" w:rsidRDefault="00000000">
      <w:pPr>
        <w:pStyle w:val="FirstParagraph"/>
      </w:pPr>
      <w:r>
        <w:t>This section sets out the transfer-entropy formalism (§2.1) and the simulation and estimation pipeline used to evaluate it (§2.2–§2.9). Figure 1 summarises the analysis pipeline: OpenFAST simulation, signal conditioning, parallel TE / coherence / SURD estimation, and construction of the monitoring signature.</w:t>
      </w:r>
    </w:p>
    <w:p w14:paraId="3890E74A" w14:textId="77777777" w:rsidR="000A2783" w:rsidRDefault="00000000">
      <w:pPr>
        <w:pStyle w:val="BodyText"/>
      </w:pPr>
      <w:r>
        <w:rPr>
          <w:noProof/>
        </w:rPr>
        <w:lastRenderedPageBreak/>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2A05D5E1"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3CEAE3F8" w14:textId="77777777" w:rsidR="000A2783" w:rsidRDefault="00000000">
      <w:pPr>
        <w:pStyle w:val="Heading3"/>
      </w:pPr>
      <w:bookmarkStart w:id="5" w:name="Xf83e1850f78bef0bb4ba32f52ad0cccd9d9586b"/>
      <w:r>
        <w:t>2.1 Transfer entropy and information-theoretic causality</w:t>
      </w:r>
    </w:p>
    <w:p w14:paraId="1A3862A9"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(§2.4, §2.7) condition on further components of </w:t>
      </w:r>
      <m:oMath>
        <m:r>
          <m:rPr>
            <m:sty m:val="b"/>
          </m:rPr>
          <w:rPr>
            <w:rFonts w:ascii="Cambria Math" w:hAnsi="Cambria Math"/>
          </w:rPr>
          <m:t>X</m:t>
        </m:r>
      </m:oMath>
      <w:r>
        <w:t>.</w:t>
      </w:r>
    </w:p>
    <w:p w14:paraId="002D9E67"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179330B0" w14:textId="77777777" w:rsidTr="00D01C5A">
        <w:tc>
          <w:tcPr>
            <w:tcW w:w="8568" w:type="dxa"/>
            <w:vAlign w:val="center"/>
          </w:tcPr>
          <w:p w14:paraId="74A3ED67" w14:textId="1DE41279"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4FD7743D" w14:textId="2F567888"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53B9D893"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0C6D6AD" w14:textId="77777777" w:rsidTr="00D01C5A">
        <w:tc>
          <w:tcPr>
            <w:tcW w:w="8478" w:type="dxa"/>
            <w:vAlign w:val="center"/>
          </w:tcPr>
          <w:p w14:paraId="4E2646E4" w14:textId="7E53CF13" w:rsidR="000872AE" w:rsidRDefault="000872AE" w:rsidP="00D01C5A">
            <w:pPr>
              <w:pStyle w:val="BodyText"/>
              <w:jc w:val="center"/>
            </w:pPr>
            <m:oMathPara>
              <m:oMath>
                <m:r>
                  <w:rPr>
                    <w:rFonts w:ascii="Cambria Math" w:hAnsi="Cambria Math"/>
                  </w:rPr>
                  <w:lastRenderedPageBreak/>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D7A882C" w14:textId="588D9392"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3C1A81C0" w14:textId="33127F14"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182FA630" w14:textId="77777777" w:rsidTr="00D01C5A">
        <w:tc>
          <w:tcPr>
            <w:tcW w:w="8478" w:type="dxa"/>
          </w:tcPr>
          <w:p w14:paraId="3093CE7D" w14:textId="3EB957F9"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316559B8" w14:textId="00D87B4F"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26674FDC"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2F40CB9A" w14:textId="77777777" w:rsidTr="00E44048">
        <w:tc>
          <w:tcPr>
            <w:tcW w:w="8478" w:type="dxa"/>
          </w:tcPr>
          <w:p w14:paraId="0AC4004C" w14:textId="16DCD5A4" w:rsidR="00D42CE2" w:rsidRDefault="00D42CE2"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1C4C1EA8" w14:textId="352B8D35"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1B8A761" w14:textId="2552AE94"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05C2E240" w14:textId="77777777" w:rsidTr="00E44048">
        <w:tc>
          <w:tcPr>
            <w:tcW w:w="8478" w:type="dxa"/>
            <w:vAlign w:val="center"/>
          </w:tcPr>
          <w:p w14:paraId="7E0E66DD" w14:textId="6D0EE008"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098D1DF4" w14:textId="393AFBCC"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A992B55"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21E9DA36" w14:textId="77777777" w:rsidTr="00E44048">
        <w:tc>
          <w:tcPr>
            <w:tcW w:w="8478" w:type="dxa"/>
            <w:vAlign w:val="center"/>
          </w:tcPr>
          <w:p w14:paraId="547C47BC" w14:textId="0F4C3AA1"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3ED8E584" w14:textId="29DA9398"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1F687B19" w14:textId="3B291926"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w:t>
        <w:lastRenderedPageBreak/>
        <w:t xml:space="preserve">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06473E7C"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7634CAB3" w14:textId="77777777" w:rsidR="000A2783" w:rsidRDefault="00000000">
      <w:pPr>
        <w:pStyle w:val="BodyText"/>
      </w:pPr>
      <w:r>
        <w:t xml:space="preserve">A limitation of pairwise TE is that it cannot separate redundant, unique, and synergistic contributions when several sources jointly drive a target. The SURD framework (Martínez-Sánchez et al., 2024) decomposes the information that a set of sources provides about a target’s future into synergistic, unique, and redundant components plus an unaccounted “leak” term. SURD is used not as the primary metric but as an attribution tool: it allows </w:t>
        <w:lastRenderedPageBreak/>
        <w:t>asking whether the wind information that never reaches the platform is instead being captured by the blade-pitch command.</w:t>
      </w:r>
    </w:p>
    <w:p w14:paraId="625122F2" w14:textId="77777777" w:rsidR="000A2783" w:rsidRDefault="00000000">
      <w:pPr>
        <w:pStyle w:val="Heading3"/>
      </w:pPr>
      <w:bookmarkStart w:id="6" w:name="turbine-model-and-simulation-campaign"/>
      <w:bookmarkEnd w:id="5"/>
      <w:r>
        <w:t>2.2 Turbine model and simulation campaign</w:t>
      </w:r>
    </w:p>
    <w:p w14:paraId="5DB689BC" w14:textId="77777777" w:rsidR="000A2783" w:rsidRDefault="00000000">
      <w:pPr>
        <w:pStyle w:val="FirstParagraph"/>
      </w:pPr>
      <w:r>
        <w:t>The plant is the IEA Wind 15-MW reference turbine (Gaertner et al., 2020) mounted on the UMaine VolturnUS-S reference semisubmersible (Allen et al., 2020), simulated in OpenFAST v4.2.0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 Figure 2 shows the coupled OpenFAST module structure used in this work.</w:t>
      </w:r>
    </w:p>
    <w:p>
      <w:pPr>
        <w:pStyle w:val="BodyText"/>
        <w:jc w:val="center"/>
      </w:pPr>
      <w:r>
        <w:rPr>
          <w:noProof/>
        </w:rPr>
        <w:drawing>
          <wp:inline distT="0" distB="0" distL="0" distR="0">
            <wp:extent cx="5334000" cy="3145749"/>
            <wp:effectExtent l="0" t="0" r="0" b="0"/>
            <wp:docPr id="200" name="Picture Fig2"/>
            <wp:cNvGraphicFramePr/>
            <a:graphic xmlns:a="http://schemas.openxmlformats.org/drawingml/2006/main">
              <a:graphicData uri="http://schemas.openxmlformats.org/drawingml/2006/picture">
                <pic:pic xmlns:pic="http://schemas.openxmlformats.org/drawingml/2006/picture">
                  <pic:nvPicPr>
                    <pic:cNvPr id="201" name="Picture Fig2" descr="figs/fig0-openfast-modules.png"/>
                    <pic:cNvPicPr>
                      <a:picLocks noChangeAspect="1" noChangeArrowheads="1"/>
                    </pic:cNvPicPr>
                  </pic:nvPicPr>
                  <pic:blipFill>
                    <a:blip r:embed="rId1000"/>
                    <a:stretch>
                      <a:fillRect/>
                    </a:stretch>
                  </pic:blipFill>
                  <pic:spPr bwMode="auto">
                    <a:xfrm>
                      <a:off x="0" y="0"/>
                      <a:ext cx="5334000" cy="3145749"/>
                    </a:xfrm>
                    <a:prstGeom prst="rect">
                      <a:avLst/>
                    </a:prstGeom>
                    <a:noFill/>
                    <a:ln w="9525">
                      <a:noFill/>
                      <a:headEnd/>
                      <a:tailEnd/>
                    </a:ln>
                  </pic:spPr>
                </pic:pic>
              </a:graphicData>
            </a:graphic>
          </wp:inline>
        </w:drawing>
      </w:r>
    </w:p>
    <w:p>
      <w:pPr>
        <w:pStyle w:val="BodyText"/>
      </w:pPr>
      <w:r>
        <w:rPr>
          <w:b/>
          <w:bCs/>
        </w:rPr>
        <w:t>Figure 2.</w:t>
      </w:r>
      <w:r>
        <w:t xml:space="preserve"> OpenFAST coupled aero-hydro-servo-elastic model — the modules used in this work and their coupling. External conditions (TurbSim/InflowWind wind; SeaState waves) generate the applied loads (AeroDyn 15: BEMT with Prandtl tip-loss and dynamic wake; HydroDyn: potential-flow with full second-order difference-frequency QTF), which drive the wind-turbine dynamics (ServoDyn with the ROSCO controller; ElastoDyn structural response of blades, tower, nacelle and platform; MoorDyn dynamic mooring, cross-checked quasi-statically with MoorPy). OpenFAST v4.2.0 orchestrates the coupled time-step integration; blades are modeled with ElastoDyn (no BeamDyn).</w:t>
      </w:r>
    </w:p>
    <w:p w14:paraId="3ECED9BF"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3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w:t>
        <w:lastRenderedPageBreak/>
        <w:t xml:space="preserve">environmental drivers (hub-height wind speed </w:t>
      </w:r>
      <w:r>
        <w:rPr>
          <w:rStyle w:val="VerbatimChar"/>
        </w:rPr>
        <w:t>Wind1VelX</w:t>
      </w:r>
      <w:r>
        <w:t xml:space="preserve">,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2084562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010EACC9"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A8B09" w14:textId="77777777" w:rsidR="000A2783" w:rsidRDefault="00000000">
            <w:pPr>
              <w:pStyle w:val="Compact"/>
            </w:pPr>
            <w:r>
              <w:t>Channel</w:t>
            </w:r>
          </w:p>
        </w:tc>
        <w:tc>
          <w:tcPr>
            <w:tcW w:w="1980" w:type="dxa"/>
          </w:tcPr>
          <w:p w14:paraId="33E4A2D3" w14:textId="77777777" w:rsidR="000A2783" w:rsidRDefault="00000000">
            <w:pPr>
              <w:pStyle w:val="Compact"/>
            </w:pPr>
            <w:r>
              <w:t>Physical quantity</w:t>
            </w:r>
          </w:p>
        </w:tc>
        <w:tc>
          <w:tcPr>
            <w:tcW w:w="1980" w:type="dxa"/>
          </w:tcPr>
          <w:p w14:paraId="65474839" w14:textId="77777777" w:rsidR="000A2783" w:rsidRDefault="00000000">
            <w:pPr>
              <w:pStyle w:val="Compact"/>
            </w:pPr>
            <w:r>
              <w:t>Units</w:t>
            </w:r>
          </w:p>
        </w:tc>
        <w:tc>
          <w:tcPr>
            <w:tcW w:w="1980" w:type="dxa"/>
          </w:tcPr>
          <w:p w14:paraId="7AAAAF29" w14:textId="77777777" w:rsidR="000A2783" w:rsidRDefault="00000000">
            <w:pPr>
              <w:pStyle w:val="Compact"/>
            </w:pPr>
            <w:r>
              <w:t>Role</w:t>
            </w:r>
          </w:p>
        </w:tc>
      </w:tr>
      <w:tr w:rsidR="000A2783" w14:paraId="0C15376F" w14:textId="77777777">
        <w:tc>
          <w:tcPr>
            <w:tcW w:w="1980" w:type="dxa"/>
          </w:tcPr>
          <w:p w14:paraId="2B075C49" w14:textId="77777777" w:rsidR="000A2783" w:rsidRDefault="00000000">
            <w:pPr>
              <w:pStyle w:val="Compact"/>
            </w:pPr>
            <w:r>
              <w:rPr>
                <w:rStyle w:val="VerbatimChar"/>
              </w:rPr>
              <w:t>Wind1VelX</w:t>
            </w:r>
          </w:p>
        </w:tc>
        <w:tc>
          <w:tcPr>
            <w:tcW w:w="1980" w:type="dxa"/>
          </w:tcPr>
          <w:p w14:paraId="546C1803" w14:textId="77777777" w:rsidR="000A2783" w:rsidRDefault="00000000">
            <w:pPr>
              <w:pStyle w:val="Compact"/>
            </w:pPr>
            <w:r>
              <w:t>Hub-height longitudinal wind speed</w:t>
            </w:r>
          </w:p>
        </w:tc>
        <w:tc>
          <w:tcPr>
            <w:tcW w:w="1980" w:type="dxa"/>
          </w:tcPr>
          <w:p w14:paraId="51E218F9" w14:textId="77777777" w:rsidR="000A2783" w:rsidRDefault="00000000">
            <w:pPr>
              <w:pStyle w:val="Compact"/>
            </w:pPr>
            <w:r>
              <w:t>m/s</w:t>
            </w:r>
          </w:p>
        </w:tc>
        <w:tc>
          <w:tcPr>
            <w:tcW w:w="1980" w:type="dxa"/>
          </w:tcPr>
          <w:p w14:paraId="69E4DD93" w14:textId="77777777" w:rsidR="000A2783" w:rsidRDefault="00000000">
            <w:pPr>
              <w:pStyle w:val="Compact"/>
            </w:pPr>
            <w:r>
              <w:t>Environmental driver (source)</w:t>
            </w:r>
          </w:p>
        </w:tc>
      </w:tr>
      <w:tr w:rsidR="000A2783" w14:paraId="526B97F0" w14:textId="77777777">
        <w:tc>
          <w:tcPr>
            <w:tcW w:w="1980" w:type="dxa"/>
          </w:tcPr>
          <w:p w14:paraId="24FC4770" w14:textId="77777777" w:rsidR="000A2783" w:rsidRDefault="00000000">
            <w:pPr>
              <w:pStyle w:val="Compact"/>
            </w:pPr>
            <w:r>
              <w:rPr>
                <w:rStyle w:val="VerbatimChar"/>
              </w:rPr>
              <w:t>Wave1Elev</w:t>
            </w:r>
          </w:p>
        </w:tc>
        <w:tc>
          <w:tcPr>
            <w:tcW w:w="1980" w:type="dxa"/>
          </w:tcPr>
          <w:p w14:paraId="7D4D4A4F" w14:textId="77777777" w:rsidR="000A2783" w:rsidRDefault="00000000">
            <w:pPr>
              <w:pStyle w:val="Compact"/>
            </w:pPr>
            <w:r>
              <w:t>Wave elevation at the platform reference point</w:t>
            </w:r>
          </w:p>
        </w:tc>
        <w:tc>
          <w:tcPr>
            <w:tcW w:w="1980" w:type="dxa"/>
          </w:tcPr>
          <w:p w14:paraId="1928A280" w14:textId="77777777" w:rsidR="000A2783" w:rsidRDefault="00000000">
            <w:pPr>
              <w:pStyle w:val="Compact"/>
            </w:pPr>
            <w:r>
              <w:t>m</w:t>
            </w:r>
          </w:p>
        </w:tc>
        <w:tc>
          <w:tcPr>
            <w:tcW w:w="1980" w:type="dxa"/>
          </w:tcPr>
          <w:p w14:paraId="46EECE42" w14:textId="77777777" w:rsidR="000A2783" w:rsidRDefault="00000000">
            <w:pPr>
              <w:pStyle w:val="Compact"/>
            </w:pPr>
            <w:r>
              <w:t>Environmental driver (source)</w:t>
            </w:r>
          </w:p>
        </w:tc>
      </w:tr>
      <w:tr w:rsidR="000A2783" w14:paraId="4287A959" w14:textId="77777777">
        <w:tc>
          <w:tcPr>
            <w:tcW w:w="1980" w:type="dxa"/>
          </w:tcPr>
          <w:p w14:paraId="04B0A37D" w14:textId="77777777" w:rsidR="000A2783" w:rsidRDefault="00000000">
            <w:pPr>
              <w:pStyle w:val="Compact"/>
            </w:pPr>
            <w:r>
              <w:rPr>
                <w:rStyle w:val="VerbatimChar"/>
              </w:rPr>
              <w:t>PtfmSurge</w:t>
            </w:r>
          </w:p>
        </w:tc>
        <w:tc>
          <w:tcPr>
            <w:tcW w:w="1980" w:type="dxa"/>
          </w:tcPr>
          <w:p w14:paraId="077CA8F6" w14:textId="77777777" w:rsidR="000A2783" w:rsidRDefault="00000000">
            <w:pPr>
              <w:pStyle w:val="Compact"/>
            </w:pPr>
            <w:r>
              <w:t>Platform surge displacement</w:t>
            </w:r>
          </w:p>
        </w:tc>
        <w:tc>
          <w:tcPr>
            <w:tcW w:w="1980" w:type="dxa"/>
          </w:tcPr>
          <w:p w14:paraId="546AA1D5" w14:textId="77777777" w:rsidR="000A2783" w:rsidRDefault="00000000">
            <w:pPr>
              <w:pStyle w:val="Compact"/>
            </w:pPr>
            <w:r>
              <w:t>m</w:t>
            </w:r>
          </w:p>
        </w:tc>
        <w:tc>
          <w:tcPr>
            <w:tcW w:w="1980" w:type="dxa"/>
          </w:tcPr>
          <w:p w14:paraId="19CF58A0" w14:textId="77777777" w:rsidR="000A2783" w:rsidRDefault="00000000">
            <w:pPr>
              <w:pStyle w:val="Compact"/>
            </w:pPr>
            <w:r>
              <w:t>Platform response (target)</w:t>
            </w:r>
          </w:p>
        </w:tc>
      </w:tr>
      <w:tr w:rsidR="000A2783" w14:paraId="5F326DF8" w14:textId="77777777">
        <w:tc>
          <w:tcPr>
            <w:tcW w:w="1980" w:type="dxa"/>
          </w:tcPr>
          <w:p w14:paraId="69789026" w14:textId="77777777" w:rsidR="000A2783" w:rsidRDefault="00000000">
            <w:pPr>
              <w:pStyle w:val="Compact"/>
            </w:pPr>
            <w:r>
              <w:rPr>
                <w:rStyle w:val="VerbatimChar"/>
              </w:rPr>
              <w:t>PtfmHeave</w:t>
            </w:r>
          </w:p>
        </w:tc>
        <w:tc>
          <w:tcPr>
            <w:tcW w:w="1980" w:type="dxa"/>
          </w:tcPr>
          <w:p w14:paraId="513EF352" w14:textId="77777777" w:rsidR="000A2783" w:rsidRDefault="00000000">
            <w:pPr>
              <w:pStyle w:val="Compact"/>
            </w:pPr>
            <w:r>
              <w:t>Platform heave displacement</w:t>
            </w:r>
          </w:p>
        </w:tc>
        <w:tc>
          <w:tcPr>
            <w:tcW w:w="1980" w:type="dxa"/>
          </w:tcPr>
          <w:p w14:paraId="770971BE" w14:textId="77777777" w:rsidR="000A2783" w:rsidRDefault="00000000">
            <w:pPr>
              <w:pStyle w:val="Compact"/>
            </w:pPr>
            <w:r>
              <w:t>m</w:t>
            </w:r>
          </w:p>
        </w:tc>
        <w:tc>
          <w:tcPr>
            <w:tcW w:w="1980" w:type="dxa"/>
          </w:tcPr>
          <w:p w14:paraId="405D87E0" w14:textId="77777777" w:rsidR="000A2783" w:rsidRDefault="00000000">
            <w:pPr>
              <w:pStyle w:val="Compact"/>
            </w:pPr>
            <w:r>
              <w:t>Platform response (target)</w:t>
            </w:r>
          </w:p>
        </w:tc>
      </w:tr>
      <w:tr w:rsidR="000A2783" w14:paraId="42550A37" w14:textId="77777777">
        <w:tc>
          <w:tcPr>
            <w:tcW w:w="1980" w:type="dxa"/>
          </w:tcPr>
          <w:p w14:paraId="2CB1BBE1" w14:textId="77777777" w:rsidR="000A2783" w:rsidRDefault="00000000">
            <w:pPr>
              <w:pStyle w:val="Compact"/>
            </w:pPr>
            <w:r>
              <w:rPr>
                <w:rStyle w:val="VerbatimChar"/>
              </w:rPr>
              <w:t>PtfmPitch</w:t>
            </w:r>
          </w:p>
        </w:tc>
        <w:tc>
          <w:tcPr>
            <w:tcW w:w="1980" w:type="dxa"/>
          </w:tcPr>
          <w:p w14:paraId="39817916" w14:textId="77777777" w:rsidR="000A2783" w:rsidRDefault="00000000">
            <w:pPr>
              <w:pStyle w:val="Compact"/>
            </w:pPr>
            <w:r>
              <w:t>Platform pitch rotation</w:t>
            </w:r>
          </w:p>
        </w:tc>
        <w:tc>
          <w:tcPr>
            <w:tcW w:w="1980" w:type="dxa"/>
          </w:tcPr>
          <w:p w14:paraId="370F0C5F" w14:textId="77777777" w:rsidR="000A2783" w:rsidRDefault="00000000">
            <w:pPr>
              <w:pStyle w:val="Compact"/>
            </w:pPr>
            <w:r>
              <w:t>deg</w:t>
            </w:r>
          </w:p>
        </w:tc>
        <w:tc>
          <w:tcPr>
            <w:tcW w:w="1980" w:type="dxa"/>
          </w:tcPr>
          <w:p w14:paraId="575A6802" w14:textId="77777777" w:rsidR="000A2783" w:rsidRDefault="00000000">
            <w:pPr>
              <w:pStyle w:val="Compact"/>
            </w:pPr>
            <w:r>
              <w:t>Platform response (target)</w:t>
            </w:r>
          </w:p>
        </w:tc>
      </w:tr>
      <w:tr w:rsidR="000A2783" w14:paraId="7823BDB7" w14:textId="77777777">
        <w:tc>
          <w:tcPr>
            <w:tcW w:w="1980" w:type="dxa"/>
          </w:tcPr>
          <w:p w14:paraId="5375B2A0" w14:textId="77777777" w:rsidR="000A2783" w:rsidRDefault="00000000">
            <w:pPr>
              <w:pStyle w:val="Compact"/>
            </w:pPr>
            <w:r>
              <w:rPr>
                <w:rStyle w:val="VerbatimChar"/>
              </w:rPr>
              <w:t>FAIRTEN1</w:t>
            </w:r>
          </w:p>
        </w:tc>
        <w:tc>
          <w:tcPr>
            <w:tcW w:w="1980" w:type="dxa"/>
          </w:tcPr>
          <w:p w14:paraId="65528B60" w14:textId="77777777" w:rsidR="000A2783" w:rsidRDefault="00000000">
            <w:pPr>
              <w:pStyle w:val="Compact"/>
            </w:pPr>
            <w:r>
              <w:t>Fairlead tension, up-wave mooring line</w:t>
            </w:r>
          </w:p>
        </w:tc>
        <w:tc>
          <w:tcPr>
            <w:tcW w:w="1980" w:type="dxa"/>
          </w:tcPr>
          <w:p w14:paraId="2AB9C741" w14:textId="77777777" w:rsidR="000A2783" w:rsidRDefault="00000000">
            <w:pPr>
              <w:pStyle w:val="Compact"/>
            </w:pPr>
            <w:r>
              <w:t>N</w:t>
            </w:r>
          </w:p>
        </w:tc>
        <w:tc>
          <w:tcPr>
            <w:tcW w:w="1980" w:type="dxa"/>
          </w:tcPr>
          <w:p w14:paraId="341DD93D" w14:textId="77777777" w:rsidR="000A2783" w:rsidRDefault="00000000">
            <w:pPr>
              <w:pStyle w:val="Compact"/>
            </w:pPr>
            <w:r>
              <w:t>Mooring response (target)</w:t>
            </w:r>
          </w:p>
        </w:tc>
      </w:tr>
      <w:tr w:rsidR="000A2783" w14:paraId="04A0B30F" w14:textId="77777777">
        <w:tc>
          <w:tcPr>
            <w:tcW w:w="1980" w:type="dxa"/>
          </w:tcPr>
          <w:p w14:paraId="0E321D67" w14:textId="77777777" w:rsidR="000A2783" w:rsidRDefault="00000000">
            <w:pPr>
              <w:pStyle w:val="Compact"/>
            </w:pPr>
            <w:r>
              <w:rPr>
                <w:rStyle w:val="VerbatimChar"/>
              </w:rPr>
              <w:t>FAIRTEN2</w:t>
            </w:r>
          </w:p>
        </w:tc>
        <w:tc>
          <w:tcPr>
            <w:tcW w:w="1980" w:type="dxa"/>
          </w:tcPr>
          <w:p w14:paraId="339EBF14" w14:textId="77777777" w:rsidR="000A2783" w:rsidRDefault="00000000">
            <w:pPr>
              <w:pStyle w:val="Compact"/>
            </w:pPr>
            <w:r>
              <w:t>Fairlead tension, down-wave mooring line</w:t>
            </w:r>
          </w:p>
        </w:tc>
        <w:tc>
          <w:tcPr>
            <w:tcW w:w="1980" w:type="dxa"/>
          </w:tcPr>
          <w:p w14:paraId="6C1520C1" w14:textId="77777777" w:rsidR="000A2783" w:rsidRDefault="00000000">
            <w:pPr>
              <w:pStyle w:val="Compact"/>
            </w:pPr>
            <w:r>
              <w:t>N</w:t>
            </w:r>
          </w:p>
        </w:tc>
        <w:tc>
          <w:tcPr>
            <w:tcW w:w="1980" w:type="dxa"/>
          </w:tcPr>
          <w:p w14:paraId="019678B0" w14:textId="77777777" w:rsidR="000A2783" w:rsidRDefault="00000000">
            <w:pPr>
              <w:pStyle w:val="Compact"/>
            </w:pPr>
            <w:r>
              <w:t>Mooring response (target)</w:t>
            </w:r>
          </w:p>
        </w:tc>
      </w:tr>
      <w:tr w:rsidR="000A2783" w14:paraId="2628B4CA" w14:textId="77777777">
        <w:tc>
          <w:tcPr>
            <w:tcW w:w="1980" w:type="dxa"/>
          </w:tcPr>
          <w:p w14:paraId="240205FE" w14:textId="77777777" w:rsidR="000A2783" w:rsidRDefault="00000000">
            <w:pPr>
              <w:pStyle w:val="Compact"/>
            </w:pPr>
            <w:r>
              <w:rPr>
                <w:rStyle w:val="VerbatimChar"/>
              </w:rPr>
              <w:t>FAIRTEN3</w:t>
            </w:r>
          </w:p>
        </w:tc>
        <w:tc>
          <w:tcPr>
            <w:tcW w:w="1980" w:type="dxa"/>
          </w:tcPr>
          <w:p w14:paraId="7CACA171" w14:textId="77777777" w:rsidR="000A2783" w:rsidRDefault="00000000">
            <w:pPr>
              <w:pStyle w:val="Compact"/>
            </w:pPr>
            <w:r>
              <w:t>Fairlead tension, down-wave mooring line</w:t>
            </w:r>
          </w:p>
        </w:tc>
        <w:tc>
          <w:tcPr>
            <w:tcW w:w="1980" w:type="dxa"/>
          </w:tcPr>
          <w:p w14:paraId="05BA6780" w14:textId="77777777" w:rsidR="000A2783" w:rsidRDefault="00000000">
            <w:pPr>
              <w:pStyle w:val="Compact"/>
            </w:pPr>
            <w:r>
              <w:t>N</w:t>
            </w:r>
          </w:p>
        </w:tc>
        <w:tc>
          <w:tcPr>
            <w:tcW w:w="1980" w:type="dxa"/>
          </w:tcPr>
          <w:p w14:paraId="5B214389" w14:textId="77777777" w:rsidR="000A2783" w:rsidRDefault="00000000">
            <w:pPr>
              <w:pStyle w:val="Compact"/>
            </w:pPr>
            <w:r>
              <w:t>Mooring response (target)</w:t>
            </w:r>
          </w:p>
        </w:tc>
      </w:tr>
      <w:tr w:rsidR="000A2783" w14:paraId="45BC917F" w14:textId="77777777">
        <w:tc>
          <w:tcPr>
            <w:tcW w:w="1980" w:type="dxa"/>
          </w:tcPr>
          <w:p w14:paraId="02AC70F2" w14:textId="77777777" w:rsidR="000A2783" w:rsidRDefault="00000000">
            <w:pPr>
              <w:pStyle w:val="Compact"/>
            </w:pPr>
            <w:r>
              <w:rPr>
                <w:rStyle w:val="VerbatimChar"/>
              </w:rPr>
              <w:t>RootMxc1</w:t>
            </w:r>
          </w:p>
        </w:tc>
        <w:tc>
          <w:tcPr>
            <w:tcW w:w="1980" w:type="dxa"/>
          </w:tcPr>
          <w:p w14:paraId="2C7592F0" w14:textId="77777777" w:rsidR="000A2783" w:rsidRDefault="00000000">
            <w:pPr>
              <w:pStyle w:val="Compact"/>
            </w:pPr>
            <w:r>
              <w:t>Blade-1 root edgewise (in-plane) moment</w:t>
            </w:r>
          </w:p>
        </w:tc>
        <w:tc>
          <w:tcPr>
            <w:tcW w:w="1980" w:type="dxa"/>
          </w:tcPr>
          <w:p w14:paraId="3592BC4F" w14:textId="77777777" w:rsidR="000A2783" w:rsidRDefault="00000000">
            <w:pPr>
              <w:pStyle w:val="Compact"/>
            </w:pPr>
            <w:r>
              <w:t>kN·m</w:t>
            </w:r>
          </w:p>
        </w:tc>
        <w:tc>
          <w:tcPr>
            <w:tcW w:w="1980" w:type="dxa"/>
          </w:tcPr>
          <w:p w14:paraId="594EF93D" w14:textId="77777777" w:rsidR="000A2783" w:rsidRDefault="00000000">
            <w:pPr>
              <w:pStyle w:val="Compact"/>
            </w:pPr>
            <w:r>
              <w:t>Structural response (target)</w:t>
            </w:r>
          </w:p>
        </w:tc>
      </w:tr>
      <w:tr w:rsidR="000A2783" w14:paraId="15DACB14" w14:textId="77777777">
        <w:tc>
          <w:tcPr>
            <w:tcW w:w="1980" w:type="dxa"/>
          </w:tcPr>
          <w:p w14:paraId="6E268409" w14:textId="77777777" w:rsidR="000A2783" w:rsidRDefault="00000000">
            <w:pPr>
              <w:pStyle w:val="Compact"/>
            </w:pPr>
            <w:r>
              <w:rPr>
                <w:rStyle w:val="VerbatimChar"/>
              </w:rPr>
              <w:t>RootMyc1</w:t>
            </w:r>
          </w:p>
        </w:tc>
        <w:tc>
          <w:tcPr>
            <w:tcW w:w="1980" w:type="dxa"/>
          </w:tcPr>
          <w:p w14:paraId="56A4315F" w14:textId="77777777" w:rsidR="000A2783" w:rsidRDefault="00000000">
            <w:pPr>
              <w:pStyle w:val="Compact"/>
            </w:pPr>
            <w:r>
              <w:t>Blade-1 root flapwise (out-of-plane) moment</w:t>
            </w:r>
          </w:p>
        </w:tc>
        <w:tc>
          <w:tcPr>
            <w:tcW w:w="1980" w:type="dxa"/>
          </w:tcPr>
          <w:p w14:paraId="7406FD20" w14:textId="77777777" w:rsidR="000A2783" w:rsidRDefault="00000000">
            <w:pPr>
              <w:pStyle w:val="Compact"/>
            </w:pPr>
            <w:r>
              <w:t>kN·m</w:t>
            </w:r>
          </w:p>
        </w:tc>
        <w:tc>
          <w:tcPr>
            <w:tcW w:w="1980" w:type="dxa"/>
          </w:tcPr>
          <w:p w14:paraId="4B2998E1" w14:textId="77777777" w:rsidR="000A2783" w:rsidRDefault="00000000">
            <w:pPr>
              <w:pStyle w:val="Compact"/>
            </w:pPr>
            <w:r>
              <w:t>Structural response (target)</w:t>
            </w:r>
          </w:p>
        </w:tc>
      </w:tr>
      <w:tr w:rsidR="000A2783" w14:paraId="03867D27" w14:textId="77777777">
        <w:tc>
          <w:tcPr>
            <w:tcW w:w="1980" w:type="dxa"/>
          </w:tcPr>
          <w:p w14:paraId="05AD81DB" w14:textId="77777777" w:rsidR="000A2783" w:rsidRDefault="00000000">
            <w:pPr>
              <w:pStyle w:val="Compact"/>
            </w:pPr>
            <w:r>
              <w:rPr>
                <w:rStyle w:val="VerbatimChar"/>
              </w:rPr>
              <w:t>TwrBsMyt</w:t>
            </w:r>
          </w:p>
        </w:tc>
        <w:tc>
          <w:tcPr>
            <w:tcW w:w="1980" w:type="dxa"/>
          </w:tcPr>
          <w:p w14:paraId="6C5B5BE3" w14:textId="77777777" w:rsidR="000A2783" w:rsidRDefault="00000000">
            <w:pPr>
              <w:pStyle w:val="Compact"/>
            </w:pPr>
            <w:r>
              <w:t>Tower-base fore-aft (pitching) moment</w:t>
            </w:r>
          </w:p>
        </w:tc>
        <w:tc>
          <w:tcPr>
            <w:tcW w:w="1980" w:type="dxa"/>
          </w:tcPr>
          <w:p w14:paraId="07E10F8D" w14:textId="77777777" w:rsidR="000A2783" w:rsidRDefault="00000000">
            <w:pPr>
              <w:pStyle w:val="Compact"/>
            </w:pPr>
            <w:r>
              <w:t>kN·m</w:t>
            </w:r>
          </w:p>
        </w:tc>
        <w:tc>
          <w:tcPr>
            <w:tcW w:w="1980" w:type="dxa"/>
          </w:tcPr>
          <w:p w14:paraId="601E3FE7" w14:textId="77777777" w:rsidR="000A2783" w:rsidRDefault="00000000">
            <w:pPr>
              <w:pStyle w:val="Compact"/>
            </w:pPr>
            <w:r>
              <w:t>Structural response (target)</w:t>
            </w:r>
          </w:p>
        </w:tc>
      </w:tr>
      <w:tr w:rsidR="000A2783" w14:paraId="0C9A68AA" w14:textId="77777777">
        <w:tc>
          <w:tcPr>
            <w:tcW w:w="1980" w:type="dxa"/>
          </w:tcPr>
          <w:p w14:paraId="597BFAC9" w14:textId="77777777" w:rsidR="000A2783" w:rsidRDefault="00000000">
            <w:pPr>
              <w:pStyle w:val="Compact"/>
            </w:pPr>
            <w:r>
              <w:rPr>
                <w:rStyle w:val="VerbatimChar"/>
              </w:rPr>
              <w:lastRenderedPageBreak/>
              <w:t>BldPitch1</w:t>
            </w:r>
          </w:p>
        </w:tc>
        <w:tc>
          <w:tcPr>
            <w:tcW w:w="1980" w:type="dxa"/>
          </w:tcPr>
          <w:p w14:paraId="0450E503" w14:textId="77777777" w:rsidR="000A2783" w:rsidRDefault="00000000">
            <w:pPr>
              <w:pStyle w:val="Compact"/>
            </w:pPr>
            <w:r>
              <w:t>Blade-1 collective pitch angle</w:t>
            </w:r>
          </w:p>
        </w:tc>
        <w:tc>
          <w:tcPr>
            <w:tcW w:w="1980" w:type="dxa"/>
          </w:tcPr>
          <w:p w14:paraId="2E6E5E76" w14:textId="77777777" w:rsidR="000A2783" w:rsidRDefault="00000000">
            <w:pPr>
              <w:pStyle w:val="Compact"/>
            </w:pPr>
            <w:r>
              <w:t>deg</w:t>
            </w:r>
          </w:p>
        </w:tc>
        <w:tc>
          <w:tcPr>
            <w:tcW w:w="1980" w:type="dxa"/>
          </w:tcPr>
          <w:p w14:paraId="5B2A9B73" w14:textId="77777777" w:rsidR="000A2783" w:rsidRDefault="00000000">
            <w:pPr>
              <w:pStyle w:val="Compact"/>
            </w:pPr>
            <w:r>
              <w:t>Control / intermediate</w:t>
            </w:r>
          </w:p>
        </w:tc>
      </w:tr>
      <w:tr w:rsidR="000A2783" w14:paraId="3125403A" w14:textId="77777777">
        <w:tc>
          <w:tcPr>
            <w:tcW w:w="1980" w:type="dxa"/>
          </w:tcPr>
          <w:p w14:paraId="1AAE0C17" w14:textId="77777777" w:rsidR="000A2783" w:rsidRDefault="00000000">
            <w:pPr>
              <w:pStyle w:val="Compact"/>
            </w:pPr>
            <w:r>
              <w:rPr>
                <w:rStyle w:val="VerbatimChar"/>
              </w:rPr>
              <w:t>RotThrust</w:t>
            </w:r>
          </w:p>
        </w:tc>
        <w:tc>
          <w:tcPr>
            <w:tcW w:w="1980" w:type="dxa"/>
          </w:tcPr>
          <w:p w14:paraId="22128907" w14:textId="77777777" w:rsidR="000A2783" w:rsidRDefault="00000000">
            <w:pPr>
              <w:pStyle w:val="Compact"/>
            </w:pPr>
            <w:r>
              <w:t>Rotor thrust</w:t>
            </w:r>
          </w:p>
        </w:tc>
        <w:tc>
          <w:tcPr>
            <w:tcW w:w="1980" w:type="dxa"/>
          </w:tcPr>
          <w:p w14:paraId="3C1F8DA3" w14:textId="77777777" w:rsidR="000A2783" w:rsidRDefault="00000000">
            <w:pPr>
              <w:pStyle w:val="Compact"/>
            </w:pPr>
            <w:r>
              <w:t>kN</w:t>
            </w:r>
          </w:p>
        </w:tc>
        <w:tc>
          <w:tcPr>
            <w:tcW w:w="1980" w:type="dxa"/>
          </w:tcPr>
          <w:p w14:paraId="2189739E" w14:textId="77777777" w:rsidR="000A2783" w:rsidRDefault="00000000">
            <w:pPr>
              <w:pStyle w:val="Compact"/>
            </w:pPr>
            <w:r>
              <w:t>Control / intermediate</w:t>
            </w:r>
          </w:p>
        </w:tc>
      </w:tr>
    </w:tbl>
    <w:p w14:paraId="7D1DC403" w14:textId="77777777" w:rsidR="000A2783" w:rsidRDefault="00000000">
      <w:pPr>
        <w:pStyle w:val="BodyText"/>
      </w:pPr>
      <w:r>
        <w:rPr>
          <w:noProof/>
        </w:rPr>
        <w:drawing>
          <wp:inline distT="0" distB="0" distL="0" distR="0" wp14:anchorId="44588743" wp14:editId="1349DF39">
            <wp:extent cx="5334000" cy="3147995"/>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7"/>
                    <a:stretch>
                      <a:fillRect/>
                    </a:stretch>
                  </pic:blipFill>
                  <pic:spPr bwMode="auto">
                    <a:xfrm>
                      <a:off x="0" y="0"/>
                      <a:ext cx="5334000" cy="3147995"/>
                    </a:xfrm>
                    <a:prstGeom prst="rect">
                      <a:avLst/>
                    </a:prstGeom>
                    <a:noFill/>
                    <a:ln w="9525">
                      <a:noFill/>
                      <a:headEnd/>
                      <a:tailEnd/>
                    </a:ln>
                  </pic:spPr>
                </pic:pic>
              </a:graphicData>
            </a:graphic>
          </wp:inline>
        </w:drawing>
      </w:r>
    </w:p>
    <w:p w14:paraId="79F5AA36" w14:textId="77777777" w:rsidR="000A2783" w:rsidRDefault="00000000">
      <w:pPr>
        <w:pStyle w:val="BodyText"/>
      </w:pPr>
      <w:r>
        <w:rPr>
          <w:b/>
          <w:bCs/>
        </w:rPr>
        <w:t>Figure 3.</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08FD506" w14:textId="77777777" w:rsidR="000A2783" w:rsidRDefault="00000000">
      <w:pPr>
        <w:pStyle w:val="Heading3"/>
      </w:pPr>
      <w:bookmarkStart w:id="7" w:name="signal-conditioning"/>
      <w:bookmarkEnd w:id="6"/>
      <w:r>
        <w:t>2.3 Signal conditioning</w:t>
      </w:r>
    </w:p>
    <w:p w14:paraId="08EC2751"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§III.A). Analysis windows contain 15,001 samples (≈ 50 min) per run.</w:t>
      </w:r>
    </w:p>
    <w:p w14:paraId="66AD039F" w14:textId="77777777" w:rsidR="000A2783" w:rsidRDefault="00000000">
      <w:pPr>
        <w:pStyle w:val="Heading3"/>
      </w:pPr>
      <w:bookmarkStart w:id="8" w:name="transfer-entropy-estimation"/>
      <w:bookmarkEnd w:id="7"/>
      <w:r>
        <w:t>2.4 Transfer-entropy estimation</w:t>
      </w:r>
    </w:p>
    <w:p w14:paraId="1670E99E" w14:textId="77777777" w:rsidR="000A2783" w:rsidRDefault="00000000">
      <w:pPr>
        <w:pStyle w:val="FirstParagraph"/>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w:t>
        <w:lastRenderedPageBreak/>
        <w:t>Lizier, 2014; Wollstadt et al., 2019). IDTxl performs greedy, statistically guided selection of source and target history variables rather than fixing an embedding a priori.</w:t>
      </w:r>
    </w:p>
    <w:p w14:paraId="04BF19BC"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324AF1C7"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002A26C7" w14:textId="77777777" w:rsidR="000A2783" w:rsidRDefault="00000000">
      <w:pPr>
        <w:pStyle w:val="BodyText"/>
      </w:pPr>
      <w:r>
        <w:t xml:space="preserve">Fault-detection applications of transfer entropy typically identify four quantities to optimize for the problem at hand: the sampling rate, the analysis-window width, and the </w:t>
        <w:lastRenderedPageBreak/>
        <w:t xml:space="preserve">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6C1E5EB5"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64242B5B" w14:textId="77777777" w:rsidR="000A2783" w:rsidRDefault="00000000">
      <w:pPr>
        <w:pStyle w:val="Heading3"/>
      </w:pPr>
      <w:bookmarkStart w:id="9" w:name="effect-size-and-significance"/>
      <w:bookmarkEnd w:id="8"/>
      <w:r>
        <w:t>2.5 Effect size and significance</w:t>
      </w:r>
    </w:p>
    <w:p w14:paraId="5AA035F9"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w:t>
      </w:r>
    </w:p>
    <w:p w14:paraId="4F436B38" w14:textId="77777777" w:rsidR="000A278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p w14:paraId="68753469"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73687DA7" w14:textId="77777777" w:rsidR="000A2783" w:rsidRDefault="00000000">
      <w:pPr>
        <w:pStyle w:val="BodyText"/>
      </w:pPr>
      <w:r>
        <w:lastRenderedPageBreak/>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0AA963E3" w14:textId="77777777" w:rsidR="000A2783" w:rsidRDefault="00000000">
      <w:pPr>
        <w:pStyle w:val="Heading3"/>
      </w:pPr>
      <w:bookmarkStart w:id="10" w:name="coherence-baseline"/>
      <w:bookmarkEnd w:id="9"/>
      <w:r>
        <w:t>2.6 Coherence baseline</w:t>
      </w:r>
    </w:p>
    <w:p w14:paraId="1F69A474"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32D6B754" w14:textId="77777777" w:rsidR="000A2783" w:rsidRDefault="00000000">
      <w:pPr>
        <w:pStyle w:val="Heading3"/>
      </w:pPr>
      <w:bookmarkStart w:id="11" w:name="surd-attribution"/>
      <w:bookmarkEnd w:id="10"/>
      <w:r>
        <w:t>2.7 SURD attribution</w:t>
      </w:r>
    </w:p>
    <w:p w14:paraId="7243EC67"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w:t>
      </w:r>
    </w:p>
    <w:p w14:paraId="32D111EC" w14:textId="77777777" w:rsidR="000A2783" w:rsidRDefault="00000000">
      <w:pPr>
        <w:pStyle w:val="BodyText"/>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r>
            <m:rPr>
              <m:sty m:val="p"/>
            </m:rPr>
            <w:rPr>
              <w:rFonts w:ascii="Cambria Math" w:hAnsi="Cambria Math"/>
            </w:rPr>
            <m:t>,</m:t>
          </m:r>
        </m:oMath>
      </m:oMathPara>
    </w:p>
    <w:p w14:paraId="19A950CC" w14:textId="77777777" w:rsidR="000A2783" w:rsidRDefault="00000000">
      <w:pPr>
        <w:pStyle w:val="FirstParagraph"/>
      </w:pPr>
      <w:r>
        <w:t xml:space="preserve">where a unique atom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information about </w:t>
      </w:r>
      <m:oMath>
        <m:r>
          <w:rPr>
            <w:rFonts w:ascii="Cambria Math" w:hAnsi="Cambria Math"/>
          </w:rPr>
          <m:t>Q</m:t>
        </m:r>
      </m:oMath>
      <w:r>
        <w:t xml:space="preserve"> that source </w:t>
      </w:r>
      <m:oMath>
        <m:r>
          <w:rPr>
            <w:rFonts w:ascii="Cambria Math" w:hAnsi="Cambria Math"/>
          </w:rPr>
          <m:t>i</m:t>
        </m:r>
      </m:oMath>
      <w:r>
        <w:t xml:space="preserve"> provides and no other source does, a redundant atom </w:t>
      </w:r>
      <m:oMath>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oMath>
      <w:r>
        <w:t xml:space="preserve"> is information shared across a subset </w:t>
      </w:r>
      <m:oMath>
        <m:r>
          <m:rPr>
            <m:scr m:val="script"/>
            <m:sty m:val="p"/>
          </m:rPr>
          <w:rPr>
            <w:rFonts w:ascii="Cambria Math" w:hAnsi="Cambria Math"/>
          </w:rPr>
          <m:t>S</m:t>
        </m:r>
      </m:oMath>
      <w:r>
        <w:t xml:space="preserve">, and a synergistic atom </w:t>
      </w:r>
      <m:oMath>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oMath>
      <w:r>
        <w:t xml:space="preserve"> is information available only from the joint state of </w:t>
      </w:r>
      <m:oMath>
        <m:r>
          <m:rPr>
            <m:scr m:val="script"/>
            <m:sty m:val="p"/>
          </m:rPr>
          <w:rPr>
            <w:rFonts w:ascii="Cambria Math" w:hAnsi="Cambria Math"/>
          </w:rPr>
          <m:t>S</m:t>
        </m:r>
      </m:oMath>
      <w:r>
        <w:t xml:space="preserve">. A residual “leak” term captures information about </w:t>
      </w:r>
      <m:oMath>
        <m:r>
          <w:rPr>
            <w:rFonts w:ascii="Cambria Math" w:hAnsi="Cambria Math"/>
          </w:rPr>
          <m:t>Q</m:t>
        </m:r>
      </m:oMath>
      <w:r>
        <w:t>’s future not accounted for by the observed sources. The atoms of interest for attribution are the unique wind information carried by the blade-pitch command (</w:t>
      </w:r>
      <w:r>
        <w:rPr>
          <w:rStyle w:val="VerbatimChar"/>
        </w:rPr>
        <w:t>U:Wind1VelX</w:t>
      </w:r>
      <w:r>
        <w:t xml:space="preserve"> and the redundant </w:t>
      </w:r>
      <w:r>
        <w:rPr>
          <w:rStyle w:val="VerbatimChar"/>
        </w:rPr>
        <w:t>R:Wind1VelX+BldPitch1</w:t>
      </w:r>
      <w:r>
        <w:t xml:space="preserve"> atoms into </w:t>
      </w:r>
      <w:r>
        <w:rPr>
          <w:rStyle w:val="VerbatimChar"/>
        </w:rPr>
        <w:t>BldPitch1</w:t>
      </w:r>
      <w:r>
        <w:t xml:space="preserve">) and the aggregate bookkeeping terms </w:t>
      </w:r>
      <w:r>
        <w:rPr>
          <w:rStyle w:val="VerbatimChar"/>
        </w:rPr>
        <w:t>wind_into_controllers</w:t>
      </w:r>
      <w:r>
        <w:t xml:space="preserve"> and </w:t>
      </w:r>
      <w:r>
        <w:rPr>
          <w:rStyle w:val="VerbatimChar"/>
        </w:rPr>
        <w:t>controller_drop_material</w:t>
      </w:r>
      <w:r>
        <w:t>, which sum the wind information residing in the control channel. If the firewall were wave dominance, these terms would be near zero — the wind information would simply be absent. If the firewall is the controller, they are large. The decomposition is computed over lags of 0.2–5.0 s at 5 Hz with a coarse three-bin marginal quantization (</w:t>
      </w:r>
      <w:r>
        <w:rPr>
          <w:rStyle w:val="VerbatimChar"/>
        </w:rPr>
        <w:t>nbins = 3</w:t>
      </w:r>
      <w:r>
        <w:t>), which keeps the joint state space small enough for reliable frequency estimation at 15,001 samples. All SURD quantities are reported in normalized, dimensionless units — the redundant, unique, and synergistic atoms as fractions of the maximum source–target mutual information, and the information leak (and differences of leaks) as fractions of the target’s future entropy — so they are comparable across channels but are not in nats and are not directly commensurable with the transfer-entropy values of Sections 3.1–3.2.</w:t>
      </w:r>
    </w:p>
    <w:p w14:paraId="0F8D4F38" w14:textId="77777777" w:rsidR="000A2783" w:rsidRDefault="00000000">
      <w:pPr>
        <w:pStyle w:val="Heading3"/>
      </w:pPr>
      <w:bookmarkStart w:id="12" w:name="monitoring-signature-construction"/>
      <w:bookmarkEnd w:id="11"/>
      <w:r>
        <w:t>2.8 Monitoring-signature construction</w:t>
      </w:r>
    </w:p>
    <w:p w14:paraId="3B24D828"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The healthy population defines a baseline ceiling on TE(Wind → structure); the monitoring hypothesis is that fault populations exceed it. The fault side of this table is presently empty of computed transfer entropy (Section 3.4), so the signature is used to establish the healthy baseline and the monitoring claim is treated as an untested outlook.</w:t>
      </w:r>
    </w:p>
    <w:p w14:paraId="0F8554F2" w14:textId="77777777" w:rsidR="000A2783" w:rsidRDefault="00000000">
      <w:pPr>
        <w:pStyle w:val="Heading3"/>
      </w:pPr>
      <w:bookmarkStart w:id="13" w:name="delay-resolved-transfer-entropy"/>
      <w:bookmarkEnd w:id="12"/>
      <w:r>
        <w:t>2.9 Delay-resolved transfer entropy</w:t>
      </w:r>
    </w:p>
    <w:p w14:paraId="0918764C"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w:t>
      </w:r>
    </w:p>
    <w:p w14:paraId="0A7F05CC" w14:textId="77777777" w:rsidR="000A278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460E21D3"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w:t>
        <w:lastRenderedPageBreak/>
        <w:t xml:space="preserve">of-window artifacts and, for channels responding in phase with the forcing, the half-period aliases; where the physical response is itself near-antiphase, the selected delay legitimately falls near the half-period boundary (platform surge,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273476C4" w14:textId="77777777" w:rsidR="000A2783" w:rsidRDefault="00000000">
      <w:r>
        <w:pict w14:anchorId="14055065">
          <v:rect id="_x0000_i1027" style="width:0;height:1.5pt" o:hralign="center" o:hrstd="t" o:hr="t"/>
        </w:pict>
      </w:r>
    </w:p>
    <w:p w14:paraId="22BD1240" w14:textId="77777777" w:rsidR="000A2783" w:rsidRDefault="00000000">
      <w:pPr>
        <w:pStyle w:val="Heading2"/>
      </w:pPr>
      <w:bookmarkStart w:id="14" w:name="results"/>
      <w:bookmarkEnd w:id="4"/>
      <w:bookmarkEnd w:id="13"/>
      <w:r>
        <w:t>3. Results</w:t>
      </w:r>
    </w:p>
    <w:p w14:paraId="4A71DAF2"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0CE94A83" w14:textId="77777777" w:rsidR="000A2783" w:rsidRDefault="00000000">
      <w:pPr>
        <w:pStyle w:val="Heading3"/>
      </w:pPr>
      <w:bookmarkStart w:id="15" w:name="Xcd12dcbbf68bfb9b8d8e45db9a11096ecc47354"/>
      <w:r>
        <w:t>3.1 The firewall: wind carries no information into platform motion</w:t>
      </w:r>
    </w:p>
    <w:p w14:paraId="6CDC39D6" w14:textId="77777777" w:rsidR="000A2783" w:rsidRDefault="00000000">
      <w:pPr>
        <w:pStyle w:val="FirstParagraph"/>
      </w:pPr>
      <w:r>
        <w:t>The central result is a stark asymmetry between the two environmental drivers. Table 2 and Figure 4 report transfer entropy from each driver into the platform-pitch response across all 54 simulations.</w:t>
      </w:r>
    </w:p>
    <w:p w14:paraId="57A3B410"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3287D5FE"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3FA440" w14:textId="77777777" w:rsidR="000A2783" w:rsidRDefault="00000000">
            <w:pPr>
              <w:pStyle w:val="Compact"/>
            </w:pPr>
            <w:r>
              <w:t>Source → target</w:t>
            </w:r>
          </w:p>
        </w:tc>
        <w:tc>
          <w:tcPr>
            <w:tcW w:w="1980" w:type="dxa"/>
          </w:tcPr>
          <w:p w14:paraId="2A8D0E4F" w14:textId="77777777" w:rsidR="000A2783" w:rsidRDefault="00000000">
            <w:pPr>
              <w:pStyle w:val="Compact"/>
            </w:pPr>
            <w:r>
              <w:t>Mean TE (nats)</w:t>
            </w:r>
          </w:p>
        </w:tc>
        <w:tc>
          <w:tcPr>
            <w:tcW w:w="1980" w:type="dxa"/>
          </w:tcPr>
          <w:p w14:paraId="006AA520" w14:textId="77777777" w:rsidR="000A2783" w:rsidRDefault="00000000">
            <w:pPr>
              <w:pStyle w:val="Compact"/>
            </w:pPr>
            <w:r>
              <w:t>Max TE (nats)</w:t>
            </w:r>
          </w:p>
        </w:tc>
        <w:tc>
          <w:tcPr>
            <w:tcW w:w="1980" w:type="dxa"/>
          </w:tcPr>
          <w:p w14:paraId="164D677D" w14:textId="77777777" w:rsidR="000A2783" w:rsidRDefault="00000000">
            <w:pPr>
              <w:pStyle w:val="Compact"/>
            </w:pPr>
            <w:r>
              <w:t>Fraction significant</w:t>
            </w:r>
          </w:p>
        </w:tc>
      </w:tr>
      <w:tr w:rsidR="000A2783" w14:paraId="69177C3A" w14:textId="77777777">
        <w:tc>
          <w:tcPr>
            <w:tcW w:w="1980" w:type="dxa"/>
          </w:tcPr>
          <w:p w14:paraId="20293D5E" w14:textId="77777777" w:rsidR="000A2783" w:rsidRDefault="00000000">
            <w:pPr>
              <w:pStyle w:val="Compact"/>
            </w:pPr>
            <w:r>
              <w:t>Wind → PtfmPitch</w:t>
            </w:r>
          </w:p>
        </w:tc>
        <w:tc>
          <w:tcPr>
            <w:tcW w:w="1980" w:type="dxa"/>
          </w:tcPr>
          <w:p w14:paraId="6923F0F0" w14:textId="77777777" w:rsidR="000A2783" w:rsidRDefault="00000000">
            <w:pPr>
              <w:pStyle w:val="Compact"/>
            </w:pPr>
            <w:r>
              <w:t>0.0009</w:t>
            </w:r>
          </w:p>
        </w:tc>
        <w:tc>
          <w:tcPr>
            <w:tcW w:w="1980" w:type="dxa"/>
          </w:tcPr>
          <w:p w14:paraId="22DF08B5" w14:textId="77777777" w:rsidR="000A2783" w:rsidRDefault="00000000">
            <w:pPr>
              <w:pStyle w:val="Compact"/>
            </w:pPr>
            <w:r>
              <w:t>0.0293</w:t>
            </w:r>
          </w:p>
        </w:tc>
        <w:tc>
          <w:tcPr>
            <w:tcW w:w="1980" w:type="dxa"/>
          </w:tcPr>
          <w:p w14:paraId="615DDDEB" w14:textId="77777777" w:rsidR="000A2783" w:rsidRDefault="00000000">
            <w:pPr>
              <w:pStyle w:val="Compact"/>
            </w:pPr>
            <w:r>
              <w:t>3.7%</w:t>
            </w:r>
          </w:p>
        </w:tc>
      </w:tr>
      <w:tr w:rsidR="000A2783" w14:paraId="3A48C886" w14:textId="77777777">
        <w:tc>
          <w:tcPr>
            <w:tcW w:w="1980" w:type="dxa"/>
          </w:tcPr>
          <w:p w14:paraId="4505A093" w14:textId="77777777" w:rsidR="000A2783" w:rsidRDefault="00000000">
            <w:pPr>
              <w:pStyle w:val="Compact"/>
            </w:pPr>
            <w:r>
              <w:t>Wave → PtfmPitch</w:t>
            </w:r>
          </w:p>
        </w:tc>
        <w:tc>
          <w:tcPr>
            <w:tcW w:w="1980" w:type="dxa"/>
          </w:tcPr>
          <w:p w14:paraId="03EE09A3" w14:textId="77777777" w:rsidR="000A2783" w:rsidRDefault="00000000">
            <w:pPr>
              <w:pStyle w:val="Compact"/>
            </w:pPr>
            <w:r>
              <w:t>0.1214</w:t>
            </w:r>
          </w:p>
        </w:tc>
        <w:tc>
          <w:tcPr>
            <w:tcW w:w="1980" w:type="dxa"/>
          </w:tcPr>
          <w:p w14:paraId="5DF46AB6" w14:textId="77777777" w:rsidR="000A2783" w:rsidRDefault="00000000">
            <w:pPr>
              <w:pStyle w:val="Compact"/>
            </w:pPr>
            <w:r>
              <w:t>0.2658</w:t>
            </w:r>
          </w:p>
        </w:tc>
        <w:tc>
          <w:tcPr>
            <w:tcW w:w="1980" w:type="dxa"/>
          </w:tcPr>
          <w:p w14:paraId="04AEA050" w14:textId="77777777" w:rsidR="000A2783" w:rsidRDefault="00000000">
            <w:pPr>
              <w:pStyle w:val="Compact"/>
            </w:pPr>
            <w:r>
              <w:t>100%</w:t>
            </w:r>
          </w:p>
        </w:tc>
      </w:tr>
      <w:tr w:rsidR="000A2783" w14:paraId="50F865C6" w14:textId="77777777">
        <w:tc>
          <w:tcPr>
            <w:tcW w:w="1980" w:type="dxa"/>
          </w:tcPr>
          <w:p w14:paraId="15417DA5" w14:textId="77777777" w:rsidR="000A2783" w:rsidRDefault="00000000">
            <w:pPr>
              <w:pStyle w:val="Compact"/>
            </w:pPr>
            <w:r>
              <w:t>Wind → PtfmSurge</w:t>
            </w:r>
          </w:p>
        </w:tc>
        <w:tc>
          <w:tcPr>
            <w:tcW w:w="1980" w:type="dxa"/>
          </w:tcPr>
          <w:p w14:paraId="0C7DE8EE" w14:textId="77777777" w:rsidR="000A2783" w:rsidRDefault="00000000">
            <w:pPr>
              <w:pStyle w:val="Compact"/>
            </w:pPr>
            <w:r>
              <w:t>0.0013</w:t>
            </w:r>
          </w:p>
        </w:tc>
        <w:tc>
          <w:tcPr>
            <w:tcW w:w="1980" w:type="dxa"/>
          </w:tcPr>
          <w:p w14:paraId="555D9899" w14:textId="77777777" w:rsidR="000A2783" w:rsidRDefault="00000000">
            <w:pPr>
              <w:pStyle w:val="Compact"/>
            </w:pPr>
            <w:r>
              <w:t>0.0239</w:t>
            </w:r>
          </w:p>
        </w:tc>
        <w:tc>
          <w:tcPr>
            <w:tcW w:w="1980" w:type="dxa"/>
          </w:tcPr>
          <w:p w14:paraId="02B410E2" w14:textId="77777777" w:rsidR="000A2783" w:rsidRDefault="00000000">
            <w:pPr>
              <w:pStyle w:val="Compact"/>
            </w:pPr>
            <w:r>
              <w:t>11.1%</w:t>
            </w:r>
          </w:p>
        </w:tc>
      </w:tr>
      <w:tr w:rsidR="000A2783" w14:paraId="6C71CC07" w14:textId="77777777">
        <w:tc>
          <w:tcPr>
            <w:tcW w:w="1980" w:type="dxa"/>
          </w:tcPr>
          <w:p w14:paraId="64653532" w14:textId="77777777" w:rsidR="000A2783" w:rsidRDefault="00000000">
            <w:pPr>
              <w:pStyle w:val="Compact"/>
            </w:pPr>
            <w:r>
              <w:t>Wave → PtfmSurge</w:t>
            </w:r>
          </w:p>
        </w:tc>
        <w:tc>
          <w:tcPr>
            <w:tcW w:w="1980" w:type="dxa"/>
          </w:tcPr>
          <w:p w14:paraId="19B6AEF6" w14:textId="77777777" w:rsidR="000A2783" w:rsidRDefault="00000000">
            <w:pPr>
              <w:pStyle w:val="Compact"/>
            </w:pPr>
            <w:r>
              <w:t>0.1069</w:t>
            </w:r>
          </w:p>
        </w:tc>
        <w:tc>
          <w:tcPr>
            <w:tcW w:w="1980" w:type="dxa"/>
          </w:tcPr>
          <w:p w14:paraId="1062C725" w14:textId="77777777" w:rsidR="000A2783" w:rsidRDefault="00000000">
            <w:pPr>
              <w:pStyle w:val="Compact"/>
            </w:pPr>
            <w:r>
              <w:t>0.2796</w:t>
            </w:r>
          </w:p>
        </w:tc>
        <w:tc>
          <w:tcPr>
            <w:tcW w:w="1980" w:type="dxa"/>
          </w:tcPr>
          <w:p w14:paraId="387E9DA0" w14:textId="77777777" w:rsidR="000A2783" w:rsidRDefault="00000000">
            <w:pPr>
              <w:pStyle w:val="Compact"/>
            </w:pPr>
            <w:r>
              <w:t>92.6%</w:t>
            </w:r>
          </w:p>
        </w:tc>
      </w:tr>
    </w:tbl>
    <w:p w14:paraId="64AD1EA1"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w:t>
        <w:lastRenderedPageBreak/>
        <w:t>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607CEA84"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333DB69A"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 controller intercepts them before they propagate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t>
        <w:lastRenderedPageBreak/>
        <w:t>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(§3.5), so it systematically underestimates the wave→platform magnitudes and is not the better instrument for those.</w:t>
      </w:r>
    </w:p>
    <w:p w14:paraId="6192F3F5"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tblLook w:val="0020" w:firstRow="1" w:lastRow="0" w:firstColumn="0" w:lastColumn="0" w:noHBand="0" w:noVBand="0"/>
      </w:tblPr>
      <w:tblGrid>
        <w:gridCol w:w="1368"/>
        <w:gridCol w:w="2038"/>
        <w:gridCol w:w="1162"/>
        <w:gridCol w:w="2076"/>
        <w:gridCol w:w="1201"/>
      </w:tblGrid>
      <w:tr w:rsidR="000A2783" w14:paraId="1468CDC3"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5DA5D8D1" w14:textId="77777777" w:rsidR="000A2783" w:rsidRDefault="00000000">
            <w:pPr>
              <w:pStyle w:val="Compact"/>
            </w:pPr>
            <w:r>
              <w:t>Target</w:t>
            </w:r>
          </w:p>
        </w:tc>
        <w:tc>
          <w:tcPr>
            <w:tcW w:w="0" w:type="auto"/>
          </w:tcPr>
          <w:p w14:paraId="3E7BA976" w14:textId="77777777" w:rsidR="000A2783" w:rsidRDefault="00000000">
            <w:pPr>
              <w:pStyle w:val="Compact"/>
            </w:pPr>
            <w:r>
              <w:t>Wind mean (nats)</w:t>
            </w:r>
          </w:p>
        </w:tc>
        <w:tc>
          <w:tcPr>
            <w:tcW w:w="0" w:type="auto"/>
          </w:tcPr>
          <w:p w14:paraId="2920DE0C" w14:textId="77777777" w:rsidR="000A2783" w:rsidRDefault="00000000">
            <w:pPr>
              <w:pStyle w:val="Compact"/>
            </w:pPr>
            <w:r>
              <w:t>Wind sig.</w:t>
            </w:r>
          </w:p>
        </w:tc>
        <w:tc>
          <w:tcPr>
            <w:tcW w:w="0" w:type="auto"/>
          </w:tcPr>
          <w:p w14:paraId="6CF34574" w14:textId="77777777" w:rsidR="000A2783" w:rsidRDefault="00000000">
            <w:pPr>
              <w:pStyle w:val="Compact"/>
            </w:pPr>
            <w:r>
              <w:t>Wave mean (nats)</w:t>
            </w:r>
          </w:p>
        </w:tc>
        <w:tc>
          <w:tcPr>
            <w:tcW w:w="0" w:type="auto"/>
          </w:tcPr>
          <w:p w14:paraId="4BBC5DD7" w14:textId="77777777" w:rsidR="000A2783" w:rsidRDefault="00000000">
            <w:pPr>
              <w:pStyle w:val="Compact"/>
            </w:pPr>
            <w:r>
              <w:t>Wave sig.</w:t>
            </w:r>
          </w:p>
        </w:tc>
      </w:tr>
      <w:tr w:rsidR="000A2783" w14:paraId="556AEED8" w14:textId="77777777">
        <w:tc>
          <w:tcPr>
            <w:tcW w:w="0" w:type="auto"/>
          </w:tcPr>
          <w:p w14:paraId="13AA5E5A" w14:textId="77777777" w:rsidR="000A2783" w:rsidRDefault="00000000">
            <w:pPr>
              <w:pStyle w:val="Compact"/>
            </w:pPr>
            <w:r>
              <w:t>PtfmSurge</w:t>
            </w:r>
          </w:p>
        </w:tc>
        <w:tc>
          <w:tcPr>
            <w:tcW w:w="0" w:type="auto"/>
          </w:tcPr>
          <w:p w14:paraId="09F25221" w14:textId="77777777" w:rsidR="000A2783" w:rsidRDefault="00000000">
            <w:pPr>
              <w:pStyle w:val="Compact"/>
            </w:pPr>
            <w:r>
              <w:t>0.0013</w:t>
            </w:r>
          </w:p>
        </w:tc>
        <w:tc>
          <w:tcPr>
            <w:tcW w:w="0" w:type="auto"/>
          </w:tcPr>
          <w:p w14:paraId="30456EA4" w14:textId="77777777" w:rsidR="000A2783" w:rsidRDefault="00000000">
            <w:pPr>
              <w:pStyle w:val="Compact"/>
            </w:pPr>
            <w:r>
              <w:t>11.1%</w:t>
            </w:r>
          </w:p>
        </w:tc>
        <w:tc>
          <w:tcPr>
            <w:tcW w:w="0" w:type="auto"/>
          </w:tcPr>
          <w:p w14:paraId="72B25B52" w14:textId="77777777" w:rsidR="000A2783" w:rsidRDefault="00000000">
            <w:pPr>
              <w:pStyle w:val="Compact"/>
            </w:pPr>
            <w:r>
              <w:t>0.1069</w:t>
            </w:r>
          </w:p>
        </w:tc>
        <w:tc>
          <w:tcPr>
            <w:tcW w:w="0" w:type="auto"/>
          </w:tcPr>
          <w:p w14:paraId="3F665F83" w14:textId="77777777" w:rsidR="000A2783" w:rsidRDefault="00000000">
            <w:pPr>
              <w:pStyle w:val="Compact"/>
            </w:pPr>
            <w:r>
              <w:t>92.6%</w:t>
            </w:r>
          </w:p>
        </w:tc>
      </w:tr>
      <w:tr w:rsidR="000A2783" w14:paraId="06BA1D4C" w14:textId="77777777">
        <w:tc>
          <w:tcPr>
            <w:tcW w:w="0" w:type="auto"/>
          </w:tcPr>
          <w:p w14:paraId="0259AE89" w14:textId="77777777" w:rsidR="000A2783" w:rsidRDefault="00000000">
            <w:pPr>
              <w:pStyle w:val="Compact"/>
            </w:pPr>
            <w:r>
              <w:t>PtfmHeave</w:t>
            </w:r>
          </w:p>
        </w:tc>
        <w:tc>
          <w:tcPr>
            <w:tcW w:w="0" w:type="auto"/>
          </w:tcPr>
          <w:p w14:paraId="45897DFC" w14:textId="77777777" w:rsidR="000A2783" w:rsidRDefault="00000000">
            <w:pPr>
              <w:pStyle w:val="Compact"/>
            </w:pPr>
            <w:r>
              <w:t>0.0001</w:t>
            </w:r>
          </w:p>
        </w:tc>
        <w:tc>
          <w:tcPr>
            <w:tcW w:w="0" w:type="auto"/>
          </w:tcPr>
          <w:p w14:paraId="46B2F993" w14:textId="77777777" w:rsidR="000A2783" w:rsidRDefault="00000000">
            <w:pPr>
              <w:pStyle w:val="Compact"/>
            </w:pPr>
            <w:r>
              <w:t>5.6%</w:t>
            </w:r>
          </w:p>
        </w:tc>
        <w:tc>
          <w:tcPr>
            <w:tcW w:w="0" w:type="auto"/>
          </w:tcPr>
          <w:p w14:paraId="5B1D62C1" w14:textId="77777777" w:rsidR="000A2783" w:rsidRDefault="00000000">
            <w:pPr>
              <w:pStyle w:val="Compact"/>
            </w:pPr>
            <w:r>
              <w:t>0.1139</w:t>
            </w:r>
          </w:p>
        </w:tc>
        <w:tc>
          <w:tcPr>
            <w:tcW w:w="0" w:type="auto"/>
          </w:tcPr>
          <w:p w14:paraId="1162649A" w14:textId="77777777" w:rsidR="000A2783" w:rsidRDefault="00000000">
            <w:pPr>
              <w:pStyle w:val="Compact"/>
            </w:pPr>
            <w:r>
              <w:t>87.0%</w:t>
            </w:r>
          </w:p>
        </w:tc>
      </w:tr>
      <w:tr w:rsidR="000A2783" w14:paraId="5E6A39A7" w14:textId="77777777">
        <w:tc>
          <w:tcPr>
            <w:tcW w:w="0" w:type="auto"/>
          </w:tcPr>
          <w:p w14:paraId="2D02ACAD" w14:textId="77777777" w:rsidR="000A2783" w:rsidRDefault="00000000">
            <w:pPr>
              <w:pStyle w:val="Compact"/>
            </w:pPr>
            <w:r>
              <w:t>PtfmPitch</w:t>
            </w:r>
          </w:p>
        </w:tc>
        <w:tc>
          <w:tcPr>
            <w:tcW w:w="0" w:type="auto"/>
          </w:tcPr>
          <w:p w14:paraId="5AA727F0" w14:textId="77777777" w:rsidR="000A2783" w:rsidRDefault="00000000">
            <w:pPr>
              <w:pStyle w:val="Compact"/>
            </w:pPr>
            <w:r>
              <w:t>0.0009</w:t>
            </w:r>
          </w:p>
        </w:tc>
        <w:tc>
          <w:tcPr>
            <w:tcW w:w="0" w:type="auto"/>
          </w:tcPr>
          <w:p w14:paraId="59B3F9C7" w14:textId="77777777" w:rsidR="000A2783" w:rsidRDefault="00000000">
            <w:pPr>
              <w:pStyle w:val="Compact"/>
            </w:pPr>
            <w:r>
              <w:t>3.7%</w:t>
            </w:r>
          </w:p>
        </w:tc>
        <w:tc>
          <w:tcPr>
            <w:tcW w:w="0" w:type="auto"/>
          </w:tcPr>
          <w:p w14:paraId="68822E18" w14:textId="77777777" w:rsidR="000A2783" w:rsidRDefault="00000000">
            <w:pPr>
              <w:pStyle w:val="Compact"/>
            </w:pPr>
            <w:r>
              <w:t>0.1214</w:t>
            </w:r>
          </w:p>
        </w:tc>
        <w:tc>
          <w:tcPr>
            <w:tcW w:w="0" w:type="auto"/>
          </w:tcPr>
          <w:p w14:paraId="652F30A6" w14:textId="77777777" w:rsidR="000A2783" w:rsidRDefault="00000000">
            <w:pPr>
              <w:pStyle w:val="Compact"/>
            </w:pPr>
            <w:r>
              <w:t>100%</w:t>
            </w:r>
          </w:p>
        </w:tc>
      </w:tr>
      <w:tr w:rsidR="000A2783" w14:paraId="0D6F95D6" w14:textId="77777777">
        <w:tc>
          <w:tcPr>
            <w:tcW w:w="0" w:type="auto"/>
          </w:tcPr>
          <w:p w14:paraId="2C32A458" w14:textId="77777777" w:rsidR="000A2783" w:rsidRDefault="00000000">
            <w:pPr>
              <w:pStyle w:val="Compact"/>
            </w:pPr>
            <w:r>
              <w:t>FAIRTEN1</w:t>
            </w:r>
          </w:p>
        </w:tc>
        <w:tc>
          <w:tcPr>
            <w:tcW w:w="0" w:type="auto"/>
          </w:tcPr>
          <w:p w14:paraId="2DD7944B" w14:textId="77777777" w:rsidR="000A2783" w:rsidRDefault="00000000">
            <w:pPr>
              <w:pStyle w:val="Compact"/>
            </w:pPr>
            <w:r>
              <w:t>0.0024</w:t>
            </w:r>
          </w:p>
        </w:tc>
        <w:tc>
          <w:tcPr>
            <w:tcW w:w="0" w:type="auto"/>
          </w:tcPr>
          <w:p w14:paraId="4260D04C" w14:textId="77777777" w:rsidR="000A2783" w:rsidRDefault="00000000">
            <w:pPr>
              <w:pStyle w:val="Compact"/>
            </w:pPr>
            <w:r>
              <w:t>9.3%</w:t>
            </w:r>
          </w:p>
        </w:tc>
        <w:tc>
          <w:tcPr>
            <w:tcW w:w="0" w:type="auto"/>
          </w:tcPr>
          <w:p w14:paraId="1723BF4A" w14:textId="77777777" w:rsidR="000A2783" w:rsidRDefault="00000000">
            <w:pPr>
              <w:pStyle w:val="Compact"/>
            </w:pPr>
            <w:r>
              <w:t>0.0195</w:t>
            </w:r>
          </w:p>
        </w:tc>
        <w:tc>
          <w:tcPr>
            <w:tcW w:w="0" w:type="auto"/>
          </w:tcPr>
          <w:p w14:paraId="516E3EE4" w14:textId="77777777" w:rsidR="000A2783" w:rsidRDefault="00000000">
            <w:pPr>
              <w:pStyle w:val="Compact"/>
            </w:pPr>
            <w:r>
              <w:t>53.7%</w:t>
            </w:r>
          </w:p>
        </w:tc>
      </w:tr>
      <w:tr w:rsidR="000A2783" w14:paraId="0E4D59F6" w14:textId="77777777">
        <w:tc>
          <w:tcPr>
            <w:tcW w:w="0" w:type="auto"/>
          </w:tcPr>
          <w:p w14:paraId="0CD3E087" w14:textId="77777777" w:rsidR="000A2783" w:rsidRDefault="00000000">
            <w:pPr>
              <w:pStyle w:val="Compact"/>
            </w:pPr>
            <w:r>
              <w:t>FAIRTEN2</w:t>
            </w:r>
          </w:p>
        </w:tc>
        <w:tc>
          <w:tcPr>
            <w:tcW w:w="0" w:type="auto"/>
          </w:tcPr>
          <w:p w14:paraId="37594DD8" w14:textId="77777777" w:rsidR="000A2783" w:rsidRDefault="00000000">
            <w:pPr>
              <w:pStyle w:val="Compact"/>
            </w:pPr>
            <w:r>
              <w:t>0.0012</w:t>
            </w:r>
          </w:p>
        </w:tc>
        <w:tc>
          <w:tcPr>
            <w:tcW w:w="0" w:type="auto"/>
          </w:tcPr>
          <w:p w14:paraId="780C3726" w14:textId="77777777" w:rsidR="000A2783" w:rsidRDefault="00000000">
            <w:pPr>
              <w:pStyle w:val="Compact"/>
            </w:pPr>
            <w:r>
              <w:t>5.6%</w:t>
            </w:r>
          </w:p>
        </w:tc>
        <w:tc>
          <w:tcPr>
            <w:tcW w:w="0" w:type="auto"/>
          </w:tcPr>
          <w:p w14:paraId="07ACAB4A" w14:textId="77777777" w:rsidR="000A2783" w:rsidRDefault="00000000">
            <w:pPr>
              <w:pStyle w:val="Compact"/>
            </w:pPr>
            <w:r>
              <w:t>0.1113</w:t>
            </w:r>
          </w:p>
        </w:tc>
        <w:tc>
          <w:tcPr>
            <w:tcW w:w="0" w:type="auto"/>
          </w:tcPr>
          <w:p w14:paraId="0633DA60" w14:textId="77777777" w:rsidR="000A2783" w:rsidRDefault="00000000">
            <w:pPr>
              <w:pStyle w:val="Compact"/>
            </w:pPr>
            <w:r>
              <w:t>100%</w:t>
            </w:r>
          </w:p>
        </w:tc>
      </w:tr>
      <w:tr w:rsidR="000A2783" w14:paraId="26F69D55" w14:textId="77777777">
        <w:tc>
          <w:tcPr>
            <w:tcW w:w="0" w:type="auto"/>
          </w:tcPr>
          <w:p w14:paraId="4880F7FA" w14:textId="77777777" w:rsidR="000A2783" w:rsidRDefault="00000000">
            <w:pPr>
              <w:pStyle w:val="Compact"/>
            </w:pPr>
            <w:r>
              <w:t>FAIRTEN3</w:t>
            </w:r>
          </w:p>
        </w:tc>
        <w:tc>
          <w:tcPr>
            <w:tcW w:w="0" w:type="auto"/>
          </w:tcPr>
          <w:p w14:paraId="16B601D9" w14:textId="77777777" w:rsidR="000A2783" w:rsidRDefault="00000000">
            <w:pPr>
              <w:pStyle w:val="Compact"/>
            </w:pPr>
            <w:r>
              <w:t>0.0018</w:t>
            </w:r>
          </w:p>
        </w:tc>
        <w:tc>
          <w:tcPr>
            <w:tcW w:w="0" w:type="auto"/>
          </w:tcPr>
          <w:p w14:paraId="5F719502" w14:textId="77777777" w:rsidR="000A2783" w:rsidRDefault="00000000">
            <w:pPr>
              <w:pStyle w:val="Compact"/>
            </w:pPr>
            <w:r>
              <w:t>9.3%</w:t>
            </w:r>
          </w:p>
        </w:tc>
        <w:tc>
          <w:tcPr>
            <w:tcW w:w="0" w:type="auto"/>
          </w:tcPr>
          <w:p w14:paraId="236E49E4" w14:textId="77777777" w:rsidR="000A2783" w:rsidRDefault="00000000">
            <w:pPr>
              <w:pStyle w:val="Compact"/>
            </w:pPr>
            <w:r>
              <w:t>0.1101</w:t>
            </w:r>
          </w:p>
        </w:tc>
        <w:tc>
          <w:tcPr>
            <w:tcW w:w="0" w:type="auto"/>
          </w:tcPr>
          <w:p w14:paraId="59157356" w14:textId="77777777" w:rsidR="000A2783" w:rsidRDefault="00000000">
            <w:pPr>
              <w:pStyle w:val="Compact"/>
            </w:pPr>
            <w:r>
              <w:t>100%</w:t>
            </w:r>
          </w:p>
        </w:tc>
      </w:tr>
      <w:tr w:rsidR="000A2783" w14:paraId="2670F25A" w14:textId="77777777">
        <w:tc>
          <w:tcPr>
            <w:tcW w:w="0" w:type="auto"/>
          </w:tcPr>
          <w:p w14:paraId="5DFE9FB7" w14:textId="77777777" w:rsidR="000A2783" w:rsidRDefault="00000000">
            <w:pPr>
              <w:pStyle w:val="Compact"/>
            </w:pPr>
            <w:r>
              <w:t>RootMxc1</w:t>
            </w:r>
          </w:p>
        </w:tc>
        <w:tc>
          <w:tcPr>
            <w:tcW w:w="0" w:type="auto"/>
          </w:tcPr>
          <w:p w14:paraId="0C422785" w14:textId="77777777" w:rsidR="000A2783" w:rsidRDefault="00000000">
            <w:pPr>
              <w:pStyle w:val="Compact"/>
            </w:pPr>
            <w:r>
              <w:t>0.0019</w:t>
            </w:r>
          </w:p>
        </w:tc>
        <w:tc>
          <w:tcPr>
            <w:tcW w:w="0" w:type="auto"/>
          </w:tcPr>
          <w:p w14:paraId="60F2CC57" w14:textId="77777777" w:rsidR="000A2783" w:rsidRDefault="00000000">
            <w:pPr>
              <w:pStyle w:val="Compact"/>
            </w:pPr>
            <w:r>
              <w:rPr>
                <w:b/>
                <w:bCs/>
              </w:rPr>
              <w:t>38.9%</w:t>
            </w:r>
          </w:p>
        </w:tc>
        <w:tc>
          <w:tcPr>
            <w:tcW w:w="0" w:type="auto"/>
          </w:tcPr>
          <w:p w14:paraId="5D961A31" w14:textId="77777777" w:rsidR="000A2783" w:rsidRDefault="00000000">
            <w:pPr>
              <w:pStyle w:val="Compact"/>
            </w:pPr>
            <w:r>
              <w:t>0.0008</w:t>
            </w:r>
          </w:p>
        </w:tc>
        <w:tc>
          <w:tcPr>
            <w:tcW w:w="0" w:type="auto"/>
          </w:tcPr>
          <w:p w14:paraId="6277BBEA" w14:textId="77777777" w:rsidR="000A2783" w:rsidRDefault="00000000">
            <w:pPr>
              <w:pStyle w:val="Compact"/>
            </w:pPr>
            <w:r>
              <w:t>18.5%</w:t>
            </w:r>
          </w:p>
        </w:tc>
      </w:tr>
      <w:tr w:rsidR="000A2783" w14:paraId="5D5D7AD5" w14:textId="77777777">
        <w:tc>
          <w:tcPr>
            <w:tcW w:w="0" w:type="auto"/>
          </w:tcPr>
          <w:p w14:paraId="560E2137" w14:textId="77777777" w:rsidR="000A2783" w:rsidRDefault="00000000">
            <w:pPr>
              <w:pStyle w:val="Compact"/>
            </w:pPr>
            <w:r>
              <w:t>RootMyc1</w:t>
            </w:r>
          </w:p>
        </w:tc>
        <w:tc>
          <w:tcPr>
            <w:tcW w:w="0" w:type="auto"/>
          </w:tcPr>
          <w:p w14:paraId="771D0F7F" w14:textId="77777777" w:rsidR="000A2783" w:rsidRDefault="00000000">
            <w:pPr>
              <w:pStyle w:val="Compact"/>
            </w:pPr>
            <w:r>
              <w:t>0.0029</w:t>
            </w:r>
          </w:p>
        </w:tc>
        <w:tc>
          <w:tcPr>
            <w:tcW w:w="0" w:type="auto"/>
          </w:tcPr>
          <w:p w14:paraId="30E87725" w14:textId="77777777" w:rsidR="000A2783" w:rsidRDefault="00000000">
            <w:pPr>
              <w:pStyle w:val="Compact"/>
            </w:pPr>
            <w:r>
              <w:t>16.7%</w:t>
            </w:r>
          </w:p>
        </w:tc>
        <w:tc>
          <w:tcPr>
            <w:tcW w:w="0" w:type="auto"/>
          </w:tcPr>
          <w:p w14:paraId="612F9198" w14:textId="77777777" w:rsidR="000A2783" w:rsidRDefault="00000000">
            <w:pPr>
              <w:pStyle w:val="Compact"/>
            </w:pPr>
            <w:r>
              <w:t>0.0042</w:t>
            </w:r>
          </w:p>
        </w:tc>
        <w:tc>
          <w:tcPr>
            <w:tcW w:w="0" w:type="auto"/>
          </w:tcPr>
          <w:p w14:paraId="78F1552C" w14:textId="77777777" w:rsidR="000A2783" w:rsidRDefault="00000000">
            <w:pPr>
              <w:pStyle w:val="Compact"/>
            </w:pPr>
            <w:r>
              <w:t>18.5%</w:t>
            </w:r>
          </w:p>
        </w:tc>
      </w:tr>
      <w:tr w:rsidR="000A2783" w14:paraId="3CD00E21" w14:textId="77777777">
        <w:tc>
          <w:tcPr>
            <w:tcW w:w="0" w:type="auto"/>
          </w:tcPr>
          <w:p w14:paraId="663E3556" w14:textId="77777777" w:rsidR="000A2783" w:rsidRDefault="00000000">
            <w:pPr>
              <w:pStyle w:val="Compact"/>
            </w:pPr>
            <w:r>
              <w:t>TwrBsMyt</w:t>
            </w:r>
          </w:p>
        </w:tc>
        <w:tc>
          <w:tcPr>
            <w:tcW w:w="0" w:type="auto"/>
          </w:tcPr>
          <w:p w14:paraId="7B911D06" w14:textId="77777777" w:rsidR="000A2783" w:rsidRDefault="00000000">
            <w:pPr>
              <w:pStyle w:val="Compact"/>
            </w:pPr>
            <w:r>
              <w:t>0.0058</w:t>
            </w:r>
          </w:p>
        </w:tc>
        <w:tc>
          <w:tcPr>
            <w:tcW w:w="0" w:type="auto"/>
          </w:tcPr>
          <w:p w14:paraId="091367E5" w14:textId="77777777" w:rsidR="000A2783" w:rsidRDefault="00000000">
            <w:pPr>
              <w:pStyle w:val="Compact"/>
            </w:pPr>
            <w:r>
              <w:rPr>
                <w:b/>
                <w:bCs/>
              </w:rPr>
              <w:t>27.8%</w:t>
            </w:r>
          </w:p>
        </w:tc>
        <w:tc>
          <w:tcPr>
            <w:tcW w:w="0" w:type="auto"/>
          </w:tcPr>
          <w:p w14:paraId="48856148" w14:textId="77777777" w:rsidR="000A2783" w:rsidRDefault="00000000">
            <w:pPr>
              <w:pStyle w:val="Compact"/>
            </w:pPr>
            <w:r>
              <w:t>0.0230</w:t>
            </w:r>
          </w:p>
        </w:tc>
        <w:tc>
          <w:tcPr>
            <w:tcW w:w="0" w:type="auto"/>
          </w:tcPr>
          <w:p w14:paraId="3FF1DDA0" w14:textId="77777777" w:rsidR="000A2783" w:rsidRDefault="00000000">
            <w:pPr>
              <w:pStyle w:val="Compact"/>
            </w:pPr>
            <w:r>
              <w:t>61.1%</w:t>
            </w:r>
          </w:p>
        </w:tc>
      </w:tr>
    </w:tbl>
    <w:p w14:paraId="14BADB03" w14:textId="77777777" w:rsidR="000A2783" w:rsidRDefault="00000000">
      <w:pPr>
        <w:pStyle w:val="BodyText"/>
      </w:pPr>
      <w:r>
        <w:t>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5F70BF74"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0A2783" w14:paraId="2BCBFB27"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320" w:type="dxa"/>
          </w:tcPr>
          <w:p w14:paraId="036DBC48" w14:textId="77777777" w:rsidR="000A2783" w:rsidRDefault="00000000">
            <w:pPr>
              <w:pStyle w:val="Compact"/>
            </w:pPr>
            <w:r>
              <w:t>Wind speed</w:t>
            </w:r>
          </w:p>
        </w:tc>
        <w:tc>
          <w:tcPr>
            <w:tcW w:w="1320" w:type="dxa"/>
          </w:tcPr>
          <w:p w14:paraId="23DCC24B" w14:textId="77777777" w:rsidR="000A2783" w:rsidRDefault="00000000">
            <w:pPr>
              <w:pStyle w:val="Compact"/>
            </w:pPr>
            <w:r>
              <w:t>n</w:t>
            </w:r>
          </w:p>
        </w:tc>
        <w:tc>
          <w:tcPr>
            <w:tcW w:w="1320" w:type="dxa"/>
          </w:tcPr>
          <w:p w14:paraId="67166A32" w14:textId="77777777" w:rsidR="000A2783" w:rsidRDefault="00000000">
            <w:pPr>
              <w:pStyle w:val="Compact"/>
            </w:pPr>
            <w:r>
              <w:t>Wind→PtfmPitch mean (nats)</w:t>
            </w:r>
          </w:p>
        </w:tc>
        <w:tc>
          <w:tcPr>
            <w:tcW w:w="1320" w:type="dxa"/>
          </w:tcPr>
          <w:p w14:paraId="61F4EDC8" w14:textId="77777777" w:rsidR="000A2783" w:rsidRDefault="00000000">
            <w:pPr>
              <w:pStyle w:val="Compact"/>
            </w:pPr>
            <w:r>
              <w:t>Max</w:t>
            </w:r>
          </w:p>
        </w:tc>
        <w:tc>
          <w:tcPr>
            <w:tcW w:w="1320" w:type="dxa"/>
          </w:tcPr>
          <w:p w14:paraId="0C5307E6" w14:textId="77777777" w:rsidR="000A2783" w:rsidRDefault="00000000">
            <w:pPr>
              <w:pStyle w:val="Compact"/>
            </w:pPr>
            <w:r>
              <w:t>Sig.</w:t>
            </w:r>
          </w:p>
        </w:tc>
        <w:tc>
          <w:tcPr>
            <w:tcW w:w="1320" w:type="dxa"/>
          </w:tcPr>
          <w:p w14:paraId="6862A7CB" w14:textId="77777777" w:rsidR="000A2783" w:rsidRDefault="00000000">
            <w:pPr>
              <w:pStyle w:val="Compact"/>
            </w:pPr>
            <w:r>
              <w:t>Wave→PtfmPitch sig.</w:t>
            </w:r>
          </w:p>
        </w:tc>
      </w:tr>
      <w:tr w:rsidR="000A2783" w14:paraId="0CD7C213" w14:textId="77777777">
        <w:tc>
          <w:tcPr>
            <w:tcW w:w="1320" w:type="dxa"/>
          </w:tcPr>
          <w:p w14:paraId="4B6EC9EE" w14:textId="77777777" w:rsidR="000A2783" w:rsidRDefault="00000000">
            <w:pPr>
              <w:pStyle w:val="Compact"/>
            </w:pPr>
            <w:r>
              <w:t xml:space="preserve">8 m/s (below </w:t>
              <w:lastRenderedPageBreak/>
              <w:t>rated)</w:t>
            </w:r>
          </w:p>
        </w:tc>
        <w:tc>
          <w:tcPr>
            <w:tcW w:w="1320" w:type="dxa"/>
          </w:tcPr>
          <w:p w14:paraId="7445833A" w14:textId="77777777" w:rsidR="000A2783" w:rsidRDefault="00000000">
            <w:pPr>
              <w:pStyle w:val="Compact"/>
            </w:pPr>
            <w:r>
              <w:lastRenderedPageBreak/>
              <w:t>12</w:t>
            </w:r>
          </w:p>
        </w:tc>
        <w:tc>
          <w:tcPr>
            <w:tcW w:w="1320" w:type="dxa"/>
          </w:tcPr>
          <w:p w14:paraId="29C84B1F" w14:textId="77777777" w:rsidR="000A2783" w:rsidRDefault="00000000">
            <w:pPr>
              <w:pStyle w:val="Compact"/>
            </w:pPr>
            <w:r>
              <w:t>0.0000</w:t>
            </w:r>
          </w:p>
        </w:tc>
        <w:tc>
          <w:tcPr>
            <w:tcW w:w="1320" w:type="dxa"/>
          </w:tcPr>
          <w:p w14:paraId="03F6B244" w14:textId="77777777" w:rsidR="000A2783" w:rsidRDefault="00000000">
            <w:pPr>
              <w:pStyle w:val="Compact"/>
            </w:pPr>
            <w:r>
              <w:t>0.0000</w:t>
            </w:r>
          </w:p>
        </w:tc>
        <w:tc>
          <w:tcPr>
            <w:tcW w:w="1320" w:type="dxa"/>
          </w:tcPr>
          <w:p w14:paraId="2A21918D" w14:textId="77777777" w:rsidR="000A2783" w:rsidRDefault="00000000">
            <w:pPr>
              <w:pStyle w:val="Compact"/>
            </w:pPr>
            <w:r>
              <w:t>0%</w:t>
            </w:r>
          </w:p>
        </w:tc>
        <w:tc>
          <w:tcPr>
            <w:tcW w:w="1320" w:type="dxa"/>
          </w:tcPr>
          <w:p w14:paraId="64D9A690" w14:textId="77777777" w:rsidR="000A2783" w:rsidRDefault="00000000">
            <w:pPr>
              <w:pStyle w:val="Compact"/>
            </w:pPr>
            <w:r>
              <w:t>100%</w:t>
            </w:r>
          </w:p>
        </w:tc>
      </w:tr>
      <w:tr w:rsidR="000A2783" w14:paraId="77090287" w14:textId="77777777">
        <w:tc>
          <w:tcPr>
            <w:tcW w:w="1320" w:type="dxa"/>
          </w:tcPr>
          <w:p w14:paraId="4C3D0B9F" w14:textId="77777777" w:rsidR="000A2783" w:rsidRDefault="00000000">
            <w:pPr>
              <w:pStyle w:val="Compact"/>
            </w:pPr>
            <w:r>
              <w:t>11 m/s (near rated)</w:t>
            </w:r>
          </w:p>
        </w:tc>
        <w:tc>
          <w:tcPr>
            <w:tcW w:w="1320" w:type="dxa"/>
          </w:tcPr>
          <w:p w14:paraId="5CF3BFDB" w14:textId="77777777" w:rsidR="000A2783" w:rsidRDefault="00000000">
            <w:pPr>
              <w:pStyle w:val="Compact"/>
            </w:pPr>
            <w:r>
              <w:t>18</w:t>
            </w:r>
          </w:p>
        </w:tc>
        <w:tc>
          <w:tcPr>
            <w:tcW w:w="1320" w:type="dxa"/>
          </w:tcPr>
          <w:p w14:paraId="0E142062" w14:textId="77777777" w:rsidR="000A2783" w:rsidRDefault="00000000">
            <w:pPr>
              <w:pStyle w:val="Compact"/>
            </w:pPr>
            <w:r>
              <w:t>0.0016</w:t>
            </w:r>
          </w:p>
        </w:tc>
        <w:tc>
          <w:tcPr>
            <w:tcW w:w="1320" w:type="dxa"/>
          </w:tcPr>
          <w:p w14:paraId="352B11B0" w14:textId="77777777" w:rsidR="000A2783" w:rsidRDefault="00000000">
            <w:pPr>
              <w:pStyle w:val="Compact"/>
            </w:pPr>
            <w:r>
              <w:t>0.0293</w:t>
            </w:r>
          </w:p>
        </w:tc>
        <w:tc>
          <w:tcPr>
            <w:tcW w:w="1320" w:type="dxa"/>
          </w:tcPr>
          <w:p w14:paraId="50526EB8" w14:textId="77777777" w:rsidR="000A2783" w:rsidRDefault="00000000">
            <w:pPr>
              <w:pStyle w:val="Compact"/>
            </w:pPr>
            <w:r>
              <w:t>5.6%</w:t>
            </w:r>
          </w:p>
        </w:tc>
        <w:tc>
          <w:tcPr>
            <w:tcW w:w="1320" w:type="dxa"/>
          </w:tcPr>
          <w:p w14:paraId="056E6443" w14:textId="77777777" w:rsidR="000A2783" w:rsidRDefault="00000000">
            <w:pPr>
              <w:pStyle w:val="Compact"/>
            </w:pPr>
            <w:r>
              <w:t>100%</w:t>
            </w:r>
          </w:p>
        </w:tc>
      </w:tr>
      <w:tr w:rsidR="000A2783" w14:paraId="12957C75" w14:textId="77777777">
        <w:tc>
          <w:tcPr>
            <w:tcW w:w="1320" w:type="dxa"/>
          </w:tcPr>
          <w:p w14:paraId="2FB2EAFB" w14:textId="77777777" w:rsidR="000A2783" w:rsidRDefault="00000000">
            <w:pPr>
              <w:pStyle w:val="Compact"/>
            </w:pPr>
            <w:r>
              <w:t>15 m/s (above rated)</w:t>
            </w:r>
          </w:p>
        </w:tc>
        <w:tc>
          <w:tcPr>
            <w:tcW w:w="1320" w:type="dxa"/>
          </w:tcPr>
          <w:p w14:paraId="7DED756C" w14:textId="77777777" w:rsidR="000A2783" w:rsidRDefault="00000000">
            <w:pPr>
              <w:pStyle w:val="Compact"/>
            </w:pPr>
            <w:r>
              <w:t>12</w:t>
            </w:r>
          </w:p>
        </w:tc>
        <w:tc>
          <w:tcPr>
            <w:tcW w:w="1320" w:type="dxa"/>
          </w:tcPr>
          <w:p w14:paraId="19BEB310" w14:textId="77777777" w:rsidR="000A2783" w:rsidRDefault="00000000">
            <w:pPr>
              <w:pStyle w:val="Compact"/>
            </w:pPr>
            <w:r>
              <w:t>0.0018</w:t>
            </w:r>
          </w:p>
        </w:tc>
        <w:tc>
          <w:tcPr>
            <w:tcW w:w="1320" w:type="dxa"/>
          </w:tcPr>
          <w:p w14:paraId="43E825FC" w14:textId="77777777" w:rsidR="000A2783" w:rsidRDefault="00000000">
            <w:pPr>
              <w:pStyle w:val="Compact"/>
            </w:pPr>
            <w:r>
              <w:t>0.0218</w:t>
            </w:r>
          </w:p>
        </w:tc>
        <w:tc>
          <w:tcPr>
            <w:tcW w:w="1320" w:type="dxa"/>
          </w:tcPr>
          <w:p w14:paraId="3C05FEBA" w14:textId="77777777" w:rsidR="000A2783" w:rsidRDefault="00000000">
            <w:pPr>
              <w:pStyle w:val="Compact"/>
            </w:pPr>
            <w:r>
              <w:t>8.3%</w:t>
            </w:r>
          </w:p>
        </w:tc>
        <w:tc>
          <w:tcPr>
            <w:tcW w:w="1320" w:type="dxa"/>
          </w:tcPr>
          <w:p w14:paraId="4D09F8AA" w14:textId="77777777" w:rsidR="000A2783" w:rsidRDefault="00000000">
            <w:pPr>
              <w:pStyle w:val="Compact"/>
            </w:pPr>
            <w:r>
              <w:t>100%</w:t>
            </w:r>
          </w:p>
        </w:tc>
      </w:tr>
      <w:tr w:rsidR="000A2783" w14:paraId="45F983DC" w14:textId="77777777">
        <w:tc>
          <w:tcPr>
            <w:tcW w:w="1320" w:type="dxa"/>
          </w:tcPr>
          <w:p w14:paraId="0BD46129" w14:textId="77777777" w:rsidR="000A2783" w:rsidRDefault="00000000">
            <w:pPr>
              <w:pStyle w:val="Compact"/>
            </w:pPr>
            <w:r>
              <w:t>20 m/s (well above rated)</w:t>
            </w:r>
          </w:p>
        </w:tc>
        <w:tc>
          <w:tcPr>
            <w:tcW w:w="1320" w:type="dxa"/>
          </w:tcPr>
          <w:p w14:paraId="6DA00E66" w14:textId="77777777" w:rsidR="000A2783" w:rsidRDefault="00000000">
            <w:pPr>
              <w:pStyle w:val="Compact"/>
            </w:pPr>
            <w:r>
              <w:t>12</w:t>
            </w:r>
          </w:p>
        </w:tc>
        <w:tc>
          <w:tcPr>
            <w:tcW w:w="1320" w:type="dxa"/>
          </w:tcPr>
          <w:p w14:paraId="30555B36" w14:textId="77777777" w:rsidR="000A2783" w:rsidRDefault="00000000">
            <w:pPr>
              <w:pStyle w:val="Compact"/>
            </w:pPr>
            <w:r>
              <w:t>0.0000</w:t>
            </w:r>
          </w:p>
        </w:tc>
        <w:tc>
          <w:tcPr>
            <w:tcW w:w="1320" w:type="dxa"/>
          </w:tcPr>
          <w:p w14:paraId="5598FFB5" w14:textId="77777777" w:rsidR="000A2783" w:rsidRDefault="00000000">
            <w:pPr>
              <w:pStyle w:val="Compact"/>
            </w:pPr>
            <w:r>
              <w:t>0.0000</w:t>
            </w:r>
          </w:p>
        </w:tc>
        <w:tc>
          <w:tcPr>
            <w:tcW w:w="1320" w:type="dxa"/>
          </w:tcPr>
          <w:p w14:paraId="69969B77" w14:textId="77777777" w:rsidR="000A2783" w:rsidRDefault="00000000">
            <w:pPr>
              <w:pStyle w:val="Compact"/>
            </w:pPr>
            <w:r>
              <w:t>0%</w:t>
            </w:r>
          </w:p>
        </w:tc>
        <w:tc>
          <w:tcPr>
            <w:tcW w:w="1320" w:type="dxa"/>
          </w:tcPr>
          <w:p w14:paraId="51D726D4" w14:textId="77777777" w:rsidR="000A2783" w:rsidRDefault="00000000">
            <w:pPr>
              <w:pStyle w:val="Compact"/>
            </w:pPr>
            <w:r>
              <w:t>100%</w:t>
            </w:r>
          </w:p>
        </w:tc>
      </w:tr>
    </w:tbl>
    <w:p w14:paraId="10445788" w14:textId="77777777" w:rsidR="000A2783" w:rsidRDefault="00000000">
      <w:pPr>
        <w:pStyle w:val="BodyText"/>
      </w:pPr>
      <w:r>
        <w:t>Figure 4 renders the overall pattern as a directed network: a dense wave→platform→mooring web beside an almost empty wind→platform channel.</w:t>
      </w:r>
    </w:p>
    <w:p w14:paraId="28DEB042"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8"/>
                    <a:stretch>
                      <a:fillRect/>
                    </a:stretch>
                  </pic:blipFill>
                  <pic:spPr bwMode="auto">
                    <a:xfrm>
                      <a:off x="0" y="0"/>
                      <a:ext cx="5334000" cy="3674845"/>
                    </a:xfrm>
                    <a:prstGeom prst="rect">
                      <a:avLst/>
                    </a:prstGeom>
                    <a:noFill/>
                    <a:ln w="9525">
                      <a:noFill/>
                      <a:headEnd/>
                      <a:tailEnd/>
                    </a:ln>
                  </pic:spPr>
                </pic:pic>
              </a:graphicData>
            </a:graphic>
          </wp:inline>
        </w:drawing>
      </w:r>
    </w:p>
    <w:p w14:paraId="021CA222" w14:textId="77777777" w:rsidR="000A2783" w:rsidRDefault="00000000">
      <w:pPr>
        <w:pStyle w:val="BodyText"/>
      </w:pPr>
      <w:r>
        <w:rPr>
          <w:b/>
          <w:bCs/>
        </w:rPr>
        <w:t>Figure 4.</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 transfer entropy normalized by the target’s active-information storage — over the 54 cases. Wave forcing (solid, blue; edge width proportional to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propagates through platform motion into mooring and structural loads and is significant in the majority of cases. Wind forcing (dashed, red) reaches only the blade-root and tower-base load channels, and then only intermittently — labels give the fraction of cases in which each wind edge is significant — while carrying no significant information into the platform rigid-body motions: the information firewall.</w:t>
      </w:r>
    </w:p>
    <w:p w14:paraId="1F8490C6" w14:textId="77777777" w:rsidR="000A2783" w:rsidRDefault="00000000">
      <w:pPr>
        <w:pStyle w:val="BodyText"/>
      </w:pPr>
      <w:r>
        <w:lastRenderedPageBreak/>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3BB2CC08" w14:textId="77777777" w:rsidR="000A2783" w:rsidRDefault="00000000">
      <w:pPr>
        <w:pStyle w:val="Heading3"/>
      </w:pPr>
      <w:bookmarkStart w:id="16" w:name="X329645ea136a336337399132154270a0c3d9b0d"/>
      <w:bookmarkEnd w:id="15"/>
      <w:r>
        <w:t>3.2 Why coherence is insufficient: shared power is not directed influence</w:t>
      </w:r>
    </w:p>
    <w:p w14:paraId="554A200D"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17BC881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tblLook w:val="0020" w:firstRow="1" w:lastRow="0" w:firstColumn="0" w:lastColumn="0" w:noHBand="0" w:noVBand="0"/>
      </w:tblPr>
      <w:tblGrid>
        <w:gridCol w:w="1368"/>
        <w:gridCol w:w="1740"/>
        <w:gridCol w:w="2923"/>
      </w:tblGrid>
      <w:tr w:rsidR="000A2783" w14:paraId="2B6BA0C2"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36BC9286" w14:textId="77777777" w:rsidR="000A2783" w:rsidRDefault="00000000">
            <w:pPr>
              <w:pStyle w:val="Compact"/>
            </w:pPr>
            <w:r>
              <w:t>Target</w:t>
            </w:r>
          </w:p>
        </w:tc>
        <w:tc>
          <w:tcPr>
            <w:tcW w:w="0" w:type="auto"/>
          </w:tcPr>
          <w:p w14:paraId="7B4DE7CE" w14:textId="77777777" w:rsidR="000A2783" w:rsidRDefault="00000000">
            <w:pPr>
              <w:pStyle w:val="Compact"/>
            </w:pPr>
            <w:r>
              <w:t>Peak γ² (linear)</w:t>
            </w:r>
          </w:p>
        </w:tc>
        <w:tc>
          <w:tcPr>
            <w:tcW w:w="0" w:type="auto"/>
          </w:tcPr>
          <w:p w14:paraId="76C2D4D3" w14:textId="77777777" w:rsidR="000A2783" w:rsidRDefault="00000000">
            <w:pPr>
              <w:pStyle w:val="Compact"/>
            </w:pPr>
            <w:r>
              <w:t>Wind→target TE significant</w:t>
            </w:r>
          </w:p>
        </w:tc>
      </w:tr>
      <w:tr w:rsidR="000A2783" w14:paraId="7C4F225C" w14:textId="77777777">
        <w:tc>
          <w:tcPr>
            <w:tcW w:w="0" w:type="auto"/>
          </w:tcPr>
          <w:p w14:paraId="5B0300ED" w14:textId="77777777" w:rsidR="000A2783" w:rsidRDefault="00000000">
            <w:pPr>
              <w:pStyle w:val="Compact"/>
            </w:pPr>
            <w:r>
              <w:t>PtfmPitch</w:t>
            </w:r>
          </w:p>
        </w:tc>
        <w:tc>
          <w:tcPr>
            <w:tcW w:w="0" w:type="auto"/>
          </w:tcPr>
          <w:p w14:paraId="1D4764C2" w14:textId="77777777" w:rsidR="000A2783" w:rsidRDefault="00000000">
            <w:pPr>
              <w:pStyle w:val="Compact"/>
            </w:pPr>
            <w:r>
              <w:t>0.72</w:t>
            </w:r>
          </w:p>
        </w:tc>
        <w:tc>
          <w:tcPr>
            <w:tcW w:w="0" w:type="auto"/>
          </w:tcPr>
          <w:p w14:paraId="56F12617" w14:textId="77777777" w:rsidR="000A2783" w:rsidRDefault="00000000">
            <w:pPr>
              <w:pStyle w:val="Compact"/>
            </w:pPr>
            <w:r>
              <w:t>3.7%</w:t>
            </w:r>
          </w:p>
        </w:tc>
      </w:tr>
      <w:tr w:rsidR="000A2783" w14:paraId="407503A2" w14:textId="77777777">
        <w:tc>
          <w:tcPr>
            <w:tcW w:w="0" w:type="auto"/>
          </w:tcPr>
          <w:p w14:paraId="02E613BE" w14:textId="77777777" w:rsidR="000A2783" w:rsidRDefault="00000000">
            <w:pPr>
              <w:pStyle w:val="Compact"/>
            </w:pPr>
            <w:r>
              <w:t>PtfmSurge</w:t>
            </w:r>
          </w:p>
        </w:tc>
        <w:tc>
          <w:tcPr>
            <w:tcW w:w="0" w:type="auto"/>
          </w:tcPr>
          <w:p w14:paraId="4F901E4A" w14:textId="77777777" w:rsidR="000A2783" w:rsidRDefault="00000000">
            <w:pPr>
              <w:pStyle w:val="Compact"/>
            </w:pPr>
            <w:r>
              <w:t>0.68</w:t>
            </w:r>
          </w:p>
        </w:tc>
        <w:tc>
          <w:tcPr>
            <w:tcW w:w="0" w:type="auto"/>
          </w:tcPr>
          <w:p w14:paraId="66E6D48D" w14:textId="77777777" w:rsidR="000A2783" w:rsidRDefault="00000000">
            <w:pPr>
              <w:pStyle w:val="Compact"/>
            </w:pPr>
            <w:r>
              <w:t>11.1%</w:t>
            </w:r>
          </w:p>
        </w:tc>
      </w:tr>
      <w:tr w:rsidR="000A2783" w14:paraId="50CB4C45" w14:textId="77777777">
        <w:tc>
          <w:tcPr>
            <w:tcW w:w="0" w:type="auto"/>
          </w:tcPr>
          <w:p w14:paraId="64193298" w14:textId="77777777" w:rsidR="000A2783" w:rsidRDefault="00000000">
            <w:pPr>
              <w:pStyle w:val="Compact"/>
            </w:pPr>
            <w:r>
              <w:t>PtfmHeave</w:t>
            </w:r>
          </w:p>
        </w:tc>
        <w:tc>
          <w:tcPr>
            <w:tcW w:w="0" w:type="auto"/>
          </w:tcPr>
          <w:p w14:paraId="35B6DBC5" w14:textId="77777777" w:rsidR="000A2783" w:rsidRDefault="00000000">
            <w:pPr>
              <w:pStyle w:val="Compact"/>
            </w:pPr>
            <w:r>
              <w:t>0.63</w:t>
            </w:r>
          </w:p>
        </w:tc>
        <w:tc>
          <w:tcPr>
            <w:tcW w:w="0" w:type="auto"/>
          </w:tcPr>
          <w:p w14:paraId="4319D348" w14:textId="77777777" w:rsidR="000A2783" w:rsidRDefault="00000000">
            <w:pPr>
              <w:pStyle w:val="Compact"/>
            </w:pPr>
            <w:r>
              <w:t>5.6%</w:t>
            </w:r>
          </w:p>
        </w:tc>
      </w:tr>
      <w:tr w:rsidR="000A2783" w14:paraId="19876F28" w14:textId="77777777">
        <w:tc>
          <w:tcPr>
            <w:tcW w:w="0" w:type="auto"/>
          </w:tcPr>
          <w:p w14:paraId="2239C81D" w14:textId="77777777" w:rsidR="000A2783" w:rsidRDefault="00000000">
            <w:pPr>
              <w:pStyle w:val="Compact"/>
            </w:pPr>
            <w:r>
              <w:t>RootMyc1</w:t>
            </w:r>
          </w:p>
        </w:tc>
        <w:tc>
          <w:tcPr>
            <w:tcW w:w="0" w:type="auto"/>
          </w:tcPr>
          <w:p w14:paraId="1DBEBA3B" w14:textId="77777777" w:rsidR="000A2783" w:rsidRDefault="00000000">
            <w:pPr>
              <w:pStyle w:val="Compact"/>
            </w:pPr>
            <w:r>
              <w:t>0.72</w:t>
            </w:r>
          </w:p>
        </w:tc>
        <w:tc>
          <w:tcPr>
            <w:tcW w:w="0" w:type="auto"/>
          </w:tcPr>
          <w:p w14:paraId="38FB3E07" w14:textId="77777777" w:rsidR="000A2783" w:rsidRDefault="00000000">
            <w:pPr>
              <w:pStyle w:val="Compact"/>
            </w:pPr>
            <w:r>
              <w:t>16.7%</w:t>
            </w:r>
          </w:p>
        </w:tc>
      </w:tr>
      <w:tr w:rsidR="000A2783" w14:paraId="57041919" w14:textId="77777777">
        <w:tc>
          <w:tcPr>
            <w:tcW w:w="0" w:type="auto"/>
          </w:tcPr>
          <w:p w14:paraId="7BC0187C" w14:textId="77777777" w:rsidR="000A2783" w:rsidRDefault="00000000">
            <w:pPr>
              <w:pStyle w:val="Compact"/>
            </w:pPr>
            <w:r>
              <w:t>TwrBsMyt</w:t>
            </w:r>
          </w:p>
        </w:tc>
        <w:tc>
          <w:tcPr>
            <w:tcW w:w="0" w:type="auto"/>
          </w:tcPr>
          <w:p w14:paraId="13784DC7" w14:textId="77777777" w:rsidR="000A2783" w:rsidRDefault="00000000">
            <w:pPr>
              <w:pStyle w:val="Compact"/>
            </w:pPr>
            <w:r>
              <w:t>0.71</w:t>
            </w:r>
          </w:p>
        </w:tc>
        <w:tc>
          <w:tcPr>
            <w:tcW w:w="0" w:type="auto"/>
          </w:tcPr>
          <w:p w14:paraId="094C812C" w14:textId="77777777" w:rsidR="000A2783" w:rsidRDefault="00000000">
            <w:pPr>
              <w:pStyle w:val="Compact"/>
            </w:pPr>
            <w:r>
              <w:t>27.8%</w:t>
            </w:r>
          </w:p>
        </w:tc>
      </w:tr>
    </w:tbl>
    <w:p w14:paraId="5343C30D"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699EA3EF" w14:textId="77777777" w:rsidR="000A2783" w:rsidRDefault="00000000">
      <w:pPr>
        <w:pStyle w:val="Heading3"/>
      </w:pPr>
      <w:bookmarkStart w:id="17" w:name="Xcc4ebbf68ba2fc398a850dd152d287cb0633c7f"/>
      <w:bookmarkEnd w:id="16"/>
      <w:r>
        <w:t>3.3 Attribution: the controller is the firewall</w:t>
      </w:r>
    </w:p>
    <w:p w14:paraId="0603FC57" w14:textId="77777777" w:rsidR="000A2783" w:rsidRDefault="00000000">
      <w:pPr>
        <w:pStyle w:val="FirstParagraph"/>
      </w:pPr>
      <w:r>
        <w:t>Two independent lines of evidence rule out the alternative explanation that wind→platform TE is zero merely because wave forcing dominates platform motion.</w:t>
      </w:r>
    </w:p>
    <w:p w14:paraId="61F45A63"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w:t>
        <w:lastRenderedPageBreak/>
        <w:t>captured by the blade-pitch command. Across the healthy population the SURD wind-into-blade-pitch term (</w:t>
      </w:r>
      <w:r>
        <w:rPr>
          <w:rStyle w:val="VerbatimChar"/>
        </w:rPr>
        <w:t>surd_wind_into_bldpitch</w:t>
      </w:r>
      <w:r>
        <w:t xml:space="preserve">) averages ≈ 0.4 in the normalized units of §2.7 — about 40% 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Figures for the SURD attribution (dose–response across operating region, and the TE-versus-SURD comparison) are shown in Figure 5.</w:t>
      </w:r>
    </w:p>
    <w:p w14:paraId="763C7E6C"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9"/>
                    <a:stretch>
                      <a:fillRect/>
                    </a:stretch>
                  </pic:blipFill>
                  <pic:spPr bwMode="auto">
                    <a:xfrm>
                      <a:off x="0" y="0"/>
                      <a:ext cx="5334000" cy="3027405"/>
                    </a:xfrm>
                    <a:prstGeom prst="rect">
                      <a:avLst/>
                    </a:prstGeom>
                    <a:noFill/>
                    <a:ln w="9525">
                      <a:noFill/>
                      <a:headEnd/>
                      <a:tailEnd/>
                    </a:ln>
                  </pic:spPr>
                </pic:pic>
              </a:graphicData>
            </a:graphic>
          </wp:inline>
        </w:drawing>
      </w:r>
    </w:p>
    <w:p w14:paraId="09CAFC1C" w14:textId="77777777" w:rsidR="000A2783" w:rsidRDefault="00000000">
      <w:pPr>
        <w:pStyle w:val="BodyText"/>
      </w:pPr>
      <w:r>
        <w:rPr>
          <w:b/>
          <w:bCs/>
        </w:rPr>
        <w:t>Figure 5a.</w:t>
      </w:r>
      <w:r>
        <w:t xml:space="preserve"> SURD firewall dose–response. The controller’s capture of wind information (and hence firewall strength) scales with operating region, strengthening at and above rated where collective pitch is actively regulating thrust.</w:t>
      </w:r>
    </w:p>
    <w:p w14:paraId="4B366FD9"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0"/>
                    <a:stretch>
                      <a:fillRect/>
                    </a:stretch>
                  </pic:blipFill>
                  <pic:spPr bwMode="auto">
                    <a:xfrm>
                      <a:off x="0" y="0"/>
                      <a:ext cx="5334000" cy="3171567"/>
                    </a:xfrm>
                    <a:prstGeom prst="rect">
                      <a:avLst/>
                    </a:prstGeom>
                    <a:noFill/>
                    <a:ln w="9525">
                      <a:noFill/>
                      <a:headEnd/>
                      <a:tailEnd/>
                    </a:ln>
                  </pic:spPr>
                </pic:pic>
              </a:graphicData>
            </a:graphic>
          </wp:inline>
        </w:drawing>
      </w:r>
    </w:p>
    <w:p w14:paraId="026DC216" w14:textId="77777777" w:rsidR="000A2783" w:rsidRDefault="00000000">
      <w:pPr>
        <w:pStyle w:val="BodyText"/>
      </w:pPr>
      <w:r>
        <w:rPr>
          <w:b/>
          <w:bCs/>
        </w:rPr>
        <w:t>Figure 5b.</w:t>
      </w:r>
      <w:r>
        <w:t xml:space="preserve"> SURD versus pairwise TE. Where pairwise TE(Wind→platform) reads zero, SURD shows the corresponding wind information residing in the blade-pitch channel — the firewall is redirection, not absence.</w:t>
      </w:r>
    </w:p>
    <w:p w14:paraId="47BB68D5" w14:textId="77777777"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organises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BB19EFA"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w:t>
        <w:lastRenderedPageBreak/>
        <w:t xml:space="preserve">This is read cautiously rather than as a refutation. It is one realization (a single 11 m/s seed), and disabling the loop with prescribed pitch is not a pitch fault, so this twin is a robustness probe of the attribution </w:t>
      </w:r>
      <w:r>
        <w:rPr>
          <w:i/>
          <w:iCs/>
        </w:rPr>
        <w:t>mechanism</w:t>
      </w:r>
      <w:r>
        <w:t>, not the monitoring test of Section 3.4, which requires an injected pitch fault and remains uncomputed. The most natural reading consistent with the null is that part of the firewall is structural rather than exclusively control-erected — the 240-m rotor spatially filters the small-scale point-wind fluctuations, so the platform never receives that information whether or not the loop is closed (§4.1); disentangling the structural from the control-erected share is exactly what the rotor-averaged-wind check and the graded-fault campaign of Section 4.3 are designed to provide. The attribution actually claimed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the control interpretation — with the collective-pitch loop inactive at 8 m/s, TE(Wind → platform) is identically zero — but it is not leaned on for attribution,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w:t>
      </w:r>
    </w:p>
    <w:p w14:paraId="682CC75E"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1"/>
                    <a:stretch>
                      <a:fillRect/>
                    </a:stretch>
                  </pic:blipFill>
                  <pic:spPr bwMode="auto">
                    <a:xfrm>
                      <a:off x="0" y="0"/>
                      <a:ext cx="5334000" cy="2594918"/>
                    </a:xfrm>
                    <a:prstGeom prst="rect">
                      <a:avLst/>
                    </a:prstGeom>
                    <a:noFill/>
                    <a:ln w="9525">
                      <a:noFill/>
                      <a:headEnd/>
                      <a:tailEnd/>
                    </a:ln>
                  </pic:spPr>
                </pic:pic>
              </a:graphicData>
            </a:graphic>
          </wp:inline>
        </w:drawing>
      </w:r>
    </w:p>
    <w:p w14:paraId="18E94661" w14:textId="77777777" w:rsidR="000A2783" w:rsidRDefault="00000000">
      <w:pPr>
        <w:pStyle w:val="BodyText"/>
      </w:pPr>
      <w:r>
        <w:rPr>
          <w:b/>
          <w:bCs/>
        </w:rPr>
        <w:t>Figure 5c.</w:t>
      </w:r>
      <w:r>
        <w:t xml:space="preserve"> Open-loop twin (11 m/s).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83DB9ED" w14:textId="77777777" w:rsidR="000A2783" w:rsidRDefault="00000000">
      <w:pPr>
        <w:pStyle w:val="BodyText"/>
      </w:pPr>
      <w:r>
        <w:t>Figure 6 assembles the full picture: the significant wave-driven causal web, the wind information routed into and held by the controller, and the empty wind→platform channel that defines the healthy signature.</w:t>
      </w:r>
    </w:p>
    <w:p w14:paraId="031285E7"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2"/>
                    <a:stretch>
                      <a:fillRect/>
                    </a:stretch>
                  </pic:blipFill>
                  <pic:spPr bwMode="auto">
                    <a:xfrm>
                      <a:off x="0" y="0"/>
                      <a:ext cx="5334000" cy="3564094"/>
                    </a:xfrm>
                    <a:prstGeom prst="rect">
                      <a:avLst/>
                    </a:prstGeom>
                    <a:noFill/>
                    <a:ln w="9525">
                      <a:noFill/>
                      <a:headEnd/>
                      <a:tailEnd/>
                    </a:ln>
                  </pic:spPr>
                </pic:pic>
              </a:graphicData>
            </a:graphic>
          </wp:inline>
        </w:drawing>
      </w:r>
    </w:p>
    <w:p w14:paraId="78A7A95C" w14:textId="77777777" w:rsidR="000A2783" w:rsidRDefault="00000000">
      <w:pPr>
        <w:pStyle w:val="BodyText"/>
      </w:pPr>
      <w:r>
        <w:rPr>
          <w:b/>
          <w:bCs/>
        </w:rPr>
        <w:t>Figure 6.</w:t>
      </w:r>
      <w:r>
        <w:t xml:space="preserve"> Combined causal graph. Directed TE edges (wave-driven, blue) plus the SURD-attributed capture of wind information by blade pitch. The healthy FOWT presents an empty wind→platform edge — the firewall — while the wind information is accounted for inside the control loop.</w:t>
      </w:r>
    </w:p>
    <w:p w14:paraId="53192256" w14:textId="77777777" w:rsidR="000A2783" w:rsidRDefault="00000000">
      <w:pPr>
        <w:pStyle w:val="Heading3"/>
      </w:pPr>
      <w:bookmarkStart w:id="18" w:name="a-monitoring-hypothesis-not-yet-tested"/>
      <w:bookmarkEnd w:id="17"/>
      <w:r>
        <w:t>3.4 A monitoring hypothesis, not yet tested</w:t>
      </w:r>
    </w:p>
    <w:p w14:paraId="06472E03" w14:textId="77777777" w:rsidR="000A2783" w:rsidRDefault="00000000">
      <w:pPr>
        <w:pStyle w:val="FirstParagraph"/>
      </w:pPr>
      <w:r>
        <w:t>The firewall suggests a diagnostic, and it is worth stating the hypothesis precisely and then stating, equally precisely, why the present data do not yet test it. The hypothesis: because a healthy controller holds wind→platform-pitch TE at a near-zero baseline — with a ceiling of ≈ 0.03 nats across the 42 healthy simulations — a fault that degrades thrust regulation should re-admit wind information into the structure and lift TE above that ceiling. (The healthy population is the 42 control-active simulations, distinct from the 54-run full campaign used for the firewall statistics of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w:t>
      </w:r>
    </w:p>
    <w:p w14:paraId="73BCEAB9" w14:textId="77777777" w:rsidR="000A2783" w:rsidRDefault="00000000">
      <w:pPr>
        <w:pStyle w:val="BodyText"/>
      </w:pPr>
      <w:r>
        <w:t xml:space="preserve">The hypothesis is not tested here, for two reasons made explicit rather than papered over. First, the dataset contains no </w:t>
      </w:r>
      <w:r>
        <w:rPr>
          <w:i/>
          <w:iCs/>
        </w:rPr>
        <w:t>injected</w:t>
      </w:r>
      <w:r>
        <w:t xml:space="preserve"> pitch fault. The one fault-adjacent run available — the open-loop twin of §3.3, in which blade pitch is held fixed and the thrust loop is opened — has had its wind→platform transfer entropy computed, and it is a null: it does not breach the healthy ≈ 0.03-nats ceiling, and the null is genuine rather than an estimator failure </w:t>
        <w:lastRenderedPageBreak/>
        <w:t xml:space="preserve">because the same run still recovers a significant control-channel edge (§3.3). But opening the loop with prescribed pitch is not an injected pitch fault, and it is a single realization, so that twin probes the attribution </w:t>
      </w:r>
      <w:r>
        <w:rPr>
          <w:i/>
          <w:iCs/>
        </w:rPr>
        <w:t>mechanism</w:t>
      </w:r>
      <w:r>
        <w:t xml:space="preserve">, not the monitoring hypothesis; the dedicated graded pitch-fault campaign the hypothesis actually requires (§4.3) is not run here. Second, and more importantly for anyone tempted to read a positive result into the healthy data, the two simulations the signature flags as “wind reaching the platform” (TE 0.022–0.029 nats) are exactly the number expected from chance at α = 0.05 (§3.1): they lie within the healthy band and at the permutation-test’s false-positive floor, so they are consistent with noise and cannot be read as a breach. In short, the present study establishes the </w:t>
      </w:r>
      <w:r>
        <w:rPr>
          <w:i/>
          <w:iCs/>
        </w:rPr>
        <w:t>baseline</w:t>
      </w:r>
      <w:r>
        <w:t xml:space="preserve"> against which a breach would be detected — a stable, near-zero, chance-floor-bounded healthy population — but it does not exhibit a breach. This baseline also sets a demanding bar for any future diagnostic, and it is flagged honestly here: the healthy ceiling (≈ 0.03 nats) and the chance-floor false positives (up to 0.029 nats) nearly coincide, so a genuine fault signature would have to clear a narrow, currently unquantified detection window to be distinguishable from noise. Establishing that a usable window exists is part of what the graded-fault campaign must show, not something the present data can assume. The diagnostic this motivates is developed as an outlook in Section 4.2, and the graded-fault campaign needed to test it is specified in Section 4.3.</w:t>
      </w:r>
    </w:p>
    <w:p w14:paraId="3185BFE8" w14:textId="77777777" w:rsidR="000A2783" w:rsidRDefault="00000000">
      <w:r>
        <w:pict w14:anchorId="003D3A5D">
          <v:rect id="_x0000_i1028" style="width:0;height:1.5pt" o:hralign="center" o:hrstd="t" o:hr="t"/>
        </w:pict>
      </w:r>
    </w:p>
    <w:p w14:paraId="731FF521" w14:textId="77777777" w:rsidR="000A2783" w:rsidRDefault="00000000">
      <w:pPr>
        <w:pStyle w:val="Heading3"/>
      </w:pPr>
      <w:bookmarkStart w:id="19" w:name="X8e688a56a85a0f5bd90d94aa268c5f43d640f3b"/>
      <w:bookmarkEnd w:id="18"/>
      <w:r>
        <w:t>3.5 Coupling delays and the delay-robustness of the firewall</w:t>
      </w:r>
    </w:p>
    <w:p w14:paraId="2C0BE8A1"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(§2.9) — for the significant wave-driven edges, averaged over the three analyzed severe-sea 11 m/s seeds (the DLC 1.6 set of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5FE822DB" w14:textId="77777777" w:rsidR="000A2783" w:rsidRDefault="00000000">
      <w:pPr>
        <w:pStyle w:val="BodyText"/>
      </w:pPr>
      <w:r>
        <w:rPr>
          <w:b/>
          <w:bCs/>
        </w:rPr>
        <w:t>Table 6.</w:t>
      </w:r>
      <w:r>
        <w:t xml:space="preserve"> Selected wave-coupling delay (the lag maximizing the delay-resolved TE within the first half wave period,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5440EA4C"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8E1881" w14:textId="77777777" w:rsidR="000A2783" w:rsidRDefault="00000000">
            <w:pPr>
              <w:pStyle w:val="Compact"/>
            </w:pPr>
            <w:r>
              <w:t>Edge</w:t>
            </w:r>
          </w:p>
        </w:tc>
        <w:tc>
          <w:tcPr>
            <w:tcW w:w="2640" w:type="dxa"/>
          </w:tcPr>
          <w:p w14:paraId="514EEABF" w14:textId="77777777" w:rsidR="000A2783" w:rsidRDefault="00000000">
            <w:pPr>
              <w:pStyle w:val="Compact"/>
            </w:pPr>
            <w:r>
              <w:t>Selected delay (s)</w:t>
            </w:r>
          </w:p>
        </w:tc>
        <w:tc>
          <w:tcPr>
            <w:tcW w:w="2640" w:type="dxa"/>
          </w:tcPr>
          <w:p w14:paraId="5B909214" w14:textId="77777777" w:rsidR="000A2783" w:rsidRDefault="00000000">
            <w:pPr>
              <w:pStyle w:val="Compact"/>
            </w:pPr>
            <w:r>
              <w:t>Reading</w:t>
            </w:r>
          </w:p>
        </w:tc>
      </w:tr>
      <w:tr w:rsidR="000A2783" w14:paraId="79DE5829" w14:textId="77777777">
        <w:tc>
          <w:tcPr>
            <w:tcW w:w="2640" w:type="dxa"/>
          </w:tcPr>
          <w:p w14:paraId="59694810" w14:textId="77777777" w:rsidR="000A2783" w:rsidRDefault="00000000">
            <w:pPr>
              <w:pStyle w:val="Compact"/>
            </w:pPr>
            <w:r>
              <w:lastRenderedPageBreak/>
              <w:t>Wave → PtfmPitch</w:t>
            </w:r>
          </w:p>
        </w:tc>
        <w:tc>
          <w:tcPr>
            <w:tcW w:w="2640" w:type="dxa"/>
          </w:tcPr>
          <w:p w14:paraId="36FE8194" w14:textId="77777777" w:rsidR="000A2783" w:rsidRDefault="00000000">
            <w:pPr>
              <w:pStyle w:val="Compact"/>
            </w:pPr>
            <w:r>
              <w:t>0.3</w:t>
            </w:r>
          </w:p>
        </w:tc>
        <w:tc>
          <w:tcPr>
            <w:tcW w:w="2640" w:type="dxa"/>
          </w:tcPr>
          <w:p w14:paraId="5CBDD697" w14:textId="77777777" w:rsidR="000A2783" w:rsidRDefault="00000000">
            <w:pPr>
              <w:pStyle w:val="Compact"/>
            </w:pPr>
            <w:r>
              <w:t>near-instantaneous overturning moment</w:t>
            </w:r>
          </w:p>
        </w:tc>
      </w:tr>
      <w:tr w:rsidR="000A2783" w14:paraId="633E60C7" w14:textId="77777777">
        <w:tc>
          <w:tcPr>
            <w:tcW w:w="2640" w:type="dxa"/>
          </w:tcPr>
          <w:p w14:paraId="61E92004" w14:textId="77777777" w:rsidR="000A2783" w:rsidRDefault="00000000">
            <w:pPr>
              <w:pStyle w:val="Compact"/>
            </w:pPr>
            <w:r>
              <w:t>Wave → PtfmHeave</w:t>
            </w:r>
          </w:p>
        </w:tc>
        <w:tc>
          <w:tcPr>
            <w:tcW w:w="2640" w:type="dxa"/>
          </w:tcPr>
          <w:p w14:paraId="477E34DC" w14:textId="77777777" w:rsidR="000A2783" w:rsidRDefault="00000000">
            <w:pPr>
              <w:pStyle w:val="Compact"/>
            </w:pPr>
            <w:r>
              <w:t>2.7</w:t>
            </w:r>
          </w:p>
        </w:tc>
        <w:tc>
          <w:tcPr>
            <w:tcW w:w="2640" w:type="dxa"/>
          </w:tcPr>
          <w:p w14:paraId="4FBEBBFB" w14:textId="77777777" w:rsidR="000A2783" w:rsidRDefault="00000000">
            <w:pPr>
              <w:pStyle w:val="Compact"/>
            </w:pPr>
            <w:r>
              <w:t>heave-restoring response lag</w:t>
            </w:r>
          </w:p>
        </w:tc>
      </w:tr>
      <w:tr w:rsidR="000A2783" w14:paraId="4519FFA3" w14:textId="77777777">
        <w:tc>
          <w:tcPr>
            <w:tcW w:w="2640" w:type="dxa"/>
          </w:tcPr>
          <w:p w14:paraId="6B138EE7" w14:textId="77777777" w:rsidR="000A2783" w:rsidRDefault="00000000">
            <w:pPr>
              <w:pStyle w:val="Compact"/>
            </w:pPr>
            <w:r>
              <w:t>Wave → FAIRTEN2</w:t>
            </w:r>
          </w:p>
        </w:tc>
        <w:tc>
          <w:tcPr>
            <w:tcW w:w="2640" w:type="dxa"/>
          </w:tcPr>
          <w:p w14:paraId="685E213C" w14:textId="77777777" w:rsidR="000A2783" w:rsidRDefault="00000000">
            <w:pPr>
              <w:pStyle w:val="Compact"/>
            </w:pPr>
            <w:r>
              <w:t>3.9</w:t>
            </w:r>
          </w:p>
        </w:tc>
        <w:tc>
          <w:tcPr>
            <w:tcW w:w="2640" w:type="dxa"/>
          </w:tcPr>
          <w:p w14:paraId="7E2DFB98" w14:textId="77777777" w:rsidR="000A2783" w:rsidRDefault="00000000">
            <w:pPr>
              <w:pStyle w:val="Compact"/>
            </w:pPr>
            <w:r>
              <w:t>mooring-mediated response lag</w:t>
            </w:r>
          </w:p>
        </w:tc>
      </w:tr>
      <w:tr w:rsidR="000A2783" w14:paraId="560C0BA9" w14:textId="77777777">
        <w:tc>
          <w:tcPr>
            <w:tcW w:w="2640" w:type="dxa"/>
          </w:tcPr>
          <w:p w14:paraId="1170EF27" w14:textId="77777777" w:rsidR="000A2783" w:rsidRDefault="00000000">
            <w:pPr>
              <w:pStyle w:val="Compact"/>
            </w:pPr>
            <w:r>
              <w:t>Wave → PtfmSurge</w:t>
            </w:r>
          </w:p>
        </w:tc>
        <w:tc>
          <w:tcPr>
            <w:tcW w:w="2640" w:type="dxa"/>
          </w:tcPr>
          <w:p w14:paraId="349363F7" w14:textId="77777777" w:rsidR="000A2783" w:rsidRDefault="00000000">
            <w:pPr>
              <w:pStyle w:val="Compact"/>
            </w:pPr>
            <w:r>
              <w:t>6.3 (≈ Tp/2; secondary peak 1.1)</w:t>
            </w:r>
          </w:p>
        </w:tc>
        <w:tc>
          <w:tcPr>
            <w:tcW w:w="2640" w:type="dxa"/>
          </w:tcPr>
          <w:p w14:paraId="156EC86F" w14:textId="77777777" w:rsidR="000A2783" w:rsidRDefault="00000000">
            <w:pPr>
              <w:pStyle w:val="Compact"/>
            </w:pPr>
            <w:r>
              <w:t>near-antiphase, inertia-dominated response</w:t>
            </w:r>
          </w:p>
        </w:tc>
      </w:tr>
    </w:tbl>
    <w:p w14:paraId="27283B39" w14:textId="77777777" w:rsidR="000A2783" w:rsidRDefault="00000000">
      <w:pPr>
        <w:pStyle w:val="BodyText"/>
      </w:pPr>
      <w:r>
        <w:t xml:space="preserve">The same analysis provides a direct check that the firewall is not an artifact of the lag chosen. Figure 7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D74B19A"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3"/>
                    <a:stretch>
                      <a:fillRect/>
                    </a:stretch>
                  </pic:blipFill>
                  <pic:spPr bwMode="auto">
                    <a:xfrm>
                      <a:off x="0" y="0"/>
                      <a:ext cx="5334000" cy="1906399"/>
                    </a:xfrm>
                    <a:prstGeom prst="rect">
                      <a:avLst/>
                    </a:prstGeom>
                    <a:noFill/>
                    <a:ln w="9525">
                      <a:noFill/>
                      <a:headEnd/>
                      <a:tailEnd/>
                    </a:ln>
                  </pic:spPr>
                </pic:pic>
              </a:graphicData>
            </a:graphic>
          </wp:inline>
        </w:drawing>
      </w:r>
    </w:p>
    <w:p w14:paraId="10CE4E1E" w14:textId="77777777" w:rsidR="000A2783" w:rsidRDefault="00000000">
      <w:pPr>
        <w:pStyle w:val="BodyText"/>
      </w:pPr>
      <w:r>
        <w:rPr>
          <w:b/>
          <w:bCs/>
        </w:rPr>
        <w:t>Figure 7.</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8; the wind→heave channel (gray) is flat and below the 95% chance level at every delay, confirming the firewall is not an artifact of the lag choice. Absolute values exceed the reported bivariate TE because of the single-lag conditioning (§2.9); only the peak location and the wave/wind contrast are interpreted.</w:t>
      </w:r>
    </w:p>
    <w:p w14:paraId="5597A153" w14:textId="77777777" w:rsidR="000A2783" w:rsidRDefault="00000000">
      <w:pPr>
        <w:pStyle w:val="BodyText"/>
      </w:pPr>
      <w:r>
        <w:lastRenderedPageBreak/>
        <w:t xml:space="preserve">Figure 8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level at </w:t>
      </w:r>
      <w:r>
        <w:rPr>
          <w:i/>
          <w:iCs/>
        </w:rPr>
        <w:t>every</w:t>
      </w:r>
      <w:r>
        <w:t xml:space="preserve"> lag in </w:t>
      </w:r>
      <w:r>
        <w:rPr>
          <w:i/>
          <w:iCs/>
        </w:rPr>
        <w:t>all four</w:t>
      </w:r>
      <w:r>
        <w:t xml:space="preserve"> panels: the firewall’s lag-robustness, demonstrated for heave in Figure 7, holds across every platform and mooring channel examined.</w:t>
      </w:r>
    </w:p>
    <w:p w14:paraId="3514D17B"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4"/>
                    <a:stretch>
                      <a:fillRect/>
                    </a:stretch>
                  </pic:blipFill>
                  <pic:spPr bwMode="auto">
                    <a:xfrm>
                      <a:off x="0" y="0"/>
                      <a:ext cx="5334000" cy="3615883"/>
                    </a:xfrm>
                    <a:prstGeom prst="rect">
                      <a:avLst/>
                    </a:prstGeom>
                    <a:noFill/>
                    <a:ln w="9525">
                      <a:noFill/>
                      <a:headEnd/>
                      <a:tailEnd/>
                    </a:ln>
                  </pic:spPr>
                </pic:pic>
              </a:graphicData>
            </a:graphic>
          </wp:inline>
        </w:drawing>
      </w:r>
    </w:p>
    <w:p w14:paraId="7AB53DD6" w14:textId="77777777" w:rsidR="000A2783" w:rsidRDefault="00000000">
      <w:pPr>
        <w:pStyle w:val="BodyText"/>
      </w:pPr>
      <w:r>
        <w:rPr>
          <w:b/>
          <w:bCs/>
        </w:rPr>
        <w:t>Figure 8.</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16123900" w14:textId="77777777" w:rsidR="000A2783" w:rsidRDefault="00000000">
      <w:pPr>
        <w:pStyle w:val="Heading3"/>
      </w:pPr>
      <w:bookmarkStart w:id="20" w:name="summary-of-findings"/>
      <w:bookmarkEnd w:id="19"/>
      <w:r>
        <w:lastRenderedPageBreak/>
        <w:t>3.6 Summary of findings</w:t>
      </w:r>
    </w:p>
    <w:p w14:paraId="54216B06"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wind does reach the aerodynamically direct blade and tower channels. A linear coherence analysis of the same signals reports the opposite, a spurious wind–platform link, showing that the firewall is invisible to the standard undirected tool. And the firewall is attributable to the controller: SURD locates the missing wind information inside the blade-pitch command, and an open-loop twin shows the pitch command’s unique organization of platform motion collapsing when the loop is opened. On this foundation the monitoring proposal follows as an outlook rather than a result — a healthy controller holds wind→structure information at a near-zero, tightly bounded baseline, and a fault that degrades thrust regulation should breach it — but the fault-case transfer entropy that would test the idea is not computed here, and no breach is exhibited.</w:t>
      </w:r>
    </w:p>
    <w:p w14:paraId="21139D99" w14:textId="77777777" w:rsidR="000A2783" w:rsidRDefault="00000000">
      <w:pPr>
        <w:pStyle w:val="Heading2"/>
      </w:pPr>
      <w:bookmarkStart w:id="21" w:name="discussion"/>
      <w:bookmarkEnd w:id="14"/>
      <w:bookmarkEnd w:id="20"/>
      <w:r>
        <w:t>4. Discussion</w:t>
      </w:r>
    </w:p>
    <w:p w14:paraId="0891B6F3" w14:textId="77777777" w:rsidR="000A2783" w:rsidRDefault="00000000">
      <w:pPr>
        <w:pStyle w:val="Heading3"/>
      </w:pPr>
      <w:bookmarkStart w:id="22" w:name="physical-interpretation"/>
      <w:r>
        <w:t>4.1 Physical interpretation</w:t>
      </w:r>
    </w:p>
    <w:p w14:paraId="59243CE0" w14:textId="77777777" w:rsidR="000A2783" w:rsidRDefault="00000000">
      <w:pPr>
        <w:pStyle w:val="FirstParagraph"/>
      </w:pPr>
      <w:r>
        <w:t>The firewall is a direct information-theoretic reading of what a thrust-regulating controller does. Above rated wind speed the collective-pitch loop trades pitch angle for thrust so as to hold rotor speed and power near their set-points. In doing so it converts the broadband, turbulent information in the wind into pitch actuation, leaving the thrust — and therefore the platform forcing — comparatively smooth. Transfer entropy sees the consequence: the wind’s future-relevant information has been moved out of the structural channels and into the control channel, so conditioning platform motion on wind history yields no predictive gain. The wave channel, which the controller does not regulate, remains a strong and consistent driver of platform and mooring response, exactly as expected for a lightly damped floating body excited near its rigid-body modes.</w:t>
      </w:r>
    </w:p>
    <w:p w14:paraId="5E404AD8"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licenses attributing the firewall to control rather than to wave dominance is not the regime trend alone but the SURD redirection: wave dominance would </w:t>
        <w:lastRenderedPageBreak/>
        <w:t xml:space="preserve">suppress the </w:t>
      </w:r>
      <w:r>
        <w:rPr>
          <w:i/>
          <w:iCs/>
        </w:rPr>
        <w:t>magnitude</w:t>
      </w:r>
      <w:r>
        <w:t xml:space="preserve"> of a wind effect, but it would not route the wind information into the blade-pitch command, which is what SURD observes.</w:t>
      </w:r>
    </w:p>
    <w:p w14:paraId="638428C4"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controller effect. It is conceded that this is a genuine concern below rated: at 8 m/s the wind forcing is weak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attribution does not run through TE detectability at all: SURD locates the wind information inside the blade-pitch command across the operating range, so even where the platform-channel TE is an uninformative zero the wind information is positively accounted for elsewhere. Third, the open-loop twin removes the controller while holding the sea state and wind fixed, and it is the control-attributable organization of the platform response that collapses. Detectability alone explains none of these; the controller explains all.</w:t>
      </w:r>
    </w:p>
    <w:p w14:paraId="601CE169" w14:textId="77777777" w:rsidR="000A2783" w:rsidRDefault="00000000">
      <w:pPr>
        <w:pStyle w:val="Heading3"/>
      </w:pPr>
      <w:bookmarkStart w:id="23" w:name="implications-for-health-monitoring"/>
      <w:bookmarkEnd w:id="22"/>
      <w:r>
        <w:t>4.2 Implications for health monitoring</w:t>
      </w:r>
    </w:p>
    <w:p w14:paraId="4F005CCC" w14:textId="77777777" w:rsidR="000A2783" w:rsidRDefault="00000000">
      <w:pPr>
        <w:pStyle w:val="FirstParagraph"/>
      </w:pPr>
      <w:r>
        <w:t xml:space="preserve">The firewall is not an artifact of this particular machine or controller. Any variable-speed floating turbine that regulates thrust with collective pitch above rated will, to the extent its controller is effective, convert wind fluctuations into pitch actuation and leave the platform forcing smoothed — the same information-theoretic fingerprint should appear.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corollary for monitoring is nonetheless attractive: the same physics that makes good floating control necessary should also make its failure observable. It is also the physics that would make a breach consequential — re-admitting wind-driven, low-frequency thrust fluctuation into a lightly damped platform is precisely the excitation that floating controllers are designed to avoid, so a firewall breach would be not only a plausibly detectable symptom but also a </w:t>
        <w:lastRenderedPageBreak/>
        <w:t xml:space="preserve">plausible driver of increased platform and mooring fatigue, which raises the value of catching it early. It must be stressed that these consequences follow </w:t>
      </w:r>
      <w:r>
        <w:rPr>
          <w:i/>
          <w:iCs/>
        </w:rPr>
        <w:t>if</w:t>
      </w:r>
      <w:r>
        <w:t xml:space="preserve"> the diagnostic is validated; they are motivation, not results.</w:t>
      </w:r>
    </w:p>
    <w:p w14:paraId="5BF4EE47" w14:textId="77777777" w:rsidR="000A2783" w:rsidRDefault="00000000">
      <w:pPr>
        <w:pStyle w:val="BodyText"/>
      </w:pPr>
      <w:r>
        <w:t xml:space="preserve">The practical appeal of the firewall as a diagnostic is that it is defined on ordinary operational signals — platform motion and an upwind measurement (in deployment a nacelle lidar, or a nacelle anemometer subject to the rotor-wake caveat of Section 4.3) — and requires no fault library, no labeled training data, and no model of the healthy plant beyond the empirical TE baseline. It is a property of the closed loop’s </w:t>
      </w:r>
      <w:r>
        <w:rPr>
          <w:i/>
          <w:iCs/>
        </w:rPr>
        <w:t>function</w:t>
      </w:r>
      <w:r>
        <w:t xml:space="preserve">, so it is in principle sensitive to any fault that degrades thrust regulation, whether in the sensor, the actuator, or the controller software, without needing to know in advance which. This complements component-level pitch diagnostics (Chen et al., 2015): where those watch the actuator, the firewall watches the actuator’s </w:t>
      </w:r>
      <w:r>
        <w:rPr>
          <w:i/>
          <w:iCs/>
        </w:rPr>
        <w:t>effect</w:t>
      </w:r>
      <w:r>
        <w:t xml:space="preserve"> on the machine. In this respect the proposal is the structural-monitoring analog of control-loop performance monitoring in the process industries (Harris, 1989; Jelali, 2006), where routine operating data are screened for loops that have quietly stopped doing their job; and like those methods its output is an actionable pointer rather than a diagnosis — a firewall-breach alarm localises the fault to the thrust-regulation path (pitch sensing, actuation, or controller) and motivates a targeted pitch-system inspection before component-level signatures become evident.</w:t>
      </w:r>
    </w:p>
    <w:p w14:paraId="5E65F069" w14:textId="77777777" w:rsidR="000A2783" w:rsidRDefault="00000000">
      <w:pPr>
        <w:pStyle w:val="BodyText"/>
      </w:pPr>
      <w:r>
        <w:t>The monitoring quantity is also naturally normalized. Because the healthy baseline is near zero and tightly bounded, a breach is a departure from zero rather than a shift within a noisy operating range, which is a favorable starting point for setting a detection threshold. The analogy to disturbance-propagation analysis in process control (Bauer et al., 2007), where transfer entropy locates the origin of a plant-wide oscillation, is direct: here the “disturbance” that a fault admits is the wind itself, and its appearance in the structural channels is the alarm.</w:t>
      </w:r>
    </w:p>
    <w:p w14:paraId="07C4C517" w14:textId="77777777" w:rsidR="000A2783" w:rsidRDefault="00000000">
      <w:pPr>
        <w:pStyle w:val="BodyText"/>
      </w:pPr>
      <w:r>
        <w:t xml:space="preserve">Operationally, a deployed monitor would estimate TE(Wind → platform) on rolling windows of a nacelle-anemometer (or lidar) signal and a platform-motion signal, and raise a flag when the estimate crosses a threshold set above the healthy ceiling with a margin chosen to trade off false alarms against detection latency. The healthy baseline reported here is estimated on ≈ 50-minute windows, so a monitor built directly on it inherits a detection latency of that order; shortening the window lowers latency but inflates the variance of the KSG estimate and the false-selection rate of the significance test, and quantifying that window–latency–false-alarm trade-off is part of the validation campaign specified below. Two features of the present results shape how that threshold should be built. First, the healthy baseline is regime-dependent: it is exactly zero below and well above rated but admits marginal leakage near rated, so a fixed scalar threshold would be either too sensitive above rated or too permissive near rated, and the threshold should instead be conditioned on operating region (which is already known from wind speed and pitch state). Second, because a healthy channel returns TE = 0 by construction of the significance-gated estimator, the natural alarm statistic is not the raw TE value but the </w:t>
      </w:r>
      <w:r>
        <w:rPr>
          <w:i/>
          <w:iCs/>
        </w:rPr>
        <w:t>significance</w:t>
      </w:r>
      <w:r>
        <w:t xml:space="preserve"> of a selected wind source — a wind variable entering the model at all is already an anomaly. A </w:t>
        <w:lastRenderedPageBreak/>
        <w:t>practical monitor might therefore track the rate at which wind is selected as a significant source over a sliding horizon, alarming when that rate departs from its healthy near-zero level. Quantifying the resulting detection-versus-false-alarm trade-off across fault types and severities is the validation step that the present dataset does not yet support, and which the graded-fault campaign below is designed to provide.</w:t>
      </w:r>
    </w:p>
    <w:p w14:paraId="22C9A7C6" w14:textId="77777777" w:rsidR="000A2783" w:rsidRDefault="00000000">
      <w:pPr>
        <w:pStyle w:val="Heading3"/>
      </w:pPr>
      <w:bookmarkStart w:id="24" w:name="limitations-and-the-path-to-validation"/>
      <w:bookmarkEnd w:id="23"/>
      <w:r>
        <w:t>4.3 Limitations and the path to validation</w:t>
      </w:r>
    </w:p>
    <w:p w14:paraId="2D36150C" w14:textId="77777777" w:rsidR="000A2783" w:rsidRDefault="00000000">
      <w:pPr>
        <w:pStyle w:val="FirstParagraph"/>
      </w:pPr>
      <w:r>
        <w:t>Four limitations bound the present claims.</w:t>
      </w:r>
    </w:p>
    <w:p w14:paraId="0ED23718" w14:textId="77777777" w:rsidR="000A2783" w:rsidRDefault="00000000">
      <w:pPr>
        <w:pStyle w:val="BodyText"/>
      </w:pPr>
      <w:r>
        <w:rPr>
          <w:i/>
          <w:iCs/>
        </w:rPr>
        <w:t>Monitoring is an outlook, not a validated method.</w:t>
      </w:r>
      <w:r>
        <w:t xml:space="preserve"> No injected-fault transfer entropy is reported and therefore no breach is exhibited; the healthy-population baseline is what the study establishes on the monitoring side. The one fault-adjacent run available — the open-loop twin (§3.3) — yields a null wind→platform TE, but opening the loop is not a pitch fault, so it does not test the diagnostic. Properly testing it requires injecting pitch faults at controlled severities — pitch-angle bias, reduced proportional/integral gain, actuator rate limits, stuck-at and full lock — across the wind-speed range, computing TE for each, and characterizing the resulting receiver-operating behavior (detection rate versus false-alarm rate) against both the healthy ceiling and the chance-significance floor. The infrastructure to do this exists in the pipeline; the graded-fault runs do not yet. The open-loop attribution similarly rests on a single realization (§3.3); replicating the collapse across seeds and operating points belongs to the same queued campaign.</w:t>
      </w:r>
    </w:p>
    <w:p w14:paraId="31983D01"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38692C6D" w14:textId="77777777" w:rsidR="000A2783" w:rsidRDefault="00000000">
      <w:pPr>
        <w:pStyle w:val="BodyText"/>
      </w:pPr>
      <w:r>
        <w:rPr>
          <w:i/>
          <w:iCs/>
        </w:rPr>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caveat applies even within the simulation: the analysis interrogates the hub-height </w:t>
      </w:r>
      <w:r>
        <w:rPr>
          <w:i/>
          <w:iCs/>
        </w:rPr>
        <w:t>point</w:t>
      </w:r>
      <w:r>
        <w:t xml:space="preserve"> wind, whereas a 240-m rotor responds to the rotor-effective (disc-averaged) wind, which attenuates the small-scale turbulence a point signal carries — so part of the platform-channel zero could in principle reflect spatial filtering of the interrogated signal rather than control. The significant wind→blade-root and wind→tower-base edges show the point signal is not informationally inert, but blade loads respond to locally sampled wind, which is itself point-like, so those edges do not by themselves exclude the spatial-filtering account; repeating the platform-channel analysis with a rotor-averaged wind source is a queued robustness check; the open-loop twin’s wind→platform TE is itself null (§3.3), and that null </w:t>
        <w:lastRenderedPageBreak/>
        <w:t>is read cautiously rather than as settling the attribution.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35DA1C01"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attribution.</w:t>
      </w:r>
    </w:p>
    <w:p w14:paraId="0B711401" w14:textId="77777777" w:rsidR="000A2783" w:rsidRDefault="00000000">
      <w:pPr>
        <w:pStyle w:val="BodyText"/>
      </w:pPr>
      <w:r>
        <w:t>None of these undermines the two established results — the firewall and its attribution to control — but each bears directly on the monitoring claim, which is why that claim is framed as an untested outlook rather than a method.</w:t>
      </w:r>
    </w:p>
    <w:p w14:paraId="0C192257" w14:textId="77777777" w:rsidR="000A2783" w:rsidRDefault="00000000">
      <w:r>
        <w:pict w14:anchorId="6203B2E0">
          <v:rect id="_x0000_i1029" style="width:0;height:1.5pt" o:hralign="center" o:hrstd="t" o:hr="t"/>
        </w:pict>
      </w:r>
    </w:p>
    <w:p w14:paraId="3B470B05" w14:textId="77777777" w:rsidR="000A2783" w:rsidRDefault="00000000">
      <w:pPr>
        <w:pStyle w:val="Heading2"/>
      </w:pPr>
      <w:bookmarkStart w:id="25" w:name="conclusion"/>
      <w:bookmarkEnd w:id="21"/>
      <w:bookmarkEnd w:id="24"/>
      <w:r>
        <w:t>5. Conclusion</w:t>
      </w:r>
    </w:p>
    <w:p w14:paraId="2F7E8720" w14:textId="77777777" w:rsidR="000A2783" w:rsidRDefault="00000000">
      <w:pPr>
        <w:pStyle w:val="FirstParagraph"/>
      </w:pPr>
      <w:r>
        <w:t xml:space="preserve">In a healthy floating offshore wind turbine, the blade-pitch controller regulates rotor thrust so effectively that turbulent wind fluctuations carry essentially no information into platform motion: measured over 54 OpenFAST simulations of the IEA-15MW on VolturnUS-S, transfer entropy from wind to platform pitch is 0.0009 nats on average and significant in only 3.7% of cases, against 0.121 nats and 100% significance for wave forcing. This near-zero is not a null result but a controller-erected </w:t>
      </w:r>
      <w:r>
        <w:rPr>
          <w:i/>
          <w:iCs/>
        </w:rPr>
        <w:t>information firewall</w:t>
      </w:r>
      <w:r>
        <w:t xml:space="preserve">, and it is distinguished from wave dominance using SURD, which shows the wind information redirected into the </w:t>
        <w:lastRenderedPageBreak/>
        <w:t>blade-pitch command, corroborated by an open-loop twin in which the pitch command’s unique organization of platform motion collapses once the loop is opened. A linear coherence analysis, by contrast, reports shared spectral power that reads as a strong wind–platform link, illustrating why closed-loop systems demand directed, model-free causal measures.</w:t>
      </w:r>
    </w:p>
    <w:p w14:paraId="241294F8" w14:textId="77777777" w:rsidR="000A2783" w:rsidRDefault="00000000">
      <w:pPr>
        <w:pStyle w:val="BodyText"/>
      </w:pPr>
      <w:r>
        <w:t>The firewall also suggests a diagnostic. Because a healthy controller holds wind→structure information below a low, stable, chance-floor-bounded ceiling, a controller that can no longer regulate thrust should admit wind information into the structure — a breach transfer entropy would detect. This is framed as a motivated outlook rather than a demonstrated method: the present study establishes the healthy baseline but computes no fault-case transfer entropy and exhibits no breach, and the graded-fault campaign needed to test the idea is specified. Should it hold, the result reframes structural health monitoring for floating wind: instead of watching components for signs of wear, one could watch the closed loop for signs that it has stopped doing its job, using nothing more than the directed information flow between the machine’s environment and its structure.</w:t>
      </w:r>
    </w:p>
    <w:p w14:paraId="77E9A65D" w14:textId="77777777" w:rsidR="000A2783" w:rsidRDefault="00000000">
      <w:r>
        <w:pict w14:anchorId="42F21EBB">
          <v:rect id="_x0000_i1030" style="width:0;height:1.5pt" o:hralign="center" o:hrstd="t" o:hr="t"/>
        </w:pict>
      </w:r>
    </w:p>
    <w:p w14:paraId="59A0276F" w14:textId="77777777" w:rsidR="000A2783" w:rsidRDefault="00000000">
      <w:pPr>
        <w:pStyle w:val="Heading2"/>
      </w:pPr>
      <w:bookmarkStart w:id="26" w:name="data-and-code-availability-statement"/>
      <w:bookmarkEnd w:id="25"/>
      <w:r>
        <w:t>Data and Code Availability Statement</w:t>
      </w:r>
    </w:p>
    <w:p w14:paraId="7015ABA8"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A67402C"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3615A071" w14:textId="77777777" w:rsidR="000A2783" w:rsidRDefault="00000000">
      <w:pPr>
        <w:pStyle w:val="Heading2"/>
      </w:pPr>
      <w:bookmarkStart w:id="27" w:name="author-contributions-credit"/>
      <w:bookmarkEnd w:id="26"/>
      <w:r>
        <w:t>Author Contributions (CRediT)</w:t>
      </w:r>
    </w:p>
    <w:p w14:paraId="76B8DB53" w14:textId="77777777" w:rsidR="000A2783" w:rsidRDefault="00000000">
      <w:pPr>
        <w:pStyle w:val="FirstParagraph"/>
      </w:pPr>
      <w:r>
        <w:t>[To be completed — e.g. Conceptualization, Methodology, Software, Formal analysis, Writing – original draft, etc.]</w:t>
      </w:r>
    </w:p>
    <w:p w14:paraId="2CC2FBE9" w14:textId="77777777" w:rsidR="000A2783" w:rsidRDefault="00000000">
      <w:pPr>
        <w:pStyle w:val="Heading2"/>
      </w:pPr>
      <w:bookmarkStart w:id="28" w:name="conflict-of-interest"/>
      <w:bookmarkEnd w:id="27"/>
      <w:r>
        <w:t>Conflict of Interest</w:t>
      </w:r>
    </w:p>
    <w:p w14:paraId="4F46DDC1" w14:textId="77777777" w:rsidR="000A2783" w:rsidRDefault="00000000">
      <w:pPr>
        <w:pStyle w:val="FirstParagraph"/>
      </w:pPr>
      <w:r>
        <w:t>The authors declare no competing interests. [Confirm.]</w:t>
      </w:r>
    </w:p>
    <w:p w14:paraId="6CB61339" w14:textId="77777777" w:rsidR="000A2783" w:rsidRDefault="00000000">
      <w:pPr>
        <w:pStyle w:val="Heading2"/>
      </w:pPr>
      <w:bookmarkStart w:id="29" w:name="funding"/>
      <w:bookmarkEnd w:id="28"/>
      <w:r>
        <w:t>Funding</w:t>
      </w:r>
    </w:p>
    <w:p w14:paraId="200C50F1" w14:textId="77777777" w:rsidR="000A2783" w:rsidRDefault="00000000">
      <w:pPr>
        <w:pStyle w:val="FirstParagraph"/>
      </w:pPr>
      <w:r>
        <w:t>[To be completed.]</w:t>
      </w:r>
    </w:p>
    <w:p w14:paraId="138A024C" w14:textId="77777777" w:rsidR="000A2783" w:rsidRDefault="00000000">
      <w:pPr>
        <w:pStyle w:val="Heading2"/>
      </w:pPr>
      <w:bookmarkStart w:id="30" w:name="ethics-declaration"/>
      <w:bookmarkEnd w:id="29"/>
      <w:r>
        <w:lastRenderedPageBreak/>
        <w:t>Ethics Declaration</w:t>
      </w:r>
    </w:p>
    <w:p w14:paraId="3086E1CC" w14:textId="77777777" w:rsidR="000A2783" w:rsidRDefault="00000000">
      <w:pPr>
        <w:pStyle w:val="FirstParagraph"/>
      </w:pPr>
      <w:r>
        <w:t>Not applicable; the study uses simulation data only and involves no human or animal subjects.</w:t>
      </w:r>
    </w:p>
    <w:p w14:paraId="41910DD3" w14:textId="77777777" w:rsidR="000A2783" w:rsidRDefault="00000000">
      <w:pPr>
        <w:pStyle w:val="Heading2"/>
      </w:pPr>
      <w:bookmarkStart w:id="31" w:name="ai-usage-disclosure"/>
      <w:bookmarkEnd w:id="30"/>
      <w:r>
        <w:t>AI-Usage Disclosure</w:t>
      </w:r>
    </w:p>
    <w:p w14:paraId="74CC32C3"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58C45E3F" w14:textId="77777777" w:rsidR="000A2783" w:rsidRDefault="00000000">
      <w:r>
        <w:pict w14:anchorId="5D91C03A">
          <v:rect id="_x0000_i1031" style="width:0;height:1.5pt" o:hralign="center" o:hrstd="t" o:hr="t"/>
        </w:pict>
      </w:r>
    </w:p>
    <w:p w14:paraId="00607706" w14:textId="77777777" w:rsidR="000A2783" w:rsidRDefault="00000000">
      <w:pPr>
        <w:pStyle w:val="Heading2"/>
      </w:pPr>
      <w:bookmarkStart w:id="32" w:name="references"/>
      <w:bookmarkEnd w:id="31"/>
      <w:r>
        <w:t>References</w:t>
      </w:r>
    </w:p>
    <w:p w14:paraId="0FC2D662"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40A71FBB"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66791EA1"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F9906C4"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3CA565D8"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3040E4BD"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4493F543" w14:textId="77777777" w:rsidR="000A2783" w:rsidRDefault="00000000">
      <w:pPr>
        <w:pStyle w:val="BodyText"/>
      </w:pPr>
      <w:r>
        <w:t xml:space="preserve">Carroll, J., McDonald, A., &amp; McMillan, D. (2016). Failure rate, repair time and unscheduled O&amp;M cost analysis of offshore wind turbines. </w:t>
      </w:r>
      <w:r>
        <w:rPr>
          <w:i/>
          <w:iCs/>
        </w:rPr>
        <w:t>Wind Energy, 19</w:t>
      </w:r>
      <w:r>
        <w:t>(6), 1107–1119. https://doi.org/10.1002/we.1887</w:t>
      </w:r>
    </w:p>
    <w:p w14:paraId="7B34D391" w14:textId="77777777" w:rsidR="000A2783" w:rsidRDefault="00000000">
      <w:pPr>
        <w:pStyle w:val="BodyText"/>
      </w:pPr>
      <w:r>
        <w:lastRenderedPageBreak/>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34A565C6"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483E3FC3"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1720E5B9"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6419A16D"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4652CDC8"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71AD3CCE"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1E02B22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6879842B"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8D0451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08F6F9D8"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05DB8453"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5170281D"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56BFB0B5"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12EAF73C"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5B1B665A"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45327551"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BCB9079"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0B7248F4"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3A6567B2"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F47F433"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66702EE1"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78C34C38"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2"/>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72AE"/>
    <w:rsid w:val="000A2783"/>
    <w:rsid w:val="0071199E"/>
    <w:rsid w:val="0077427B"/>
    <w:rsid w:val="00BA6EBF"/>
    <w:rsid w:val="00D01C5A"/>
    <w:rsid w:val="00D42CE2"/>
    <w:rsid w:val="00E44048"/>
    <w:rsid w:val="00ED3ED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B2E30"/>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00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36</Pages>
  <Words>13684</Words>
  <Characters>78003</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An Information Firewall Between Wind and Platform Motion in Floating Offshore Wind Turbines: A Transfer-Entropy Analysis with Implications for Health Monitoring</vt:lpstr>
    </vt:vector>
  </TitlesOfParts>
  <Company/>
  <LinksUpToDate>false</LinksUpToDate>
  <CharactersWithSpaces>91504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Information Firewall Between Wind and Platform Motion in Floating Offshore Wind Turbines: A Transfer-Entropy Analysis with Implications for Health Monitoring</dc:title>
  <dc:creator>Sina Hadadi</dc:creator>
  <cp:keywords/>
  <cp:lastModifiedBy>kunsanuni3</cp:lastModifiedBy>
  <cp:revision>2</cp:revision>
  <dcterms:created xsi:type="dcterms:W3CDTF">2026-08-10T01:58:00Z</dcterms:created>
  <dcterms:modified xsi:type="dcterms:W3CDTF">2026-08-10T05:31:00Z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