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A8625" w14:textId="77777777" w:rsidR="000A2783" w:rsidRDefault="00000000">
      <w:pPr>
        <w:pStyle w:val="Title"/>
      </w:pPr>
      <w:r>
        <w:t>Feasibility of a Transfer-Entropy Firewall Signature for Blade-Pitch Controller Health Monitoring in Floating Offshore Wind Turbines</w:t>
      </w:r>
    </w:p>
    <w:p w14:paraId="7288F9BA" w14:textId="77777777" w:rsidR="000A2783" w:rsidRDefault="00000000">
      <w:pPr>
        <w:pStyle w:val="Author"/>
      </w:pPr>
      <w:r>
        <w:t>Sina Hadadi</w:t>
      </w:r>
    </w:p>
    <w:p w14:paraId="0BE14EEF" w14:textId="77777777" w:rsidR="000A2783" w:rsidRDefault="00000000">
      <w:pPr>
        <w:pStyle w:val="Date"/>
      </w:pPr>
      <w:r>
        <w:t>2026-07-14</w:t>
      </w:r>
    </w:p>
    <w:p w14:paraId="5D9DCBC3" w14:textId="77777777" w:rsidR="000A2783" w:rsidRDefault="00000000">
      <w:pPr>
        <w:pStyle w:val="Heading2"/>
      </w:pPr>
      <w:bookmarkStart w:id="0" w:name="abstract"/>
      <w:r>
        <w:t>Abstract</w:t>
      </w:r>
    </w:p>
    <w:p w14:paraId="099EE6BD"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This study assesses the feasibility of using directed information flow — transfer entropy from wind into platform motion — to monitor blade-pitch controller health.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30068D8B"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670DFC5" w14:textId="77777777" w:rsidR="00FF347D" w:rsidRDefault="00000000">
      <w:pPr>
        <w:pStyle w:val="Heading2"/>
      </w:pPr>
      <w:r>
        <w:t>Nomenclature</w:t>
      </w:r>
    </w:p>
    <w:p w14:paraId="33454CFA" w14:textId="77777777" w:rsidR="00FF347D" w:rsidRDefault="00000000">
      <w:pPr>
        <w:pStyle w:val="Compact"/>
        <w:spacing w:before="80" w:after="40"/>
        <w:jc w:val="left"/>
      </w:pPr>
      <w:r>
        <w:rPr>
          <w:b/>
          <w:bCs/>
        </w:rPr>
        <w:t>Latin symbols</w:t>
      </w:r>
    </w:p>
    <w:p w14:paraId="04A6E672" w14:textId="77777777" w:rsidR="00FF347D" w:rsidRDefault="00000000">
      <w:pPr>
        <w:pStyle w:val="Compact"/>
        <w:ind w:left="1620" w:hanging="1620"/>
        <w:jc w:val="left"/>
      </w:pPr>
      <w:r>
        <w:rPr>
          <w:i/>
        </w:rPr>
        <w:t>A</w:t>
      </w:r>
      <w:r>
        <w:rPr>
          <w:i/>
          <w:vertAlign w:val="subscript"/>
        </w:rPr>
        <w:t>X</w:t>
      </w:r>
      <w:r>
        <w:tab/>
        <w:t>active information storage (AIS) of the target</w:t>
      </w:r>
    </w:p>
    <w:p w14:paraId="11E34BCE" w14:textId="77777777" w:rsidR="00FF347D" w:rsidRDefault="00000000">
      <w:pPr>
        <w:pStyle w:val="Compact"/>
        <w:ind w:left="1620" w:hanging="1620"/>
        <w:jc w:val="left"/>
      </w:pPr>
      <w:r>
        <w:rPr>
          <w:i/>
        </w:rPr>
        <w:t>d</w:t>
      </w:r>
      <w:r>
        <w:tab/>
        <w:t>candidate source→target delay in the delay-resolved TE</w:t>
      </w:r>
    </w:p>
    <w:p w14:paraId="57DFCDA4" w14:textId="77777777" w:rsidR="00FF347D" w:rsidRDefault="00000000">
      <w:pPr>
        <w:pStyle w:val="Compact"/>
        <w:ind w:left="1620" w:hanging="1620"/>
        <w:jc w:val="left"/>
      </w:pPr>
      <w:r>
        <w:rPr>
          <w:i/>
        </w:rPr>
        <w:t>f</w:t>
      </w:r>
      <w:r>
        <w:tab/>
        <w:t>frequency</w:t>
      </w:r>
    </w:p>
    <w:p w14:paraId="3FE0E212" w14:textId="77777777" w:rsidR="00FF347D" w:rsidRDefault="00000000">
      <w:pPr>
        <w:pStyle w:val="Compact"/>
        <w:ind w:left="1620" w:hanging="1620"/>
        <w:jc w:val="left"/>
      </w:pPr>
      <w:r>
        <w:rPr>
          <w:i/>
        </w:rPr>
        <w:t>H(X)</w:t>
      </w:r>
      <w:r>
        <w:tab/>
        <w:t>Shannon entropy of X</w:t>
      </w:r>
    </w:p>
    <w:p w14:paraId="314DB00C" w14:textId="77777777" w:rsidR="00FF347D" w:rsidRDefault="00000000">
      <w:pPr>
        <w:pStyle w:val="Compact"/>
        <w:ind w:left="1620" w:hanging="1620"/>
        <w:jc w:val="left"/>
      </w:pPr>
      <w:r>
        <w:rPr>
          <w:i/>
        </w:rPr>
        <w:t>H(X,Y)</w:t>
      </w:r>
      <w:r>
        <w:tab/>
        <w:t>joint entropy of X and Y</w:t>
      </w:r>
    </w:p>
    <w:p w14:paraId="0C67783B" w14:textId="77777777" w:rsidR="00FF347D" w:rsidRDefault="00000000">
      <w:pPr>
        <w:pStyle w:val="Compact"/>
        <w:ind w:left="1620" w:hanging="1620"/>
        <w:jc w:val="left"/>
      </w:pPr>
      <w:r>
        <w:rPr>
          <w:i/>
        </w:rPr>
        <w:t>H</w:t>
      </w:r>
      <w:r>
        <w:rPr>
          <w:i/>
          <w:vertAlign w:val="subscript"/>
        </w:rPr>
        <w:t>s</w:t>
      </w:r>
      <w:r>
        <w:tab/>
        <w:t>significant wave height</w:t>
      </w:r>
    </w:p>
    <w:p w14:paraId="787C27ED" w14:textId="77777777" w:rsidR="00FF347D" w:rsidRDefault="00000000">
      <w:pPr>
        <w:pStyle w:val="Compact"/>
        <w:ind w:left="1620" w:hanging="1620"/>
        <w:jc w:val="left"/>
      </w:pPr>
      <w:r>
        <w:rPr>
          <w:i/>
        </w:rPr>
        <w:t>h</w:t>
      </w:r>
      <w:r>
        <w:rPr>
          <w:i/>
          <w:vertAlign w:val="subscript"/>
        </w:rPr>
        <w:t>X</w:t>
      </w:r>
      <w:r>
        <w:tab/>
        <w:t>entropy rate of X</w:t>
      </w:r>
    </w:p>
    <w:p w14:paraId="4E14ADA7" w14:textId="77777777" w:rsidR="00FF347D" w:rsidRDefault="00000000">
      <w:pPr>
        <w:pStyle w:val="Compact"/>
        <w:ind w:left="1620" w:hanging="1620"/>
        <w:jc w:val="left"/>
      </w:pPr>
      <w:r>
        <w:rPr>
          <w:i/>
        </w:rPr>
        <w:lastRenderedPageBreak/>
        <w:t>h</w:t>
      </w:r>
      <w:r>
        <w:rPr>
          <w:i/>
          <w:vertAlign w:val="subscript"/>
        </w:rPr>
        <w:t>X|Y</w:t>
      </w:r>
      <w:r>
        <w:tab/>
        <w:t>entropy rate of X conditioned on the joint past of X and Y</w:t>
      </w:r>
    </w:p>
    <w:p w14:paraId="0A56B191" w14:textId="77777777" w:rsidR="00FF347D" w:rsidRDefault="00000000">
      <w:pPr>
        <w:pStyle w:val="Compact"/>
        <w:ind w:left="1620" w:hanging="1620"/>
        <w:jc w:val="left"/>
      </w:pPr>
      <w:r>
        <w:rPr>
          <w:i/>
        </w:rPr>
        <w:t>I(X;Y)</w:t>
      </w:r>
      <w:r>
        <w:tab/>
        <w:t>mutual information between X and Y</w:t>
      </w:r>
    </w:p>
    <w:p w14:paraId="3AE6CF9C" w14:textId="77777777" w:rsidR="00FF347D" w:rsidRDefault="00000000">
      <w:pPr>
        <w:pStyle w:val="Compact"/>
        <w:ind w:left="1620" w:hanging="1620"/>
        <w:jc w:val="left"/>
      </w:pPr>
      <w:r>
        <w:rPr>
          <w:i/>
        </w:rPr>
        <w:t>K</w:t>
      </w:r>
      <w:r>
        <w:tab/>
        <w:t>number of Welch averages (segments) in the coherence estimate</w:t>
      </w:r>
    </w:p>
    <w:p w14:paraId="43B75589" w14:textId="77777777" w:rsidR="00FF347D" w:rsidRDefault="00000000">
      <w:pPr>
        <w:pStyle w:val="Compact"/>
        <w:ind w:left="1620" w:hanging="1620"/>
        <w:jc w:val="left"/>
      </w:pPr>
      <w:r>
        <w:rPr>
          <w:i/>
        </w:rPr>
        <w:t>k</w:t>
      </w:r>
      <w:r>
        <w:tab/>
        <w:t>Markov (embedding) order of the target history; KSG nearest-neighbour count (k = 4)</w:t>
      </w:r>
    </w:p>
    <w:p w14:paraId="6B5935A5" w14:textId="77777777" w:rsidR="00FF347D" w:rsidRDefault="00000000">
      <w:pPr>
        <w:pStyle w:val="Compact"/>
        <w:ind w:left="1620" w:hanging="1620"/>
        <w:jc w:val="left"/>
      </w:pPr>
      <w:r>
        <w:rPr>
          <w:i/>
        </w:rPr>
        <w:t>l</w:t>
      </w:r>
      <w:r>
        <w:tab/>
        <w:t>Markov (embedding) order of the source history</w:t>
      </w:r>
    </w:p>
    <w:p w14:paraId="586BE2B7" w14:textId="77777777" w:rsidR="00FF347D" w:rsidRDefault="00000000">
      <w:pPr>
        <w:pStyle w:val="Compact"/>
        <w:ind w:left="1620" w:hanging="1620"/>
        <w:jc w:val="left"/>
      </w:pPr>
      <w:r>
        <w:rPr>
          <w:i/>
        </w:rPr>
        <w:t>n</w:t>
      </w:r>
      <w:r>
        <w:rPr>
          <w:i/>
          <w:vertAlign w:val="subscript"/>
        </w:rPr>
        <w:t>perm</w:t>
      </w:r>
      <w:r>
        <w:tab/>
        <w:t>number of permutation surrogates (200)</w:t>
      </w:r>
    </w:p>
    <w:p w14:paraId="3DE57659" w14:textId="77777777" w:rsidR="00FF347D" w:rsidRDefault="00000000">
      <w:pPr>
        <w:pStyle w:val="Compact"/>
        <w:ind w:left="1620" w:hanging="1620"/>
        <w:jc w:val="left"/>
      </w:pPr>
      <w:r>
        <w:rPr>
          <w:i/>
        </w:rPr>
        <w:t>p</w:t>
      </w:r>
      <w:r>
        <w:tab/>
        <w:t>probability mass/density; permutation p-value where indicated</w:t>
      </w:r>
    </w:p>
    <w:p w14:paraId="26FA1571" w14:textId="77777777" w:rsidR="00FF347D" w:rsidRDefault="00000000">
      <w:pPr>
        <w:pStyle w:val="Compact"/>
        <w:ind w:left="1620" w:hanging="1620"/>
        <w:jc w:val="left"/>
      </w:pPr>
      <w:r>
        <w:rPr>
          <w:i/>
        </w:rPr>
        <w:t>Q</w:t>
      </w:r>
      <w:r>
        <w:tab/>
        <w:t>target future state in the SURD decomposition</w:t>
      </w:r>
    </w:p>
    <w:p w14:paraId="6315531C" w14:textId="77777777" w:rsidR="00FF347D" w:rsidRDefault="00000000">
      <w:pPr>
        <w:pStyle w:val="Compact"/>
        <w:ind w:left="1620" w:hanging="1620"/>
        <w:jc w:val="left"/>
      </w:pPr>
      <w:r>
        <w:rPr>
          <w:i/>
        </w:rPr>
        <w:t>R</w:t>
      </w:r>
      <w:r>
        <w:tab/>
        <w:t>redundant information atom (SURD)</w:t>
      </w:r>
    </w:p>
    <w:p w14:paraId="442248D1" w14:textId="77777777" w:rsidR="00FF347D" w:rsidRDefault="00000000">
      <w:pPr>
        <w:pStyle w:val="Compact"/>
        <w:ind w:left="1620" w:hanging="1620"/>
        <w:jc w:val="left"/>
      </w:pPr>
      <w:r>
        <w:rPr>
          <w:i/>
        </w:rPr>
        <w:t>r</w:t>
      </w:r>
      <w:r>
        <w:tab/>
        <w:t>Pearson correlation coefficient</w:t>
      </w:r>
    </w:p>
    <w:p w14:paraId="72504620" w14:textId="77777777" w:rsidR="00FF347D" w:rsidRDefault="00000000">
      <w:pPr>
        <w:pStyle w:val="Compact"/>
        <w:ind w:left="1620" w:hanging="1620"/>
        <w:jc w:val="left"/>
      </w:pPr>
      <w:r>
        <w:rPr>
          <w:i/>
        </w:rPr>
        <w:t>S</w:t>
      </w:r>
      <w:r>
        <w:tab/>
        <w:t>synergistic information atom (SURD)</w:t>
      </w:r>
    </w:p>
    <w:p w14:paraId="0C9F2F6A" w14:textId="77777777" w:rsidR="00FF347D" w:rsidRDefault="00000000">
      <w:pPr>
        <w:pStyle w:val="Compact"/>
        <w:ind w:left="1620" w:hanging="1620"/>
        <w:jc w:val="left"/>
      </w:pPr>
      <w:r>
        <w:rPr>
          <w:i/>
        </w:rPr>
        <w:t>T</w:t>
      </w:r>
      <w:r>
        <w:rPr>
          <w:i/>
          <w:vertAlign w:val="subscript"/>
        </w:rPr>
        <w:t>Y→X</w:t>
      </w:r>
      <w:r>
        <w:tab/>
        <w:t>transfer entropy from source Y to target X</w:t>
      </w:r>
    </w:p>
    <w:p w14:paraId="51EABDAA" w14:textId="77777777" w:rsidR="00FF347D" w:rsidRDefault="00000000">
      <w:pPr>
        <w:pStyle w:val="Compact"/>
        <w:ind w:left="1620" w:hanging="1620"/>
        <w:jc w:val="left"/>
      </w:pPr>
      <w:r>
        <w:rPr>
          <w:i/>
        </w:rPr>
        <w:t>TE</w:t>
      </w:r>
      <w:r>
        <w:rPr>
          <w:i/>
          <w:vertAlign w:val="subscript"/>
        </w:rPr>
        <w:t>d</w:t>
      </w:r>
      <w:r>
        <w:tab/>
        <w:t>delay-resolved transfer entropy at delay d</w:t>
      </w:r>
    </w:p>
    <w:p w14:paraId="357AF987" w14:textId="77777777" w:rsidR="00FF347D" w:rsidRDefault="00000000">
      <w:pPr>
        <w:pStyle w:val="Compact"/>
        <w:ind w:left="1620" w:hanging="1620"/>
        <w:jc w:val="left"/>
      </w:pPr>
      <w:r>
        <w:rPr>
          <w:i/>
        </w:rPr>
        <w:t>TE</w:t>
      </w:r>
      <w:r>
        <w:rPr>
          <w:i/>
          <w:vertAlign w:val="subscript"/>
        </w:rPr>
        <w:t>frac</w:t>
      </w:r>
      <w:r>
        <w:tab/>
        <w:t>normalized transfer entropy (TE / AIS)</w:t>
      </w:r>
    </w:p>
    <w:p w14:paraId="49C3708E" w14:textId="77777777" w:rsidR="00FF347D" w:rsidRDefault="00000000">
      <w:pPr>
        <w:pStyle w:val="Compact"/>
        <w:ind w:left="1620" w:hanging="1620"/>
        <w:jc w:val="left"/>
      </w:pPr>
      <w:r>
        <w:rPr>
          <w:i/>
        </w:rPr>
        <w:t>T</w:t>
      </w:r>
      <w:r>
        <w:rPr>
          <w:i/>
          <w:vertAlign w:val="subscript"/>
        </w:rPr>
        <w:t>p</w:t>
      </w:r>
      <w:r>
        <w:tab/>
        <w:t>wave peak (spectral) period</w:t>
      </w:r>
    </w:p>
    <w:p w14:paraId="69C1E07C" w14:textId="77777777" w:rsidR="00FF347D" w:rsidRDefault="00000000">
      <w:pPr>
        <w:pStyle w:val="Compact"/>
        <w:ind w:left="1620" w:hanging="1620"/>
        <w:jc w:val="left"/>
      </w:pPr>
      <w:r>
        <w:rPr>
          <w:i/>
        </w:rPr>
        <w:t>t</w:t>
      </w:r>
      <w:r>
        <w:tab/>
        <w:t>discrete time index</w:t>
      </w:r>
    </w:p>
    <w:p w14:paraId="4DCDDA46" w14:textId="77777777" w:rsidR="00FF347D" w:rsidRDefault="00000000">
      <w:pPr>
        <w:pStyle w:val="Compact"/>
        <w:ind w:left="1620" w:hanging="1620"/>
        <w:jc w:val="left"/>
      </w:pPr>
      <w:r>
        <w:rPr>
          <w:i/>
        </w:rPr>
        <w:t>U</w:t>
      </w:r>
      <w:r>
        <w:tab/>
        <w:t>unique information atom (SURD)</w:t>
      </w:r>
    </w:p>
    <w:p w14:paraId="6D3B987A" w14:textId="77777777" w:rsidR="00FF347D" w:rsidRDefault="00000000">
      <w:pPr>
        <w:pStyle w:val="Compact"/>
        <w:ind w:left="1620" w:hanging="1620"/>
        <w:jc w:val="left"/>
      </w:pPr>
      <w:r>
        <w:rPr>
          <w:i/>
        </w:rPr>
        <w:t>X</w:t>
      </w:r>
      <w:r>
        <w:tab/>
        <w:t>target time series (random variable)</w:t>
      </w:r>
    </w:p>
    <w:p w14:paraId="2255737D" w14:textId="77777777" w:rsidR="00FF347D" w:rsidRDefault="00000000">
      <w:pPr>
        <w:pStyle w:val="Compact"/>
        <w:ind w:left="1620" w:hanging="1620"/>
        <w:jc w:val="left"/>
      </w:pPr>
      <w:r>
        <w:rPr>
          <w:i/>
        </w:rPr>
        <w:t>x</w:t>
      </w:r>
      <w:r>
        <w:rPr>
          <w:i/>
          <w:vertAlign w:val="subscript"/>
        </w:rPr>
        <w:t>t</w:t>
      </w:r>
      <w:r>
        <w:rPr>
          <w:i/>
          <w:vertAlign w:val="superscript"/>
        </w:rPr>
        <w:t>(k)</w:t>
      </w:r>
      <w:r>
        <w:tab/>
        <w:t>delay-embedded history of X of order k</w:t>
      </w:r>
    </w:p>
    <w:p w14:paraId="433C3CEE" w14:textId="77777777" w:rsidR="00FF347D" w:rsidRDefault="00000000">
      <w:pPr>
        <w:pStyle w:val="Compact"/>
        <w:ind w:left="1620" w:hanging="1620"/>
        <w:jc w:val="left"/>
      </w:pPr>
      <w:r>
        <w:rPr>
          <w:i/>
        </w:rPr>
        <w:t>Y</w:t>
      </w:r>
      <w:r>
        <w:tab/>
        <w:t>source time series (random variable)</w:t>
      </w:r>
    </w:p>
    <w:p w14:paraId="78FA4AFA" w14:textId="77777777" w:rsidR="00FF347D" w:rsidRDefault="00000000">
      <w:pPr>
        <w:pStyle w:val="Compact"/>
        <w:ind w:left="1620" w:hanging="1620"/>
        <w:jc w:val="left"/>
      </w:pPr>
      <w:r>
        <w:rPr>
          <w:i/>
        </w:rPr>
        <w:t>y</w:t>
      </w:r>
      <w:r>
        <w:rPr>
          <w:i/>
          <w:vertAlign w:val="subscript"/>
        </w:rPr>
        <w:t>t</w:t>
      </w:r>
      <w:r>
        <w:rPr>
          <w:i/>
          <w:vertAlign w:val="superscript"/>
        </w:rPr>
        <w:t>(l)</w:t>
      </w:r>
      <w:r>
        <w:tab/>
        <w:t>delay-embedded history of Y of order l</w:t>
      </w:r>
    </w:p>
    <w:p w14:paraId="351B54D4" w14:textId="77777777" w:rsidR="00FF347D" w:rsidRDefault="00000000">
      <w:pPr>
        <w:pStyle w:val="Compact"/>
        <w:spacing w:before="80" w:after="40"/>
        <w:jc w:val="left"/>
      </w:pPr>
      <w:r>
        <w:rPr>
          <w:b/>
          <w:bCs/>
        </w:rPr>
        <w:t>Greek symbols</w:t>
      </w:r>
    </w:p>
    <w:p w14:paraId="7492142A" w14:textId="77777777" w:rsidR="00FF347D" w:rsidRDefault="00000000">
      <w:pPr>
        <w:pStyle w:val="Compact"/>
        <w:ind w:left="1620" w:hanging="1620"/>
        <w:jc w:val="left"/>
      </w:pPr>
      <w:r>
        <w:rPr>
          <w:i/>
        </w:rPr>
        <w:t>α</w:t>
      </w:r>
      <w:r>
        <w:tab/>
        <w:t>significance level (0.05)</w:t>
      </w:r>
    </w:p>
    <w:p w14:paraId="231C9695" w14:textId="77777777" w:rsidR="00FF347D" w:rsidRDefault="00000000">
      <w:pPr>
        <w:pStyle w:val="Compact"/>
        <w:ind w:left="1620" w:hanging="1620"/>
        <w:jc w:val="left"/>
      </w:pPr>
      <w:r>
        <w:rPr>
          <w:i/>
        </w:rPr>
        <w:t>γ</w:t>
      </w:r>
      <w:r>
        <w:rPr>
          <w:vertAlign w:val="superscript"/>
        </w:rPr>
        <w:t>2</w:t>
      </w:r>
      <w:r>
        <w:rPr>
          <w:i/>
        </w:rPr>
        <w:t>(f)</w:t>
      </w:r>
      <w:r>
        <w:tab/>
        <w:t>magnitude-squared (linear) coherence at frequency f</w:t>
      </w:r>
    </w:p>
    <w:p w14:paraId="1AC98768" w14:textId="77777777" w:rsidR="00FF347D" w:rsidRDefault="00000000">
      <w:pPr>
        <w:pStyle w:val="Compact"/>
        <w:ind w:left="1620" w:hanging="1620"/>
        <w:jc w:val="left"/>
      </w:pPr>
      <w:r>
        <w:rPr>
          <w:i/>
        </w:rPr>
        <w:t>Δf</w:t>
      </w:r>
      <w:r>
        <w:tab/>
        <w:t>frequency resolution of the coherence estimate</w:t>
      </w:r>
    </w:p>
    <w:p w14:paraId="405C59E0" w14:textId="77777777" w:rsidR="00FF347D" w:rsidRDefault="00000000">
      <w:pPr>
        <w:pStyle w:val="Compact"/>
        <w:ind w:left="1620" w:hanging="1620"/>
        <w:jc w:val="left"/>
      </w:pPr>
      <w:r>
        <w:rPr>
          <w:i/>
        </w:rPr>
        <w:t>τ</w:t>
      </w:r>
      <w:r>
        <w:tab/>
        <w:t>per-target lag-thinning (downsampling) factor</w:t>
      </w:r>
    </w:p>
    <w:p w14:paraId="31F0CFF3" w14:textId="77777777" w:rsidR="00FF347D" w:rsidRDefault="00000000">
      <w:pPr>
        <w:pStyle w:val="Compact"/>
        <w:spacing w:before="80" w:after="40"/>
        <w:jc w:val="left"/>
      </w:pPr>
      <w:r>
        <w:rPr>
          <w:b/>
          <w:bCs/>
        </w:rPr>
        <w:t>Abbreviations</w:t>
      </w:r>
    </w:p>
    <w:p w14:paraId="7E66747E" w14:textId="77777777" w:rsidR="00FF347D" w:rsidRDefault="00000000">
      <w:pPr>
        <w:pStyle w:val="Compact"/>
        <w:ind w:left="1620" w:hanging="1620"/>
        <w:jc w:val="left"/>
      </w:pPr>
      <w:r>
        <w:t>AIS</w:t>
        <w:tab/>
        <w:t>active information storage</w:t>
      </w:r>
    </w:p>
    <w:p w14:paraId="3B8FF019" w14:textId="77777777" w:rsidR="00FF347D" w:rsidRDefault="00000000">
      <w:pPr>
        <w:pStyle w:val="Compact"/>
        <w:ind w:left="1620" w:hanging="1620"/>
        <w:jc w:val="left"/>
      </w:pPr>
      <w:r>
        <w:t>DLC</w:t>
        <w:tab/>
        <w:t>design load case (IEC 61400)</w:t>
      </w:r>
    </w:p>
    <w:p w14:paraId="1BFABF55" w14:textId="77777777" w:rsidR="00FF347D" w:rsidRDefault="00000000">
      <w:pPr>
        <w:pStyle w:val="Compact"/>
        <w:ind w:left="1620" w:hanging="1620"/>
        <w:jc w:val="left"/>
      </w:pPr>
      <w:r>
        <w:t>FOWT</w:t>
        <w:tab/>
        <w:t>floating offshore wind turbine</w:t>
      </w:r>
    </w:p>
    <w:p w14:paraId="7D8AE7F5" w14:textId="77777777" w:rsidR="00FF347D" w:rsidRDefault="00000000">
      <w:pPr>
        <w:pStyle w:val="Compact"/>
        <w:ind w:left="1620" w:hanging="1620"/>
        <w:jc w:val="left"/>
      </w:pPr>
      <w:r>
        <w:t>GPU</w:t>
        <w:tab/>
        <w:t>graphics processing unit</w:t>
      </w:r>
    </w:p>
    <w:p w14:paraId="54F1982A" w14:textId="77777777" w:rsidR="00FF347D" w:rsidRDefault="00000000">
      <w:pPr>
        <w:pStyle w:val="Compact"/>
        <w:ind w:left="1620" w:hanging="1620"/>
        <w:jc w:val="left"/>
      </w:pPr>
      <w:r>
        <w:t>IDTxl</w:t>
        <w:tab/>
        <w:t>Information Dynamics Toolkit xl</w:t>
      </w:r>
    </w:p>
    <w:p w14:paraId="53676E54" w14:textId="77777777" w:rsidR="00FF347D" w:rsidRDefault="00000000">
      <w:pPr>
        <w:pStyle w:val="Compact"/>
        <w:ind w:left="1620" w:hanging="1620"/>
        <w:jc w:val="left"/>
      </w:pPr>
      <w:r>
        <w:t>IEA</w:t>
        <w:tab/>
        <w:t>International Energy Agency</w:t>
      </w:r>
    </w:p>
    <w:p w14:paraId="42007C02" w14:textId="77777777" w:rsidR="00FF347D" w:rsidRDefault="00000000">
      <w:pPr>
        <w:pStyle w:val="Compact"/>
        <w:ind w:left="1620" w:hanging="1620"/>
        <w:jc w:val="left"/>
      </w:pPr>
      <w:r>
        <w:t>IEC</w:t>
        <w:tab/>
        <w:t>International Electrotechnical Commission</w:t>
      </w:r>
    </w:p>
    <w:p w14:paraId="27A23D5B" w14:textId="77777777" w:rsidR="00FF347D" w:rsidRDefault="00000000">
      <w:pPr>
        <w:pStyle w:val="Compact"/>
        <w:ind w:left="1620" w:hanging="1620"/>
        <w:jc w:val="left"/>
      </w:pPr>
      <w:r>
        <w:t>JIDT</w:t>
        <w:tab/>
        <w:t>Java Information Dynamics Toolkit</w:t>
      </w:r>
    </w:p>
    <w:p w14:paraId="1618A3BA" w14:textId="77777777" w:rsidR="00FF347D" w:rsidRDefault="00000000">
      <w:pPr>
        <w:pStyle w:val="Compact"/>
        <w:ind w:left="1620" w:hanging="1620"/>
        <w:jc w:val="left"/>
      </w:pPr>
      <w:r>
        <w:t>JONSWAP</w:t>
        <w:tab/>
        <w:t>Joint North Sea Wave Project (wave spectrum)</w:t>
      </w:r>
    </w:p>
    <w:p w14:paraId="4A4DDDFA" w14:textId="77777777" w:rsidR="00FF347D" w:rsidRDefault="00000000">
      <w:pPr>
        <w:pStyle w:val="Compact"/>
        <w:ind w:left="1620" w:hanging="1620"/>
        <w:jc w:val="left"/>
      </w:pPr>
      <w:r>
        <w:t>KSG</w:t>
        <w:tab/>
        <w:t>Kraskov–Stögbauer–Grassberger (estimator)</w:t>
      </w:r>
    </w:p>
    <w:p w14:paraId="28499DA2" w14:textId="77777777" w:rsidR="00FF347D" w:rsidRDefault="00000000">
      <w:pPr>
        <w:pStyle w:val="Compact"/>
        <w:ind w:left="1620" w:hanging="1620"/>
        <w:jc w:val="left"/>
      </w:pPr>
      <w:r>
        <w:t>ML</w:t>
        <w:tab/>
        <w:t>machine learning</w:t>
      </w:r>
    </w:p>
    <w:p w14:paraId="2B311337" w14:textId="77777777" w:rsidR="00FF347D" w:rsidRDefault="00000000">
      <w:pPr>
        <w:pStyle w:val="Compact"/>
        <w:ind w:left="1620" w:hanging="1620"/>
        <w:jc w:val="left"/>
      </w:pPr>
      <w:r>
        <w:t>NREL</w:t>
        <w:tab/>
        <w:t>National Renewable Energy Laboratory</w:t>
      </w:r>
    </w:p>
    <w:p w14:paraId="14BAE3C6" w14:textId="77777777" w:rsidR="00FF347D" w:rsidRDefault="00000000">
      <w:pPr>
        <w:pStyle w:val="Compact"/>
        <w:ind w:left="1620" w:hanging="1620"/>
        <w:jc w:val="left"/>
      </w:pPr>
      <w:r>
        <w:lastRenderedPageBreak/>
        <w:t>OMA</w:t>
        <w:tab/>
        <w:t>operational modal analysis</w:t>
      </w:r>
    </w:p>
    <w:p w14:paraId="60C0DEA5" w14:textId="77777777" w:rsidR="00FF347D" w:rsidRDefault="00000000">
      <w:pPr>
        <w:pStyle w:val="Compact"/>
        <w:ind w:left="1620" w:hanging="1620"/>
        <w:jc w:val="left"/>
      </w:pPr>
      <w:r>
        <w:t>OpenFAST</w:t>
        <w:tab/>
        <w:t>NREL open-source wind-turbine aeroelastic simulator</w:t>
      </w:r>
    </w:p>
    <w:p w14:paraId="622A573A" w14:textId="77777777" w:rsidR="00FF347D" w:rsidRDefault="00000000">
      <w:pPr>
        <w:pStyle w:val="Compact"/>
        <w:ind w:left="1620" w:hanging="1620"/>
        <w:jc w:val="left"/>
      </w:pPr>
      <w:r>
        <w:t>ROSCO</w:t>
        <w:tab/>
        <w:t>Reference OpenSource Controller (for wind turbines)</w:t>
      </w:r>
    </w:p>
    <w:p w14:paraId="0D612C82" w14:textId="77777777" w:rsidR="00FF347D" w:rsidRDefault="00000000">
      <w:pPr>
        <w:pStyle w:val="Compact"/>
        <w:ind w:left="1620" w:hanging="1620"/>
        <w:jc w:val="left"/>
      </w:pPr>
      <w:r>
        <w:t>SCADA</w:t>
        <w:tab/>
        <w:t>supervisory control and data acquisition</w:t>
      </w:r>
    </w:p>
    <w:p w14:paraId="63F521EF" w14:textId="77777777" w:rsidR="00FF347D" w:rsidRDefault="00000000">
      <w:pPr>
        <w:pStyle w:val="Compact"/>
        <w:ind w:left="1620" w:hanging="1620"/>
        <w:jc w:val="left"/>
      </w:pPr>
      <w:r>
        <w:t>SURD</w:t>
        <w:tab/>
        <w:t>synergistic-unique-redundant decomposition</w:t>
      </w:r>
    </w:p>
    <w:p w14:paraId="4E23BC31" w14:textId="77777777" w:rsidR="00FF347D" w:rsidRDefault="00000000">
      <w:pPr>
        <w:pStyle w:val="Compact"/>
        <w:ind w:left="1620" w:hanging="1620"/>
        <w:jc w:val="left"/>
      </w:pPr>
      <w:r>
        <w:t>TE</w:t>
        <w:tab/>
        <w:t>transfer entropy</w:t>
      </w:r>
    </w:p>
    <w:p w14:paraId="4BF792FE" w14:textId="77777777" w:rsidR="00FF347D" w:rsidRDefault="00000000">
      <w:pPr>
        <w:pStyle w:val="Compact"/>
        <w:ind w:left="1620" w:hanging="1620"/>
        <w:jc w:val="left"/>
      </w:pPr>
      <w:r>
        <w:t>TurbSim</w:t>
        <w:tab/>
        <w:t>NREL stochastic turbulence simulator</w:t>
      </w:r>
    </w:p>
    <w:p w14:paraId="73CF0964" w14:textId="77777777" w:rsidR="000A2783" w:rsidRDefault="00000000">
      <w:r>
        <w:pict w14:anchorId="7750026B">
          <v:rect id="_x0000_i1025" style="width:0;height:1.5pt" o:hralign="center" o:hrstd="t" o:hr="t"/>
        </w:pict>
      </w:r>
    </w:p>
    <w:p w14:paraId="68A8297A" w14:textId="77777777" w:rsidR="000A2783" w:rsidRDefault="00000000">
      <w:pPr>
        <w:pStyle w:val="Heading2"/>
      </w:pPr>
      <w:bookmarkStart w:id="1" w:name="introduction"/>
      <w:bookmarkEnd w:id="0"/>
      <w:r>
        <w:t>1. Introduction</w:t>
      </w:r>
    </w:p>
    <w:p w14:paraId="164C19BF"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0084617F"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719D05F2"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2FFA19B1"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28B85539"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42AA2ED8" w14:textId="77777777" w:rsidR="000A2783" w:rsidRDefault="00000000">
      <w:pPr>
        <w:pStyle w:val="Heading3"/>
      </w:pPr>
      <w:bookmarkStart w:id="2" w:name="motivation-and-contribution"/>
      <w:r>
        <w:t>1.1 Motivation and Contribution</w:t>
      </w:r>
    </w:p>
    <w:p w14:paraId="15D3E4B8"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CFA2EEC" w14:textId="77777777" w:rsidR="000A2783" w:rsidRDefault="00000000">
      <w:pPr>
        <w:pStyle w:val="BodyText"/>
      </w:pPr>
      <w:r>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w:t>
        <w:lastRenderedPageBreak/>
        <w:t xml:space="preserve">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24E709E6"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4E738143" w14:textId="77777777" w:rsidR="000A2783" w:rsidRDefault="00000000">
      <w:pPr>
        <w:pStyle w:val="BodyText"/>
      </w:pPr>
      <w:r>
        <w:t>This paper makes two contributions and develops a motivated outlook:</w:t>
      </w:r>
    </w:p>
    <w:p w14:paraId="4032D6D5"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79688E01"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3B1CBA65"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58277C3F" w14:textId="77777777" w:rsidR="000A2783" w:rsidRDefault="00000000">
      <w:pPr>
        <w:pStyle w:val="BodyText"/>
      </w:pPr>
      <w:r>
        <w:t xml:space="preserve">The scope is deliberately narrow: a single turbine (IEA-15MW) on a single platform (VolturnUS-S), simulated in OpenFAST at four wind speeds under the IEC normal turbulence model with wind-speed-matched sea states, plus a severe-sea-state DLC 1.6 set near rated. The </w:t>
        <w:lastRenderedPageBreak/>
        <w:t>claims made here are correspondingly bounded, and Section 4 states them as such. What the study establishes is a mechanism and its attribution; what it does not establish is a validated fault-detection method, a boundary made explicit throughout.</w:t>
      </w:r>
    </w:p>
    <w:p w14:paraId="7DD668A1"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2578F056" w14:textId="77777777" w:rsidR="000A2783" w:rsidRDefault="00000000">
      <w:r>
        <w:pict w14:anchorId="5379A94C">
          <v:rect id="_x0000_i1026" style="width:0;height:1.5pt" o:hralign="center" o:hrstd="t" o:hr="t"/>
        </w:pict>
      </w:r>
    </w:p>
    <w:p w14:paraId="2BA8D2DC" w14:textId="77777777" w:rsidR="000A2783" w:rsidRDefault="00000000">
      <w:pPr>
        <w:pStyle w:val="Heading2"/>
      </w:pPr>
      <w:bookmarkStart w:id="3" w:name="theory-and-methods"/>
      <w:bookmarkEnd w:id="1"/>
      <w:bookmarkEnd w:id="2"/>
      <w:r>
        <w:t>2. Theory and Methods</w:t>
      </w:r>
    </w:p>
    <w:p w14:paraId="06ADFD92" w14:textId="77777777" w:rsidR="000A2783" w:rsidRDefault="00000000">
      <w:pPr>
        <w:pStyle w:val="FirstParagraph"/>
      </w:pPr>
      <w:r>
        <w:t>This section sets out the transfer-entropy formalism (Section 2.1) and the simulation and estimation pipeline used to evaluate it (Sections 2.2–2.9). Figure 1 summarises the analysis pipeline: OpenFAST simulation, signal conditioning, parallel TE / coherence / SURD estimation, and construction of the monitoring signature.</w:t>
      </w:r>
    </w:p>
    <w:p w14:paraId="5BE56DA1" w14:textId="77777777" w:rsidR="000A2783" w:rsidRDefault="00000000">
      <w:pPr>
        <w:pStyle w:val="BodyText"/>
      </w:pPr>
      <w:r>
        <w:rPr>
          <w:noProof/>
        </w:rPr>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0BAB9E0C"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51DADCB1" w14:textId="77777777" w:rsidR="000A2783" w:rsidRDefault="00000000">
      <w:pPr>
        <w:pStyle w:val="Heading3"/>
      </w:pPr>
      <w:bookmarkStart w:id="4" w:name="Xf83e1850f78bef0bb4ba32f52ad0cccd9d9586b"/>
      <w:r>
        <w:lastRenderedPageBreak/>
        <w:t>2.1 Transfer entropy and information-theoretic causality</w:t>
      </w:r>
    </w:p>
    <w:p w14:paraId="54516431"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(Sections 2.4 and 2.7) condition on further components of </w:t>
      </w:r>
      <m:oMath>
        <m:r>
          <m:rPr>
            <m:sty m:val="b"/>
          </m:rPr>
          <w:rPr>
            <w:rFonts w:ascii="Cambria Math" w:hAnsi="Cambria Math"/>
          </w:rPr>
          <m:t>X</m:t>
        </m:r>
      </m:oMath>
      <w:r>
        <w:t>.</w:t>
      </w:r>
    </w:p>
    <w:p w14:paraId="517D893C"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72840189" w14:textId="77777777" w:rsidTr="00D01C5A">
        <w:tc>
          <w:tcPr>
            <w:tcW w:w="8568" w:type="dxa"/>
            <w:vAlign w:val="center"/>
          </w:tcPr>
          <w:p w14:paraId="5806B00B" w14:textId="77777777"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139C6965" w14:textId="77777777"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4D3BC74D"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CB0960F" w14:textId="77777777" w:rsidTr="00D01C5A">
        <w:tc>
          <w:tcPr>
            <w:tcW w:w="8478" w:type="dxa"/>
            <w:vAlign w:val="center"/>
          </w:tcPr>
          <w:p w14:paraId="0959A96C" w14:textId="77777777" w:rsidR="000872AE" w:rsidRDefault="000872AE" w:rsidP="00D01C5A">
            <w:pPr>
              <w:pStyle w:val="BodyText"/>
              <w:jc w:val="center"/>
            </w:pPr>
            <m:oMathPara>
              <m:oMath>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4FC53C8C" w14:textId="77777777"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7D79970F" w14:textId="77777777"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67DAEF4E" w14:textId="77777777" w:rsidTr="00D01C5A">
        <w:tc>
          <w:tcPr>
            <w:tcW w:w="8478" w:type="dxa"/>
          </w:tcPr>
          <w:p w14:paraId="3CA523F1" w14:textId="77777777"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660BA61" w14:textId="77777777"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551B7BE5"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10D0A89E" w14:textId="77777777" w:rsidTr="00E44048">
        <w:tc>
          <w:tcPr>
            <w:tcW w:w="8478" w:type="dxa"/>
          </w:tcPr>
          <w:p w14:paraId="1A6CE400" w14:textId="77777777" w:rsidR="00D42CE2" w:rsidRDefault="00000000"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5E738560" w14:textId="77777777"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FE168BA"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498AA7A5" w14:textId="77777777" w:rsidTr="00E44048">
        <w:tc>
          <w:tcPr>
            <w:tcW w:w="8478" w:type="dxa"/>
            <w:vAlign w:val="center"/>
          </w:tcPr>
          <w:p w14:paraId="757B6B4D"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1AD070F8"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74E3EB4"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174C654E" w14:textId="77777777" w:rsidTr="00E44048">
        <w:tc>
          <w:tcPr>
            <w:tcW w:w="8478" w:type="dxa"/>
            <w:vAlign w:val="center"/>
          </w:tcPr>
          <w:p w14:paraId="3FC87075" w14:textId="77777777" w:rsidR="0077427B" w:rsidRDefault="00000000"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078F1605" w14:textId="77777777"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68D7309C" w14:textId="77777777"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2270B142"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w:t>
        <w:lastRenderedPageBreak/>
        <w:t xml:space="preserve">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584CE99F" w14:textId="77777777" w:rsidR="000A2783" w:rsidRDefault="00000000">
      <w:pPr>
        <w:pStyle w:val="BodyText"/>
      </w:pPr>
      <w:r>
        <w:t>A limitation of pairwise TE is that it cannot separate redundant, unique, and synergistic contributions when several sources jointly drive a target. The SURD framework (Martínez-Sánchez et al., 2024) resolves this by decomposing the information several sources jointly provide about a target’s future into those distinct components. SURD is used not as the primary metric but as an attribution tool: it allows asking whether the wind information that never reaches the platform is instead being captured by the blade-pitch command; the decomposition and its operating parameters are detailed in Section 2.7.</w:t>
      </w:r>
    </w:p>
    <w:p w14:paraId="19AB5EE4" w14:textId="77777777" w:rsidR="000A2783" w:rsidRDefault="00000000">
      <w:pPr>
        <w:pStyle w:val="Heading3"/>
      </w:pPr>
      <w:bookmarkStart w:id="5" w:name="turbine-model-and-simulation-campaign"/>
      <w:bookmarkEnd w:id="4"/>
      <w:r>
        <w:t>2.2 Turbine model and simulation campaign</w:t>
      </w:r>
    </w:p>
    <w:p w14:paraId="5E641A68" w14:textId="77777777" w:rsidR="000A2783" w:rsidRDefault="00000000">
      <w:pPr>
        <w:pStyle w:val="FirstParagraph"/>
      </w:pPr>
      <w:r>
        <w:t>The plant is the IEA Wind 15-MW reference turbine (Gaertner et al., 2020), with a rated wind speed of 10.59 m/s, mounted on the UMaine VolturnUS-S reference semisubmersible (Allen et al., 2020), simulated in OpenFAST v4.2.0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 The coupled module structure is shown in Figure 2: external conditions — turbulent wind from TurbSim/InflowWind and irregular waves from SeaState — set the applied loads through AeroDyn 15 (blade-element momentum with Prandtl tip-loss and a dynamic-wake model) and HydroDyn, and these drive the wind-turbine dynamics, comprising ServoDyn with the ROSCO controller, the ElastoDyn structural response of the blades, tower, nacelle and platform, and MoorDyn dynamic mooring cross-checked quasi-statically with MoorPy. The blades are represented with ElastoDyn rather than BeamDyn, and OpenFAST orchestrates the coupled time-step integration.</w:t>
      </w:r>
    </w:p>
    <w:p w14:paraId="4155EFDB" w14:textId="77777777" w:rsidR="00F44868" w:rsidRDefault="00000000">
      <w:pPr>
        <w:pStyle w:val="BodyText"/>
        <w:jc w:val="center"/>
      </w:pPr>
      <w:r>
        <w:rPr>
          <w:noProof/>
        </w:rPr>
        <w:lastRenderedPageBreak/>
        <w:drawing>
          <wp:inline distT="0" distB="0" distL="0" distR="0" wp14:anchorId="4970CC71" wp14:editId="075FE5A5">
            <wp:extent cx="5334000" cy="3145749"/>
            <wp:effectExtent l="0" t="0" r="0" b="0"/>
            <wp:docPr id="200" name="Picture Fig2"/>
            <wp:cNvGraphicFramePr/>
            <a:graphic xmlns:a="http://schemas.openxmlformats.org/drawingml/2006/main">
              <a:graphicData uri="http://schemas.openxmlformats.org/drawingml/2006/picture">
                <pic:pic xmlns:pic="http://schemas.openxmlformats.org/drawingml/2006/picture">
                  <pic:nvPicPr>
                    <pic:cNvPr id="201" name="Picture Fig2" descr="figs/fig0-openfast-modules.png"/>
                    <pic:cNvPicPr>
                      <a:picLocks noChangeAspect="1" noChangeArrowheads="1"/>
                    </pic:cNvPicPr>
                  </pic:nvPicPr>
                  <pic:blipFill>
                    <a:blip r:embed="rId7"/>
                    <a:stretch>
                      <a:fillRect/>
                    </a:stretch>
                  </pic:blipFill>
                  <pic:spPr bwMode="auto">
                    <a:xfrm>
                      <a:off x="0" y="0"/>
                      <a:ext cx="5334000" cy="3145749"/>
                    </a:xfrm>
                    <a:prstGeom prst="rect">
                      <a:avLst/>
                    </a:prstGeom>
                    <a:noFill/>
                    <a:ln w="9525">
                      <a:noFill/>
                      <a:headEnd/>
                      <a:tailEnd/>
                    </a:ln>
                  </pic:spPr>
                </pic:pic>
              </a:graphicData>
            </a:graphic>
          </wp:inline>
        </w:drawing>
      </w:r>
    </w:p>
    <w:p w14:paraId="18DF89DD" w14:textId="77777777" w:rsidR="00F44868" w:rsidRDefault="00000000">
      <w:pPr>
        <w:pStyle w:val="BodyText"/>
      </w:pPr>
      <w:r>
        <w:rPr>
          <w:b/>
          <w:bCs/>
        </w:rPr>
        <w:t>Figure 2.</w:t>
      </w:r>
      <w:r>
        <w:t xml:space="preserve"> OpenFAST coupled aero-hydro-servo-elastic model — the modules used in this work and their coupling.</w:t>
      </w:r>
    </w:p>
    <w:p w14:paraId="52B8ACF0"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3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lastRenderedPageBreak/>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11CF623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4494" w:type="pct"/>
        <w:tblLayout w:type="fixed"/>
        <w:tblLook w:val="0020" w:firstRow="1" w:lastRow="0" w:firstColumn="0" w:lastColumn="0" w:noHBand="0" w:noVBand="0"/>
      </w:tblPr>
      <w:tblGrid>
        <w:gridCol w:w="1425"/>
        <w:gridCol w:w="2394"/>
        <w:gridCol w:w="2394"/>
        <w:gridCol w:w="2394"/>
      </w:tblGrid>
      <w:tr w:rsidR="000A2783" w14:paraId="41A55F0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1425" w:type="dxa"/>
            <w:tcBorders>
              <w:top w:val="nil"/>
              <w:bottom w:val="nil"/>
            </w:tcBorders>
          </w:tcPr>
          <w:p w14:paraId="5BF8529D" w14:textId="77777777" w:rsidR="000A2783" w:rsidRDefault="00000000">
            <w:pPr>
              <w:pStyle w:val="Compact"/>
            </w:pPr>
            <w:r>
              <w:t>Channel</w:t>
            </w:r>
          </w:p>
        </w:tc>
        <w:tc>
          <w:tcPr>
            <w:tcW w:w="2394" w:type="dxa"/>
            <w:tcBorders>
              <w:top w:val="nil"/>
              <w:bottom w:val="nil"/>
            </w:tcBorders>
          </w:tcPr>
          <w:p w14:paraId="6086416D" w14:textId="77777777" w:rsidR="000A2783" w:rsidRDefault="00000000">
            <w:pPr>
              <w:pStyle w:val="Compact"/>
            </w:pPr>
            <w:r>
              <w:t>Physical quantity</w:t>
            </w:r>
          </w:p>
        </w:tc>
        <w:tc>
          <w:tcPr>
            <w:tcW w:w="2394" w:type="dxa"/>
            <w:tcBorders>
              <w:top w:val="nil"/>
              <w:bottom w:val="nil"/>
            </w:tcBorders>
          </w:tcPr>
          <w:p w14:paraId="1988DE1F" w14:textId="77777777" w:rsidR="000A2783" w:rsidRDefault="00000000">
            <w:pPr>
              <w:pStyle w:val="Compact"/>
            </w:pPr>
            <w:r>
              <w:t>Units</w:t>
            </w:r>
          </w:p>
        </w:tc>
        <w:tc>
          <w:tcPr>
            <w:tcW w:w="2394" w:type="dxa"/>
            <w:tcBorders>
              <w:top w:val="nil"/>
              <w:bottom w:val="nil"/>
            </w:tcBorders>
          </w:tcPr>
          <w:p w14:paraId="32BE17D7" w14:textId="77777777" w:rsidR="000A2783" w:rsidRDefault="00000000">
            <w:pPr>
              <w:pStyle w:val="Compact"/>
            </w:pPr>
            <w:r>
              <w:t>Role</w:t>
            </w:r>
          </w:p>
        </w:tc>
      </w:tr>
      <w:tr w:rsidR="000A2783" w14:paraId="05DAD39E" w14:textId="77777777" w:rsidTr="006E3FC9">
        <w:tc>
          <w:tcPr>
            <w:tcW w:w="1425" w:type="dxa"/>
            <w:tcBorders>
              <w:top w:val="nil"/>
            </w:tcBorders>
          </w:tcPr>
          <w:p w14:paraId="003AA9A5" w14:textId="77777777" w:rsidR="000A2783" w:rsidRDefault="00000000">
            <w:pPr>
              <w:pStyle w:val="Compact"/>
            </w:pPr>
            <w:r>
              <w:rPr>
                <w:rStyle w:val="VerbatimChar"/>
              </w:rPr>
              <w:t>Wind1VelX</w:t>
            </w:r>
          </w:p>
        </w:tc>
        <w:tc>
          <w:tcPr>
            <w:tcW w:w="2394" w:type="dxa"/>
            <w:tcBorders>
              <w:top w:val="nil"/>
            </w:tcBorders>
          </w:tcPr>
          <w:p w14:paraId="658AD137" w14:textId="77777777" w:rsidR="000A2783" w:rsidRDefault="00000000">
            <w:pPr>
              <w:pStyle w:val="Compact"/>
            </w:pPr>
            <w:r>
              <w:t>Hub-height longitudinal wind speed</w:t>
            </w:r>
          </w:p>
        </w:tc>
        <w:tc>
          <w:tcPr>
            <w:tcW w:w="2394" w:type="dxa"/>
            <w:tcBorders>
              <w:top w:val="nil"/>
            </w:tcBorders>
          </w:tcPr>
          <w:p w14:paraId="1989269E" w14:textId="77777777" w:rsidR="000A2783" w:rsidRDefault="00000000">
            <w:pPr>
              <w:pStyle w:val="Compact"/>
            </w:pPr>
            <w:r>
              <w:t>m/s</w:t>
            </w:r>
          </w:p>
        </w:tc>
        <w:tc>
          <w:tcPr>
            <w:tcW w:w="2394" w:type="dxa"/>
            <w:tcBorders>
              <w:top w:val="nil"/>
            </w:tcBorders>
          </w:tcPr>
          <w:p w14:paraId="3D9B3206" w14:textId="77777777" w:rsidR="000A2783" w:rsidRDefault="00000000">
            <w:pPr>
              <w:pStyle w:val="Compact"/>
            </w:pPr>
            <w:r>
              <w:t>Environmental driver (source)</w:t>
            </w:r>
          </w:p>
        </w:tc>
      </w:tr>
      <w:tr w:rsidR="000A2783" w14:paraId="51DB027A" w14:textId="77777777" w:rsidTr="006E3FC9">
        <w:tc>
          <w:tcPr>
            <w:tcW w:w="1425" w:type="dxa"/>
          </w:tcPr>
          <w:p w14:paraId="36F51A28" w14:textId="77777777" w:rsidR="000A2783" w:rsidRDefault="00000000">
            <w:pPr>
              <w:pStyle w:val="Compact"/>
            </w:pPr>
            <w:r>
              <w:rPr>
                <w:rStyle w:val="VerbatimChar"/>
              </w:rPr>
              <w:t>Wave1Elev</w:t>
            </w:r>
          </w:p>
        </w:tc>
        <w:tc>
          <w:tcPr>
            <w:tcW w:w="2394" w:type="dxa"/>
          </w:tcPr>
          <w:p w14:paraId="73F94E7D" w14:textId="77777777" w:rsidR="000A2783" w:rsidRDefault="00000000">
            <w:pPr>
              <w:pStyle w:val="Compact"/>
            </w:pPr>
            <w:r>
              <w:t>Wave elevation at the platform reference point</w:t>
            </w:r>
          </w:p>
        </w:tc>
        <w:tc>
          <w:tcPr>
            <w:tcW w:w="2394" w:type="dxa"/>
          </w:tcPr>
          <w:p w14:paraId="3E450912" w14:textId="77777777" w:rsidR="000A2783" w:rsidRDefault="00000000">
            <w:pPr>
              <w:pStyle w:val="Compact"/>
            </w:pPr>
            <w:r>
              <w:t>m</w:t>
            </w:r>
          </w:p>
        </w:tc>
        <w:tc>
          <w:tcPr>
            <w:tcW w:w="2394" w:type="dxa"/>
          </w:tcPr>
          <w:p w14:paraId="7979D486" w14:textId="77777777" w:rsidR="000A2783" w:rsidRDefault="00000000">
            <w:pPr>
              <w:pStyle w:val="Compact"/>
            </w:pPr>
            <w:r>
              <w:t>Environmental driver (source)</w:t>
            </w:r>
          </w:p>
        </w:tc>
      </w:tr>
      <w:tr w:rsidR="000A2783" w14:paraId="47A3D135" w14:textId="77777777" w:rsidTr="006E3FC9">
        <w:tc>
          <w:tcPr>
            <w:tcW w:w="1425" w:type="dxa"/>
          </w:tcPr>
          <w:p w14:paraId="59FAEE71" w14:textId="77777777" w:rsidR="000A2783" w:rsidRDefault="00000000">
            <w:pPr>
              <w:pStyle w:val="Compact"/>
            </w:pPr>
            <w:r>
              <w:rPr>
                <w:rStyle w:val="VerbatimChar"/>
              </w:rPr>
              <w:t>PtfmSurge</w:t>
            </w:r>
          </w:p>
        </w:tc>
        <w:tc>
          <w:tcPr>
            <w:tcW w:w="2394" w:type="dxa"/>
          </w:tcPr>
          <w:p w14:paraId="0A9A4304" w14:textId="77777777" w:rsidR="000A2783" w:rsidRDefault="00000000">
            <w:pPr>
              <w:pStyle w:val="Compact"/>
            </w:pPr>
            <w:r>
              <w:t>Platform surge displacement</w:t>
            </w:r>
          </w:p>
        </w:tc>
        <w:tc>
          <w:tcPr>
            <w:tcW w:w="2394" w:type="dxa"/>
          </w:tcPr>
          <w:p w14:paraId="5B099B63" w14:textId="77777777" w:rsidR="000A2783" w:rsidRDefault="00000000">
            <w:pPr>
              <w:pStyle w:val="Compact"/>
            </w:pPr>
            <w:r>
              <w:t>m</w:t>
            </w:r>
          </w:p>
        </w:tc>
        <w:tc>
          <w:tcPr>
            <w:tcW w:w="2394" w:type="dxa"/>
          </w:tcPr>
          <w:p w14:paraId="1A9B01E1" w14:textId="77777777" w:rsidR="000A2783" w:rsidRDefault="00000000">
            <w:pPr>
              <w:pStyle w:val="Compact"/>
            </w:pPr>
            <w:r>
              <w:t>Platform response (target)</w:t>
            </w:r>
          </w:p>
        </w:tc>
      </w:tr>
      <w:tr w:rsidR="000A2783" w14:paraId="619C7A96" w14:textId="77777777" w:rsidTr="006E3FC9">
        <w:tc>
          <w:tcPr>
            <w:tcW w:w="1425" w:type="dxa"/>
          </w:tcPr>
          <w:p w14:paraId="729DA821" w14:textId="77777777" w:rsidR="000A2783" w:rsidRDefault="00000000">
            <w:pPr>
              <w:pStyle w:val="Compact"/>
            </w:pPr>
            <w:r>
              <w:rPr>
                <w:rStyle w:val="VerbatimChar"/>
              </w:rPr>
              <w:t>PtfmHeave</w:t>
            </w:r>
          </w:p>
        </w:tc>
        <w:tc>
          <w:tcPr>
            <w:tcW w:w="2394" w:type="dxa"/>
          </w:tcPr>
          <w:p w14:paraId="2547FDF0" w14:textId="77777777" w:rsidR="000A2783" w:rsidRDefault="00000000">
            <w:pPr>
              <w:pStyle w:val="Compact"/>
            </w:pPr>
            <w:r>
              <w:t>Platform heave displacement</w:t>
            </w:r>
          </w:p>
        </w:tc>
        <w:tc>
          <w:tcPr>
            <w:tcW w:w="2394" w:type="dxa"/>
          </w:tcPr>
          <w:p w14:paraId="55E5B515" w14:textId="77777777" w:rsidR="000A2783" w:rsidRDefault="00000000">
            <w:pPr>
              <w:pStyle w:val="Compact"/>
            </w:pPr>
            <w:r>
              <w:t>m</w:t>
            </w:r>
          </w:p>
        </w:tc>
        <w:tc>
          <w:tcPr>
            <w:tcW w:w="2394" w:type="dxa"/>
          </w:tcPr>
          <w:p w14:paraId="6860B8C0" w14:textId="77777777" w:rsidR="000A2783" w:rsidRDefault="00000000">
            <w:pPr>
              <w:pStyle w:val="Compact"/>
            </w:pPr>
            <w:r>
              <w:t>Platform response (target)</w:t>
            </w:r>
          </w:p>
        </w:tc>
      </w:tr>
      <w:tr w:rsidR="000A2783" w14:paraId="12A6040F" w14:textId="77777777" w:rsidTr="006E3FC9">
        <w:tc>
          <w:tcPr>
            <w:tcW w:w="1425" w:type="dxa"/>
          </w:tcPr>
          <w:p w14:paraId="4B17A85B" w14:textId="77777777" w:rsidR="000A2783" w:rsidRDefault="00000000">
            <w:pPr>
              <w:pStyle w:val="Compact"/>
            </w:pPr>
            <w:r>
              <w:rPr>
                <w:rStyle w:val="VerbatimChar"/>
              </w:rPr>
              <w:t>PtfmPitch</w:t>
            </w:r>
          </w:p>
        </w:tc>
        <w:tc>
          <w:tcPr>
            <w:tcW w:w="2394" w:type="dxa"/>
          </w:tcPr>
          <w:p w14:paraId="65A2790F" w14:textId="77777777" w:rsidR="000A2783" w:rsidRDefault="00000000">
            <w:pPr>
              <w:pStyle w:val="Compact"/>
            </w:pPr>
            <w:r>
              <w:t>Platform pitch rotation</w:t>
            </w:r>
          </w:p>
        </w:tc>
        <w:tc>
          <w:tcPr>
            <w:tcW w:w="2394" w:type="dxa"/>
          </w:tcPr>
          <w:p w14:paraId="250B11A9" w14:textId="77777777" w:rsidR="000A2783" w:rsidRDefault="00000000">
            <w:pPr>
              <w:pStyle w:val="Compact"/>
            </w:pPr>
            <w:r>
              <w:t>deg</w:t>
            </w:r>
          </w:p>
        </w:tc>
        <w:tc>
          <w:tcPr>
            <w:tcW w:w="2394" w:type="dxa"/>
          </w:tcPr>
          <w:p w14:paraId="34B158BC" w14:textId="77777777" w:rsidR="000A2783" w:rsidRDefault="00000000">
            <w:pPr>
              <w:pStyle w:val="Compact"/>
            </w:pPr>
            <w:r>
              <w:t>Platform response (target)</w:t>
            </w:r>
          </w:p>
        </w:tc>
      </w:tr>
      <w:tr w:rsidR="000A2783" w14:paraId="7E029503" w14:textId="77777777" w:rsidTr="006E3FC9">
        <w:tc>
          <w:tcPr>
            <w:tcW w:w="1425" w:type="dxa"/>
          </w:tcPr>
          <w:p w14:paraId="05F66C2C" w14:textId="77777777" w:rsidR="000A2783" w:rsidRDefault="00000000">
            <w:pPr>
              <w:pStyle w:val="Compact"/>
            </w:pPr>
            <w:r>
              <w:rPr>
                <w:rStyle w:val="VerbatimChar"/>
              </w:rPr>
              <w:t>FAIRTEN1</w:t>
            </w:r>
          </w:p>
        </w:tc>
        <w:tc>
          <w:tcPr>
            <w:tcW w:w="2394" w:type="dxa"/>
          </w:tcPr>
          <w:p w14:paraId="59A09AB7" w14:textId="77777777" w:rsidR="000A2783" w:rsidRDefault="00000000">
            <w:pPr>
              <w:pStyle w:val="Compact"/>
            </w:pPr>
            <w:r>
              <w:t>Fairlead tension, up-wave mooring line</w:t>
            </w:r>
          </w:p>
        </w:tc>
        <w:tc>
          <w:tcPr>
            <w:tcW w:w="2394" w:type="dxa"/>
          </w:tcPr>
          <w:p w14:paraId="015C4A4E" w14:textId="77777777" w:rsidR="000A2783" w:rsidRDefault="00000000">
            <w:pPr>
              <w:pStyle w:val="Compact"/>
            </w:pPr>
            <w:r>
              <w:t>N</w:t>
            </w:r>
          </w:p>
        </w:tc>
        <w:tc>
          <w:tcPr>
            <w:tcW w:w="2394" w:type="dxa"/>
          </w:tcPr>
          <w:p w14:paraId="4C9B546C" w14:textId="77777777" w:rsidR="000A2783" w:rsidRDefault="00000000">
            <w:pPr>
              <w:pStyle w:val="Compact"/>
            </w:pPr>
            <w:r>
              <w:t>Mooring response (target)</w:t>
            </w:r>
          </w:p>
        </w:tc>
      </w:tr>
      <w:tr w:rsidR="000A2783" w14:paraId="0F013F57" w14:textId="77777777" w:rsidTr="006E3FC9">
        <w:tc>
          <w:tcPr>
            <w:tcW w:w="1425" w:type="dxa"/>
          </w:tcPr>
          <w:p w14:paraId="441BA154" w14:textId="77777777" w:rsidR="000A2783" w:rsidRDefault="00000000">
            <w:pPr>
              <w:pStyle w:val="Compact"/>
            </w:pPr>
            <w:r>
              <w:rPr>
                <w:rStyle w:val="VerbatimChar"/>
              </w:rPr>
              <w:t>FAIRTEN2</w:t>
            </w:r>
          </w:p>
        </w:tc>
        <w:tc>
          <w:tcPr>
            <w:tcW w:w="2394" w:type="dxa"/>
          </w:tcPr>
          <w:p w14:paraId="7308FC7D" w14:textId="77777777" w:rsidR="000A2783" w:rsidRDefault="00000000">
            <w:pPr>
              <w:pStyle w:val="Compact"/>
            </w:pPr>
            <w:r>
              <w:t>Fairlead tension, down-wave mooring line</w:t>
            </w:r>
          </w:p>
        </w:tc>
        <w:tc>
          <w:tcPr>
            <w:tcW w:w="2394" w:type="dxa"/>
          </w:tcPr>
          <w:p w14:paraId="3ACB339B" w14:textId="77777777" w:rsidR="000A2783" w:rsidRDefault="00000000">
            <w:pPr>
              <w:pStyle w:val="Compact"/>
            </w:pPr>
            <w:r>
              <w:t>N</w:t>
            </w:r>
          </w:p>
        </w:tc>
        <w:tc>
          <w:tcPr>
            <w:tcW w:w="2394" w:type="dxa"/>
          </w:tcPr>
          <w:p w14:paraId="2087A63D" w14:textId="77777777" w:rsidR="000A2783" w:rsidRDefault="00000000">
            <w:pPr>
              <w:pStyle w:val="Compact"/>
            </w:pPr>
            <w:r>
              <w:t>Mooring response (target)</w:t>
            </w:r>
          </w:p>
        </w:tc>
      </w:tr>
      <w:tr w:rsidR="000A2783" w14:paraId="11E005B1" w14:textId="77777777" w:rsidTr="006E3FC9">
        <w:tc>
          <w:tcPr>
            <w:tcW w:w="1425" w:type="dxa"/>
          </w:tcPr>
          <w:p w14:paraId="3DE7A387" w14:textId="77777777" w:rsidR="000A2783" w:rsidRDefault="00000000">
            <w:pPr>
              <w:pStyle w:val="Compact"/>
            </w:pPr>
            <w:r>
              <w:rPr>
                <w:rStyle w:val="VerbatimChar"/>
              </w:rPr>
              <w:t>FAIRTEN3</w:t>
            </w:r>
          </w:p>
        </w:tc>
        <w:tc>
          <w:tcPr>
            <w:tcW w:w="2394" w:type="dxa"/>
          </w:tcPr>
          <w:p w14:paraId="7A795159" w14:textId="77777777" w:rsidR="000A2783" w:rsidRDefault="00000000">
            <w:pPr>
              <w:pStyle w:val="Compact"/>
            </w:pPr>
            <w:r>
              <w:t>Fairlead tension, down-wave mooring line</w:t>
            </w:r>
          </w:p>
        </w:tc>
        <w:tc>
          <w:tcPr>
            <w:tcW w:w="2394" w:type="dxa"/>
          </w:tcPr>
          <w:p w14:paraId="1B32C556" w14:textId="77777777" w:rsidR="000A2783" w:rsidRDefault="00000000">
            <w:pPr>
              <w:pStyle w:val="Compact"/>
            </w:pPr>
            <w:r>
              <w:t>N</w:t>
            </w:r>
          </w:p>
        </w:tc>
        <w:tc>
          <w:tcPr>
            <w:tcW w:w="2394" w:type="dxa"/>
          </w:tcPr>
          <w:p w14:paraId="05C92D6B" w14:textId="77777777" w:rsidR="000A2783" w:rsidRDefault="00000000">
            <w:pPr>
              <w:pStyle w:val="Compact"/>
            </w:pPr>
            <w:r>
              <w:t>Mooring response (target)</w:t>
            </w:r>
          </w:p>
        </w:tc>
      </w:tr>
      <w:tr w:rsidR="000A2783" w14:paraId="798154D2" w14:textId="77777777" w:rsidTr="006E3FC9">
        <w:tc>
          <w:tcPr>
            <w:tcW w:w="1425" w:type="dxa"/>
          </w:tcPr>
          <w:p w14:paraId="5A470408" w14:textId="77777777" w:rsidR="000A2783" w:rsidRDefault="00000000">
            <w:pPr>
              <w:pStyle w:val="Compact"/>
            </w:pPr>
            <w:r>
              <w:rPr>
                <w:rStyle w:val="VerbatimChar"/>
              </w:rPr>
              <w:t>RootMxc1</w:t>
            </w:r>
          </w:p>
        </w:tc>
        <w:tc>
          <w:tcPr>
            <w:tcW w:w="2394" w:type="dxa"/>
          </w:tcPr>
          <w:p w14:paraId="7172919A" w14:textId="77777777" w:rsidR="000A2783" w:rsidRDefault="00000000">
            <w:pPr>
              <w:pStyle w:val="Compact"/>
            </w:pPr>
            <w:r>
              <w:t>Blade-1 root edgewise (in-plane) moment</w:t>
            </w:r>
          </w:p>
        </w:tc>
        <w:tc>
          <w:tcPr>
            <w:tcW w:w="2394" w:type="dxa"/>
          </w:tcPr>
          <w:p w14:paraId="5348B3F6" w14:textId="77777777" w:rsidR="000A2783" w:rsidRDefault="00000000">
            <w:pPr>
              <w:pStyle w:val="Compact"/>
            </w:pPr>
            <w:r>
              <w:t>kN·m</w:t>
            </w:r>
          </w:p>
        </w:tc>
        <w:tc>
          <w:tcPr>
            <w:tcW w:w="2394" w:type="dxa"/>
          </w:tcPr>
          <w:p w14:paraId="272CB751" w14:textId="77777777" w:rsidR="000A2783" w:rsidRDefault="00000000">
            <w:pPr>
              <w:pStyle w:val="Compact"/>
            </w:pPr>
            <w:r>
              <w:t>Structural response (target)</w:t>
            </w:r>
          </w:p>
        </w:tc>
      </w:tr>
      <w:tr w:rsidR="000A2783" w14:paraId="1D63574F" w14:textId="77777777" w:rsidTr="006E3FC9">
        <w:tc>
          <w:tcPr>
            <w:tcW w:w="1425" w:type="dxa"/>
          </w:tcPr>
          <w:p w14:paraId="719FF78B" w14:textId="77777777" w:rsidR="000A2783" w:rsidRDefault="00000000">
            <w:pPr>
              <w:pStyle w:val="Compact"/>
            </w:pPr>
            <w:r>
              <w:rPr>
                <w:rStyle w:val="VerbatimChar"/>
              </w:rPr>
              <w:t>RootMyc1</w:t>
            </w:r>
          </w:p>
        </w:tc>
        <w:tc>
          <w:tcPr>
            <w:tcW w:w="2394" w:type="dxa"/>
          </w:tcPr>
          <w:p w14:paraId="20E8880F" w14:textId="77777777" w:rsidR="000A2783" w:rsidRDefault="00000000">
            <w:pPr>
              <w:pStyle w:val="Compact"/>
            </w:pPr>
            <w:r>
              <w:t>Blade-1 root flapwise (out-of-plane) moment</w:t>
            </w:r>
          </w:p>
        </w:tc>
        <w:tc>
          <w:tcPr>
            <w:tcW w:w="2394" w:type="dxa"/>
          </w:tcPr>
          <w:p w14:paraId="13B864F8" w14:textId="77777777" w:rsidR="000A2783" w:rsidRDefault="00000000">
            <w:pPr>
              <w:pStyle w:val="Compact"/>
            </w:pPr>
            <w:r>
              <w:t>kN·m</w:t>
            </w:r>
          </w:p>
        </w:tc>
        <w:tc>
          <w:tcPr>
            <w:tcW w:w="2394" w:type="dxa"/>
          </w:tcPr>
          <w:p w14:paraId="24063671" w14:textId="77777777" w:rsidR="000A2783" w:rsidRDefault="00000000">
            <w:pPr>
              <w:pStyle w:val="Compact"/>
            </w:pPr>
            <w:r>
              <w:t>Structural response (target)</w:t>
            </w:r>
          </w:p>
        </w:tc>
      </w:tr>
      <w:tr w:rsidR="000A2783" w14:paraId="11D3498C" w14:textId="77777777" w:rsidTr="006E3FC9">
        <w:tc>
          <w:tcPr>
            <w:tcW w:w="1425" w:type="dxa"/>
          </w:tcPr>
          <w:p w14:paraId="07192567" w14:textId="77777777" w:rsidR="000A2783" w:rsidRDefault="00000000">
            <w:pPr>
              <w:pStyle w:val="Compact"/>
            </w:pPr>
            <w:r>
              <w:rPr>
                <w:rStyle w:val="VerbatimChar"/>
              </w:rPr>
              <w:t>TwrBsMyt</w:t>
            </w:r>
          </w:p>
        </w:tc>
        <w:tc>
          <w:tcPr>
            <w:tcW w:w="2394" w:type="dxa"/>
          </w:tcPr>
          <w:p w14:paraId="6ABCA0A1" w14:textId="77777777" w:rsidR="000A2783" w:rsidRDefault="00000000">
            <w:pPr>
              <w:pStyle w:val="Compact"/>
            </w:pPr>
            <w:r>
              <w:t>Tower-base fore-aft (pitching) moment</w:t>
            </w:r>
          </w:p>
        </w:tc>
        <w:tc>
          <w:tcPr>
            <w:tcW w:w="2394" w:type="dxa"/>
          </w:tcPr>
          <w:p w14:paraId="616B33E0" w14:textId="77777777" w:rsidR="000A2783" w:rsidRDefault="00000000">
            <w:pPr>
              <w:pStyle w:val="Compact"/>
            </w:pPr>
            <w:r>
              <w:t>kN·m</w:t>
            </w:r>
          </w:p>
        </w:tc>
        <w:tc>
          <w:tcPr>
            <w:tcW w:w="2394" w:type="dxa"/>
          </w:tcPr>
          <w:p w14:paraId="68B20E16" w14:textId="77777777" w:rsidR="000A2783" w:rsidRDefault="00000000">
            <w:pPr>
              <w:pStyle w:val="Compact"/>
            </w:pPr>
            <w:r>
              <w:t>Structural response (target)</w:t>
            </w:r>
          </w:p>
        </w:tc>
      </w:tr>
      <w:tr w:rsidR="000A2783" w14:paraId="7EBA9912" w14:textId="77777777" w:rsidTr="006E3FC9">
        <w:tc>
          <w:tcPr>
            <w:tcW w:w="1425" w:type="dxa"/>
          </w:tcPr>
          <w:p w14:paraId="71B93462" w14:textId="77777777" w:rsidR="000A2783" w:rsidRDefault="00000000">
            <w:pPr>
              <w:pStyle w:val="Compact"/>
            </w:pPr>
            <w:r>
              <w:rPr>
                <w:rStyle w:val="VerbatimChar"/>
              </w:rPr>
              <w:t>BldPitch1</w:t>
            </w:r>
          </w:p>
        </w:tc>
        <w:tc>
          <w:tcPr>
            <w:tcW w:w="2394" w:type="dxa"/>
          </w:tcPr>
          <w:p w14:paraId="691B7A1A" w14:textId="77777777" w:rsidR="000A2783" w:rsidRDefault="00000000">
            <w:pPr>
              <w:pStyle w:val="Compact"/>
            </w:pPr>
            <w:r>
              <w:t>Blade-1 collective pitch angle</w:t>
            </w:r>
          </w:p>
        </w:tc>
        <w:tc>
          <w:tcPr>
            <w:tcW w:w="2394" w:type="dxa"/>
          </w:tcPr>
          <w:p w14:paraId="5E2823DD" w14:textId="77777777" w:rsidR="000A2783" w:rsidRDefault="00000000">
            <w:pPr>
              <w:pStyle w:val="Compact"/>
            </w:pPr>
            <w:r>
              <w:t>deg</w:t>
            </w:r>
          </w:p>
        </w:tc>
        <w:tc>
          <w:tcPr>
            <w:tcW w:w="2394" w:type="dxa"/>
          </w:tcPr>
          <w:p w14:paraId="44F4CF1E" w14:textId="77777777" w:rsidR="000A2783" w:rsidRDefault="00000000">
            <w:pPr>
              <w:pStyle w:val="Compact"/>
            </w:pPr>
            <w:r>
              <w:t>Control / intermediate</w:t>
            </w:r>
          </w:p>
        </w:tc>
      </w:tr>
      <w:tr w:rsidR="000A2783" w14:paraId="7D3EA452" w14:textId="77777777" w:rsidTr="006E3FC9">
        <w:tc>
          <w:tcPr>
            <w:tcW w:w="1425" w:type="dxa"/>
            <w:tcBorders>
              <w:bottom w:val="nil"/>
            </w:tcBorders>
          </w:tcPr>
          <w:p w14:paraId="578F4C50" w14:textId="77777777" w:rsidR="000A2783" w:rsidRDefault="00000000">
            <w:pPr>
              <w:pStyle w:val="Compact"/>
            </w:pPr>
            <w:r>
              <w:rPr>
                <w:rStyle w:val="VerbatimChar"/>
              </w:rPr>
              <w:t>RotThrust</w:t>
            </w:r>
          </w:p>
        </w:tc>
        <w:tc>
          <w:tcPr>
            <w:tcW w:w="2394" w:type="dxa"/>
            <w:tcBorders>
              <w:bottom w:val="nil"/>
            </w:tcBorders>
          </w:tcPr>
          <w:p w14:paraId="2F6F6DCF" w14:textId="77777777" w:rsidR="000A2783" w:rsidRDefault="00000000">
            <w:pPr>
              <w:pStyle w:val="Compact"/>
            </w:pPr>
            <w:r>
              <w:t>Rotor thrust</w:t>
            </w:r>
          </w:p>
        </w:tc>
        <w:tc>
          <w:tcPr>
            <w:tcW w:w="2394" w:type="dxa"/>
            <w:tcBorders>
              <w:bottom w:val="nil"/>
            </w:tcBorders>
          </w:tcPr>
          <w:p w14:paraId="60D46262" w14:textId="77777777" w:rsidR="000A2783" w:rsidRDefault="00000000">
            <w:pPr>
              <w:pStyle w:val="Compact"/>
            </w:pPr>
            <w:r>
              <w:t>kN</w:t>
            </w:r>
          </w:p>
        </w:tc>
        <w:tc>
          <w:tcPr>
            <w:tcW w:w="2394" w:type="dxa"/>
            <w:tcBorders>
              <w:bottom w:val="nil"/>
            </w:tcBorders>
          </w:tcPr>
          <w:p w14:paraId="4ECF2EAE" w14:textId="77777777" w:rsidR="000A2783" w:rsidRDefault="00000000">
            <w:pPr>
              <w:pStyle w:val="Compact"/>
            </w:pPr>
            <w:r>
              <w:t>Control / intermediate</w:t>
            </w:r>
          </w:p>
        </w:tc>
      </w:tr>
    </w:tbl>
    <w:p w14:paraId="6732D932" w14:textId="77777777" w:rsidR="000A2783" w:rsidRDefault="00000000" w:rsidP="002769C0">
      <w:pPr>
        <w:pStyle w:val="BodyText"/>
        <w:jc w:val="center"/>
      </w:pPr>
      <w:r>
        <w:rPr>
          <w:noProof/>
        </w:rPr>
        <w:lastRenderedPageBreak/>
        <w:drawing>
          <wp:inline distT="0" distB="0" distL="0" distR="0" wp14:anchorId="44588743" wp14:editId="1349DF39">
            <wp:extent cx="5334000" cy="2072669"/>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8"/>
                    <a:stretch>
                      <a:fillRect/>
                    </a:stretch>
                  </pic:blipFill>
                  <pic:spPr bwMode="auto">
                    <a:xfrm>
                      <a:off x="0" y="0"/>
                      <a:ext cx="5334000" cy="2072669"/>
                    </a:xfrm>
                    <a:prstGeom prst="rect">
                      <a:avLst/>
                    </a:prstGeom>
                    <a:noFill/>
                    <a:ln w="9525">
                      <a:noFill/>
                      <a:headEnd/>
                      <a:tailEnd/>
                    </a:ln>
                  </pic:spPr>
                </pic:pic>
              </a:graphicData>
            </a:graphic>
          </wp:inline>
        </w:drawing>
      </w:r>
    </w:p>
    <w:p w14:paraId="24C3334D" w14:textId="77777777" w:rsidR="000A2783" w:rsidRDefault="00000000">
      <w:pPr>
        <w:pStyle w:val="BodyText"/>
      </w:pPr>
      <w:r>
        <w:rPr>
          <w:b/>
          <w:bCs/>
        </w:rPr>
        <w:t>Figure 3.</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F93C62B" w14:textId="77777777" w:rsidR="000A2783" w:rsidRDefault="00000000">
      <w:pPr>
        <w:pStyle w:val="Heading3"/>
      </w:pPr>
      <w:bookmarkStart w:id="6" w:name="signal-conditioning"/>
      <w:bookmarkEnd w:id="5"/>
      <w:r>
        <w:t>2.3 Signal conditioning</w:t>
      </w:r>
    </w:p>
    <w:p w14:paraId="13265E7A"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Section III.A). Analysis windows contain 15,001 samples (≈ 50 min) per run.</w:t>
      </w:r>
    </w:p>
    <w:p w14:paraId="420335BA" w14:textId="77777777" w:rsidR="000A2783" w:rsidRDefault="00000000">
      <w:pPr>
        <w:pStyle w:val="Heading3"/>
      </w:pPr>
      <w:bookmarkStart w:id="7" w:name="transfer-entropy-estimation"/>
      <w:bookmarkEnd w:id="6"/>
      <w:r>
        <w:t>2.4 Transfer-entropy estimation</w:t>
      </w:r>
    </w:p>
    <w:p w14:paraId="1030FE62" w14:textId="77777777" w:rsidR="000A2783" w:rsidRDefault="00000000">
      <w:pPr>
        <w:pStyle w:val="FirstParagraph"/>
        <w:rPr>
          <w:rtl/>
          <w:lang w:bidi="fa-IR"/>
        </w:rPr>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Lizier, 2014; Wollstadt et al., 2019). IDTxl performs greedy, statistically guided selection of source and target history variables rather than fixing an embedding a priori.</w:t>
      </w:r>
    </w:p>
    <w:p w14:paraId="429BB8F6"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w:t>
        <w:lastRenderedPageBreak/>
        <w:t xml:space="preserve">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Section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6B139A85"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6A1BC265" w14:textId="77777777" w:rsidR="000A2783" w:rsidRDefault="00000000">
      <w:pPr>
        <w:pStyle w:val="BodyText"/>
      </w:pPr>
      <w:r>
        <w:t xml:space="preserve">Fault-detection applications of transfer entropy typically identify four quantities to optimize for the problem at hand: the sampling rate, the analysis-window width, and the 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45FD940D"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w:t>
        <w:lastRenderedPageBreak/>
        <w:t xml:space="preserve">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2C259E20" w14:textId="77777777" w:rsidR="000A2783" w:rsidRDefault="00000000">
      <w:pPr>
        <w:pStyle w:val="Heading3"/>
      </w:pPr>
      <w:bookmarkStart w:id="8" w:name="effect-size-and-significance"/>
      <w:bookmarkEnd w:id="7"/>
      <w:r>
        <w:t>2.5 Effect size and significance</w:t>
      </w:r>
    </w:p>
    <w:p w14:paraId="3A2FFE94"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 (Eq. 7),</w:t>
      </w:r>
    </w:p>
    <w:tbl>
      <w:tblPr>
        <w:tblStyle w:val="TableGrid"/>
        <w:tblW w:w="0" w:type="auto"/>
        <w:tblLook w:val="04A0" w:firstRow="1" w:lastRow="0" w:firstColumn="1" w:lastColumn="0" w:noHBand="0" w:noVBand="1"/>
      </w:tblPr>
      <w:tblGrid>
        <w:gridCol w:w="8658"/>
        <w:gridCol w:w="918"/>
      </w:tblGrid>
      <w:tr w:rsidR="00096640" w14:paraId="51E18A0C" w14:textId="77777777" w:rsidTr="00096640">
        <w:tc>
          <w:tcPr>
            <w:tcW w:w="8658" w:type="dxa"/>
            <w:vAlign w:val="center"/>
          </w:tcPr>
          <w:p w14:paraId="5E463C25" w14:textId="77777777" w:rsidR="00096640" w:rsidRDefault="00000000" w:rsidP="00096640">
            <w:pPr>
              <w:pStyle w:val="BodyText"/>
              <w:jc w:val="center"/>
            </w:pPr>
            <m:oMathPara>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tc>
        <w:tc>
          <w:tcPr>
            <w:tcW w:w="918" w:type="dxa"/>
            <w:vAlign w:val="center"/>
          </w:tcPr>
          <w:p w14:paraId="477E431D" w14:textId="77777777" w:rsidR="00096640" w:rsidRDefault="00096640" w:rsidP="00096640">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7</w:t>
            </w:r>
            <w:r>
              <w:rPr>
                <w:rFonts w:asciiTheme="majorBidi" w:hAnsiTheme="majorBidi" w:cstheme="majorBidi"/>
              </w:rPr>
              <w:fldChar w:fldCharType="end"/>
              <w:t>)</w:t>
            </w:r>
          </w:p>
        </w:tc>
      </w:tr>
    </w:tbl>
    <w:p w14:paraId="5479D862"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616F0243" w14:textId="77777777" w:rsidR="000A2783" w:rsidRDefault="00000000">
      <w:pPr>
        <w:pStyle w:val="BodyText"/>
      </w:pPr>
      <w:r>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7AB6BC4C" w14:textId="77777777" w:rsidR="000A2783" w:rsidRDefault="00000000">
      <w:pPr>
        <w:pStyle w:val="Heading3"/>
      </w:pPr>
      <w:bookmarkStart w:id="9" w:name="coherence-baseline"/>
      <w:bookmarkEnd w:id="8"/>
      <w:r>
        <w:t>2.6 Coherence baseline</w:t>
      </w:r>
    </w:p>
    <w:p w14:paraId="4F62A865"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16E2FD0A" w14:textId="77777777" w:rsidR="000A2783" w:rsidRDefault="00000000">
      <w:pPr>
        <w:pStyle w:val="Heading3"/>
      </w:pPr>
      <w:bookmarkStart w:id="10" w:name="surd-attribution"/>
      <w:bookmarkEnd w:id="9"/>
      <w:r>
        <w:t>2.7 SURD attribution</w:t>
      </w:r>
    </w:p>
    <w:p w14:paraId="1D123403"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 (Eq. 8):</w:t>
      </w:r>
    </w:p>
    <w:p w14:paraId="5E622696" w14:textId="77777777" w:rsidR="00FD7F8F" w:rsidRDefault="00FD7F8F" w:rsidP="00FD7F8F">
      <w:pPr>
        <w:pStyle w:val="BodyText"/>
      </w:pPr>
    </w:p>
    <w:p w14:paraId="766F3DFA" w14:textId="77777777" w:rsidR="00FD7F8F" w:rsidRDefault="00FD7F8F" w:rsidP="00FD7F8F">
      <w:pPr>
        <w:pStyle w:val="BodyText"/>
      </w:pPr>
    </w:p>
    <w:tbl>
      <w:tblPr>
        <w:tblStyle w:val="TableGrid"/>
        <w:tblW w:w="0" w:type="auto"/>
        <w:tblLook w:val="04A0" w:firstRow="1" w:lastRow="0" w:firstColumn="1" w:lastColumn="0" w:noHBand="0" w:noVBand="1"/>
      </w:tblPr>
      <w:tblGrid>
        <w:gridCol w:w="8478"/>
        <w:gridCol w:w="720"/>
      </w:tblGrid>
      <w:tr w:rsidR="00FD7F8F" w14:paraId="023CC9F5" w14:textId="77777777" w:rsidTr="00092EB5">
        <w:tc>
          <w:tcPr>
            <w:tcW w:w="8478" w:type="dxa"/>
            <w:vAlign w:val="center"/>
          </w:tcPr>
          <w:p w14:paraId="24A998D5" w14:textId="77777777" w:rsidR="00FD7F8F" w:rsidRPr="00092EB5" w:rsidRDefault="00FD7F8F" w:rsidP="00092EB5">
            <w:pPr>
              <w:pStyle w:val="BodyText"/>
              <w:jc w:val="center"/>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oMath>
            </m:oMathPara>
          </w:p>
        </w:tc>
        <w:tc>
          <w:tcPr>
            <w:tcW w:w="720" w:type="dxa"/>
            <w:vAlign w:val="center"/>
          </w:tcPr>
          <w:p w14:paraId="1958E458" w14:textId="77777777" w:rsidR="00FD7F8F" w:rsidRDefault="00FD7F8F" w:rsidP="00092EB5">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8</w:t>
            </w:r>
            <w:r>
              <w:rPr>
                <w:rFonts w:asciiTheme="majorBidi" w:hAnsiTheme="majorBidi" w:cstheme="majorBidi"/>
              </w:rPr>
              <w:fldChar w:fldCharType="end"/>
              <w:t>)</w:t>
            </w:r>
          </w:p>
        </w:tc>
      </w:tr>
    </w:tbl>
    <w:p w14:paraId="711C6224" w14:textId="77777777" w:rsidR="000A2783" w:rsidRDefault="00092EB5">
      <w:pPr>
        <w:pStyle w:val="FirstParagraph"/>
      </w:pPr>
      <w:r>
        <w:t>Atoms are classified as unique, redundant, or synergistic based on the information they provide about a source. A unique atom contains information only that source provides; a redundant atom shares information across a subset; and a synergistic atom offers information only available from their joint state. A residual “leak” term captures information about the source's future not explained by observed sources. Key atoms for attribution include the unique wind information in the blade-pitch command (U:Wind1VelX) and the redundant atoms (R:Wind1VelX+BldPitch1) combined in BldPitch1, along with aggregate terms wind_into_controllers and controller_drop_material, representing wind information in the control channel. If the firewall were dominated by wave effects, these terms would be near zero—absent of wind info; if by the controller, they are large. The decomposition applies over 0.2–5.0 s lags at 5 Hz, using a three-bin marginal quantization (nbins=3) to keep the joint state space manageable for reliable frequency estimates with 15,001 samples. All SURD quantities are expressed as normalized, dimensionless fractions: the atoms are ratios of maximum mutual information, and the leak (and its differences) are fractions of the target’s future entropy. This makes them comparable across channels, though they are not in nats and cannot be directly compared to the transfer-entropy values of Sections 3.1–3.2.</w:t>
      </w:r>
    </w:p>
    <w:p w14:paraId="68EDEA60" w14:textId="77777777" w:rsidR="000A2783" w:rsidRDefault="00000000">
      <w:pPr>
        <w:pStyle w:val="Heading3"/>
      </w:pPr>
      <w:bookmarkStart w:id="11" w:name="monitoring-signature-construction"/>
      <w:bookmarkEnd w:id="10"/>
      <w:r>
        <w:t>2.8 Monitoring-signature construction</w:t>
      </w:r>
    </w:p>
    <w:p w14:paraId="0A4559FE"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xml:space="preserve">). The healthy population defines a baseline ceiling on TE(Wind → structure); the monitoring hypothesis is that fault populations exceed it. The fault side of this table is presently empty of computed transfer entropy (Section </w:t>
        <w:lastRenderedPageBreak/>
        <w:t>3.4), so the signature is used to establish the healthy baseline and the monitoring claim is treated as an untested outlook.</w:t>
      </w:r>
    </w:p>
    <w:p w14:paraId="219A1514" w14:textId="77777777" w:rsidR="000A2783" w:rsidRDefault="00000000">
      <w:pPr>
        <w:pStyle w:val="Heading3"/>
      </w:pPr>
      <w:bookmarkStart w:id="12" w:name="delay-resolved-transfer-entropy"/>
      <w:bookmarkEnd w:id="11"/>
      <w:r>
        <w:t>2.9 Delay-resolved transfer entropy</w:t>
      </w:r>
    </w:p>
    <w:p w14:paraId="2F2775C3"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 (Eq. 9):</w:t>
      </w:r>
    </w:p>
    <w:tbl>
      <w:tblPr>
        <w:tblStyle w:val="TableGrid"/>
        <w:tblW w:w="0" w:type="auto"/>
        <w:tblLook w:val="04A0" w:firstRow="1" w:lastRow="0" w:firstColumn="1" w:lastColumn="0" w:noHBand="0" w:noVBand="1"/>
      </w:tblPr>
      <w:tblGrid>
        <w:gridCol w:w="8658"/>
        <w:gridCol w:w="918"/>
      </w:tblGrid>
      <w:tr w:rsidR="00D96723" w14:paraId="424E8A5E" w14:textId="77777777" w:rsidTr="00D96723">
        <w:tc>
          <w:tcPr>
            <w:tcW w:w="8658" w:type="dxa"/>
            <w:vAlign w:val="center"/>
          </w:tcPr>
          <w:p w14:paraId="17DD76FC" w14:textId="77777777" w:rsidR="00D96723" w:rsidRDefault="00000000" w:rsidP="00D96723">
            <w:pPr>
              <w:pStyle w:val="BodyText"/>
              <w:jc w:val="center"/>
            </w:pPr>
            <m:oMathPara>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tc>
        <w:tc>
          <w:tcPr>
            <w:tcW w:w="918" w:type="dxa"/>
            <w:vAlign w:val="center"/>
          </w:tcPr>
          <w:p w14:paraId="262A5D6B" w14:textId="77777777" w:rsidR="00D96723" w:rsidRDefault="00D96723" w:rsidP="00D96723">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9</w:t>
            </w:r>
            <w:r>
              <w:rPr>
                <w:rFonts w:asciiTheme="majorBidi" w:hAnsiTheme="majorBidi" w:cstheme="majorBidi"/>
              </w:rPr>
              <w:fldChar w:fldCharType="end"/>
              <w:t>)</w:t>
            </w:r>
          </w:p>
        </w:tc>
      </w:tr>
    </w:tbl>
    <w:p w14:paraId="5A1F1056"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edge-of-window artifacts and, for channels responding in phase with the forcing, the half-period aliases; where the physical response is itself near-antiphase, the selected delay legitimately falls near the half-period boundary (platform surge, Section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74C2AB6D" w14:textId="77777777" w:rsidR="000A2783" w:rsidRDefault="00000000">
      <w:r>
        <w:pict w14:anchorId="14055065">
          <v:rect id="_x0000_i1027" style="width:0;height:1.5pt" o:hralign="center" o:hrstd="t" o:hr="t"/>
        </w:pict>
      </w:r>
    </w:p>
    <w:p w14:paraId="6B375BEC" w14:textId="77777777" w:rsidR="000A2783" w:rsidRDefault="00000000">
      <w:pPr>
        <w:pStyle w:val="Heading2"/>
      </w:pPr>
      <w:bookmarkStart w:id="13" w:name="results"/>
      <w:bookmarkEnd w:id="3"/>
      <w:bookmarkEnd w:id="12"/>
      <w:r>
        <w:t>3. Results</w:t>
      </w:r>
    </w:p>
    <w:p w14:paraId="45CE5928"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183F2714" w14:textId="77777777" w:rsidR="000A2783" w:rsidRDefault="00000000">
      <w:pPr>
        <w:pStyle w:val="Heading3"/>
      </w:pPr>
      <w:bookmarkStart w:id="14" w:name="Xcd12dcbbf68bfb9b8d8e45db9a11096ecc47354"/>
      <w:r>
        <w:lastRenderedPageBreak/>
        <w:t>3.1 The firewall: wind carries no information into platform motion</w:t>
      </w:r>
    </w:p>
    <w:p w14:paraId="49CAF20C" w14:textId="77777777" w:rsidR="000A2783" w:rsidRDefault="00000000">
      <w:pPr>
        <w:pStyle w:val="FirstParagraph"/>
      </w:pPr>
      <w:r>
        <w:t>The central result is a stark asymmetry between the two environmental drivers. Table 2 and Figure 4 report transfer entropy from each driver into the platform-pitch response across all 54 simulations.</w:t>
      </w:r>
    </w:p>
    <w:p w14:paraId="09B490A7"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jc w:val="center"/>
        <w:tblLayout w:type="fixed"/>
        <w:tblLook w:val="0020" w:firstRow="1" w:lastRow="0" w:firstColumn="0" w:lastColumn="0" w:noHBand="0" w:noVBand="0"/>
      </w:tblPr>
      <w:tblGrid>
        <w:gridCol w:w="2394"/>
        <w:gridCol w:w="2394"/>
        <w:gridCol w:w="2394"/>
        <w:gridCol w:w="2394"/>
      </w:tblGrid>
      <w:tr w:rsidR="000A2783" w14:paraId="09C3C36C"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1980" w:type="dxa"/>
            <w:vAlign w:val="center"/>
          </w:tcPr>
          <w:p w14:paraId="6F1E056C" w14:textId="77777777" w:rsidR="000A2783" w:rsidRDefault="00000000" w:rsidP="00116C18">
            <w:pPr>
              <w:pStyle w:val="Compact"/>
              <w:jc w:val="center"/>
            </w:pPr>
            <w:r>
              <w:t>Source → target</w:t>
            </w:r>
          </w:p>
        </w:tc>
        <w:tc>
          <w:tcPr>
            <w:tcW w:w="1980" w:type="dxa"/>
            <w:vAlign w:val="center"/>
          </w:tcPr>
          <w:p w14:paraId="6DC2E742" w14:textId="77777777" w:rsidR="000A2783" w:rsidRDefault="00000000" w:rsidP="00116C18">
            <w:pPr>
              <w:pStyle w:val="Compact"/>
              <w:jc w:val="center"/>
            </w:pPr>
            <w:r>
              <w:t>Mean TE (nats)</w:t>
            </w:r>
          </w:p>
        </w:tc>
        <w:tc>
          <w:tcPr>
            <w:tcW w:w="1980" w:type="dxa"/>
            <w:vAlign w:val="center"/>
          </w:tcPr>
          <w:p w14:paraId="692EC5E3" w14:textId="77777777" w:rsidR="000A2783" w:rsidRDefault="00000000" w:rsidP="00116C18">
            <w:pPr>
              <w:pStyle w:val="Compact"/>
              <w:jc w:val="center"/>
            </w:pPr>
            <w:r>
              <w:t>Max TE (nats)</w:t>
            </w:r>
          </w:p>
        </w:tc>
        <w:tc>
          <w:tcPr>
            <w:tcW w:w="1980" w:type="dxa"/>
            <w:vAlign w:val="center"/>
          </w:tcPr>
          <w:p w14:paraId="426A797F" w14:textId="77777777" w:rsidR="000A2783" w:rsidRDefault="00000000" w:rsidP="00116C18">
            <w:pPr>
              <w:pStyle w:val="Compact"/>
              <w:jc w:val="center"/>
            </w:pPr>
            <w:r>
              <w:t>Fraction significant</w:t>
            </w:r>
          </w:p>
        </w:tc>
      </w:tr>
      <w:tr w:rsidR="000A2783" w14:paraId="01363BBE" w14:textId="77777777" w:rsidTr="00116C18">
        <w:trPr>
          <w:jc w:val="center"/>
        </w:trPr>
        <w:tc>
          <w:tcPr>
            <w:tcW w:w="1980" w:type="dxa"/>
            <w:vAlign w:val="center"/>
          </w:tcPr>
          <w:p w14:paraId="362CC83F" w14:textId="77777777" w:rsidR="000A2783" w:rsidRDefault="00000000" w:rsidP="00116C18">
            <w:pPr>
              <w:pStyle w:val="Compact"/>
              <w:jc w:val="center"/>
            </w:pPr>
            <w:r>
              <w:t>Wind → PtfmPitch</w:t>
            </w:r>
          </w:p>
        </w:tc>
        <w:tc>
          <w:tcPr>
            <w:tcW w:w="1980" w:type="dxa"/>
            <w:vAlign w:val="center"/>
          </w:tcPr>
          <w:p w14:paraId="6F0AF3B2" w14:textId="77777777" w:rsidR="000A2783" w:rsidRDefault="00000000" w:rsidP="00116C18">
            <w:pPr>
              <w:pStyle w:val="Compact"/>
              <w:jc w:val="center"/>
            </w:pPr>
            <w:r>
              <w:t>0.0009</w:t>
            </w:r>
          </w:p>
        </w:tc>
        <w:tc>
          <w:tcPr>
            <w:tcW w:w="1980" w:type="dxa"/>
            <w:vAlign w:val="center"/>
          </w:tcPr>
          <w:p w14:paraId="1233F990" w14:textId="77777777" w:rsidR="000A2783" w:rsidRDefault="00000000" w:rsidP="00116C18">
            <w:pPr>
              <w:pStyle w:val="Compact"/>
              <w:jc w:val="center"/>
            </w:pPr>
            <w:r>
              <w:t>0.0293</w:t>
            </w:r>
          </w:p>
        </w:tc>
        <w:tc>
          <w:tcPr>
            <w:tcW w:w="1980" w:type="dxa"/>
            <w:vAlign w:val="center"/>
          </w:tcPr>
          <w:p w14:paraId="6EF9D390" w14:textId="77777777" w:rsidR="000A2783" w:rsidRDefault="00000000" w:rsidP="00116C18">
            <w:pPr>
              <w:pStyle w:val="Compact"/>
              <w:jc w:val="center"/>
            </w:pPr>
            <w:r>
              <w:t>3.7%</w:t>
            </w:r>
          </w:p>
        </w:tc>
      </w:tr>
      <w:tr w:rsidR="000A2783" w14:paraId="4DAAF3D8" w14:textId="77777777" w:rsidTr="00116C18">
        <w:trPr>
          <w:jc w:val="center"/>
        </w:trPr>
        <w:tc>
          <w:tcPr>
            <w:tcW w:w="1980" w:type="dxa"/>
            <w:vAlign w:val="center"/>
          </w:tcPr>
          <w:p w14:paraId="189EA864" w14:textId="77777777" w:rsidR="000A2783" w:rsidRDefault="00000000" w:rsidP="00116C18">
            <w:pPr>
              <w:pStyle w:val="Compact"/>
              <w:jc w:val="center"/>
            </w:pPr>
            <w:r>
              <w:t>Wave → PtfmPitch</w:t>
            </w:r>
          </w:p>
        </w:tc>
        <w:tc>
          <w:tcPr>
            <w:tcW w:w="1980" w:type="dxa"/>
            <w:vAlign w:val="center"/>
          </w:tcPr>
          <w:p w14:paraId="19AEB8EE" w14:textId="77777777" w:rsidR="000A2783" w:rsidRDefault="00000000" w:rsidP="00116C18">
            <w:pPr>
              <w:pStyle w:val="Compact"/>
              <w:jc w:val="center"/>
            </w:pPr>
            <w:r>
              <w:t>0.1214</w:t>
            </w:r>
          </w:p>
        </w:tc>
        <w:tc>
          <w:tcPr>
            <w:tcW w:w="1980" w:type="dxa"/>
            <w:vAlign w:val="center"/>
          </w:tcPr>
          <w:p w14:paraId="5EF95511" w14:textId="77777777" w:rsidR="000A2783" w:rsidRDefault="00000000" w:rsidP="00116C18">
            <w:pPr>
              <w:pStyle w:val="Compact"/>
              <w:jc w:val="center"/>
            </w:pPr>
            <w:r>
              <w:t>0.2658</w:t>
            </w:r>
          </w:p>
        </w:tc>
        <w:tc>
          <w:tcPr>
            <w:tcW w:w="1980" w:type="dxa"/>
            <w:vAlign w:val="center"/>
          </w:tcPr>
          <w:p w14:paraId="1E416420" w14:textId="77777777" w:rsidR="000A2783" w:rsidRDefault="00000000" w:rsidP="00116C18">
            <w:pPr>
              <w:pStyle w:val="Compact"/>
              <w:jc w:val="center"/>
            </w:pPr>
            <w:r>
              <w:t>100%</w:t>
            </w:r>
          </w:p>
        </w:tc>
      </w:tr>
      <w:tr w:rsidR="000A2783" w14:paraId="63C4B230" w14:textId="77777777" w:rsidTr="00116C18">
        <w:trPr>
          <w:jc w:val="center"/>
        </w:trPr>
        <w:tc>
          <w:tcPr>
            <w:tcW w:w="1980" w:type="dxa"/>
            <w:vAlign w:val="center"/>
          </w:tcPr>
          <w:p w14:paraId="3259859A" w14:textId="77777777" w:rsidR="000A2783" w:rsidRDefault="00000000" w:rsidP="00116C18">
            <w:pPr>
              <w:pStyle w:val="Compact"/>
              <w:jc w:val="center"/>
            </w:pPr>
            <w:r>
              <w:t>Wind → PtfmSurge</w:t>
            </w:r>
          </w:p>
        </w:tc>
        <w:tc>
          <w:tcPr>
            <w:tcW w:w="1980" w:type="dxa"/>
            <w:vAlign w:val="center"/>
          </w:tcPr>
          <w:p w14:paraId="2F674082" w14:textId="77777777" w:rsidR="000A2783" w:rsidRDefault="00000000" w:rsidP="00116C18">
            <w:pPr>
              <w:pStyle w:val="Compact"/>
              <w:jc w:val="center"/>
            </w:pPr>
            <w:r>
              <w:t>0.0013</w:t>
            </w:r>
          </w:p>
        </w:tc>
        <w:tc>
          <w:tcPr>
            <w:tcW w:w="1980" w:type="dxa"/>
            <w:vAlign w:val="center"/>
          </w:tcPr>
          <w:p w14:paraId="272293B8" w14:textId="77777777" w:rsidR="000A2783" w:rsidRDefault="00000000" w:rsidP="00116C18">
            <w:pPr>
              <w:pStyle w:val="Compact"/>
              <w:jc w:val="center"/>
            </w:pPr>
            <w:r>
              <w:t>0.0239</w:t>
            </w:r>
          </w:p>
        </w:tc>
        <w:tc>
          <w:tcPr>
            <w:tcW w:w="1980" w:type="dxa"/>
            <w:vAlign w:val="center"/>
          </w:tcPr>
          <w:p w14:paraId="7489C12C" w14:textId="77777777" w:rsidR="000A2783" w:rsidRDefault="00000000" w:rsidP="00116C18">
            <w:pPr>
              <w:pStyle w:val="Compact"/>
              <w:jc w:val="center"/>
            </w:pPr>
            <w:r>
              <w:t>11.1%</w:t>
            </w:r>
          </w:p>
        </w:tc>
      </w:tr>
      <w:tr w:rsidR="000A2783" w14:paraId="3CCD558E" w14:textId="77777777" w:rsidTr="00116C18">
        <w:trPr>
          <w:jc w:val="center"/>
        </w:trPr>
        <w:tc>
          <w:tcPr>
            <w:tcW w:w="1980" w:type="dxa"/>
            <w:vAlign w:val="center"/>
          </w:tcPr>
          <w:p w14:paraId="0BF4C95C" w14:textId="77777777" w:rsidR="000A2783" w:rsidRDefault="00000000" w:rsidP="00116C18">
            <w:pPr>
              <w:pStyle w:val="Compact"/>
              <w:jc w:val="center"/>
            </w:pPr>
            <w:r>
              <w:t>Wave → PtfmSurge</w:t>
            </w:r>
          </w:p>
        </w:tc>
        <w:tc>
          <w:tcPr>
            <w:tcW w:w="1980" w:type="dxa"/>
            <w:vAlign w:val="center"/>
          </w:tcPr>
          <w:p w14:paraId="48DD93CE" w14:textId="77777777" w:rsidR="000A2783" w:rsidRDefault="00000000" w:rsidP="00116C18">
            <w:pPr>
              <w:pStyle w:val="Compact"/>
              <w:jc w:val="center"/>
            </w:pPr>
            <w:r>
              <w:t>0.1069</w:t>
            </w:r>
          </w:p>
        </w:tc>
        <w:tc>
          <w:tcPr>
            <w:tcW w:w="1980" w:type="dxa"/>
            <w:vAlign w:val="center"/>
          </w:tcPr>
          <w:p w14:paraId="777C2751" w14:textId="77777777" w:rsidR="000A2783" w:rsidRDefault="00000000" w:rsidP="00116C18">
            <w:pPr>
              <w:pStyle w:val="Compact"/>
              <w:jc w:val="center"/>
            </w:pPr>
            <w:r>
              <w:t>0.2796</w:t>
            </w:r>
          </w:p>
        </w:tc>
        <w:tc>
          <w:tcPr>
            <w:tcW w:w="1980" w:type="dxa"/>
            <w:vAlign w:val="center"/>
          </w:tcPr>
          <w:p w14:paraId="70FD3453" w14:textId="77777777" w:rsidR="000A2783" w:rsidRDefault="00000000" w:rsidP="00116C18">
            <w:pPr>
              <w:pStyle w:val="Compact"/>
              <w:jc w:val="center"/>
            </w:pPr>
            <w:r>
              <w:t>92.6%</w:t>
            </w:r>
          </w:p>
        </w:tc>
      </w:tr>
    </w:tbl>
    <w:p w14:paraId="2C57F6BD"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45A17572"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5E236683"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w:t>
        <w:lastRenderedPageBreak/>
        <w:t xml:space="preserve">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(Section 3.5), so it systematically underestimates the wave→platform magnitudes and is not the better instrument for those.</w:t>
      </w:r>
    </w:p>
    <w:p w14:paraId="0F20901A"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jc w:val="center"/>
        <w:tblLook w:val="0020" w:firstRow="1" w:lastRow="0" w:firstColumn="0" w:lastColumn="0" w:noHBand="0" w:noVBand="0"/>
      </w:tblPr>
      <w:tblGrid>
        <w:gridCol w:w="1350"/>
        <w:gridCol w:w="1936"/>
        <w:gridCol w:w="1150"/>
        <w:gridCol w:w="1962"/>
        <w:gridCol w:w="1176"/>
      </w:tblGrid>
      <w:tr w:rsidR="000A2783" w14:paraId="749F4223" w14:textId="77777777" w:rsidTr="00116C1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F44E71F" w14:textId="77777777" w:rsidR="000A2783" w:rsidRDefault="00000000">
            <w:pPr>
              <w:pStyle w:val="Compact"/>
            </w:pPr>
            <w:r>
              <w:t>Target</w:t>
            </w:r>
          </w:p>
        </w:tc>
        <w:tc>
          <w:tcPr>
            <w:tcW w:w="0" w:type="auto"/>
          </w:tcPr>
          <w:p w14:paraId="41637A83" w14:textId="77777777" w:rsidR="000A2783" w:rsidRDefault="00000000">
            <w:pPr>
              <w:pStyle w:val="Compact"/>
            </w:pPr>
            <w:r>
              <w:t>Wind mean (nats)</w:t>
            </w:r>
          </w:p>
        </w:tc>
        <w:tc>
          <w:tcPr>
            <w:tcW w:w="0" w:type="auto"/>
          </w:tcPr>
          <w:p w14:paraId="205FBCF2" w14:textId="77777777" w:rsidR="000A2783" w:rsidRDefault="00000000">
            <w:pPr>
              <w:pStyle w:val="Compact"/>
            </w:pPr>
            <w:r>
              <w:t>Wind sig.</w:t>
            </w:r>
          </w:p>
        </w:tc>
        <w:tc>
          <w:tcPr>
            <w:tcW w:w="0" w:type="auto"/>
          </w:tcPr>
          <w:p w14:paraId="13E06316" w14:textId="77777777" w:rsidR="000A2783" w:rsidRDefault="00000000">
            <w:pPr>
              <w:pStyle w:val="Compact"/>
            </w:pPr>
            <w:r>
              <w:t>Wave mean (nats)</w:t>
            </w:r>
          </w:p>
        </w:tc>
        <w:tc>
          <w:tcPr>
            <w:tcW w:w="0" w:type="auto"/>
          </w:tcPr>
          <w:p w14:paraId="22460E4C" w14:textId="77777777" w:rsidR="000A2783" w:rsidRDefault="00000000">
            <w:pPr>
              <w:pStyle w:val="Compact"/>
            </w:pPr>
            <w:r>
              <w:t>Wave sig.</w:t>
            </w:r>
          </w:p>
        </w:tc>
      </w:tr>
      <w:tr w:rsidR="000A2783" w14:paraId="78D6122A" w14:textId="77777777" w:rsidTr="00116C18">
        <w:trPr>
          <w:jc w:val="center"/>
        </w:trPr>
        <w:tc>
          <w:tcPr>
            <w:tcW w:w="0" w:type="auto"/>
          </w:tcPr>
          <w:p w14:paraId="1CB93253" w14:textId="77777777" w:rsidR="000A2783" w:rsidRDefault="00000000">
            <w:pPr>
              <w:pStyle w:val="Compact"/>
            </w:pPr>
            <w:r>
              <w:t>PtfmSurge</w:t>
            </w:r>
          </w:p>
        </w:tc>
        <w:tc>
          <w:tcPr>
            <w:tcW w:w="0" w:type="auto"/>
          </w:tcPr>
          <w:p w14:paraId="07CC6C81" w14:textId="77777777" w:rsidR="000A2783" w:rsidRDefault="00000000">
            <w:pPr>
              <w:pStyle w:val="Compact"/>
            </w:pPr>
            <w:r>
              <w:t>0.0013</w:t>
            </w:r>
          </w:p>
        </w:tc>
        <w:tc>
          <w:tcPr>
            <w:tcW w:w="0" w:type="auto"/>
          </w:tcPr>
          <w:p w14:paraId="486B35E1" w14:textId="77777777" w:rsidR="000A2783" w:rsidRDefault="00000000">
            <w:pPr>
              <w:pStyle w:val="Compact"/>
            </w:pPr>
            <w:r>
              <w:t>11.1%</w:t>
            </w:r>
          </w:p>
        </w:tc>
        <w:tc>
          <w:tcPr>
            <w:tcW w:w="0" w:type="auto"/>
          </w:tcPr>
          <w:p w14:paraId="53FEC83C" w14:textId="77777777" w:rsidR="000A2783" w:rsidRDefault="00000000">
            <w:pPr>
              <w:pStyle w:val="Compact"/>
            </w:pPr>
            <w:r>
              <w:t>0.1069</w:t>
            </w:r>
          </w:p>
        </w:tc>
        <w:tc>
          <w:tcPr>
            <w:tcW w:w="0" w:type="auto"/>
          </w:tcPr>
          <w:p w14:paraId="70549B48" w14:textId="77777777" w:rsidR="000A2783" w:rsidRDefault="00000000">
            <w:pPr>
              <w:pStyle w:val="Compact"/>
            </w:pPr>
            <w:r>
              <w:t>92.6%</w:t>
            </w:r>
          </w:p>
        </w:tc>
      </w:tr>
      <w:tr w:rsidR="000A2783" w14:paraId="11614DAE" w14:textId="77777777" w:rsidTr="00116C18">
        <w:trPr>
          <w:jc w:val="center"/>
        </w:trPr>
        <w:tc>
          <w:tcPr>
            <w:tcW w:w="0" w:type="auto"/>
          </w:tcPr>
          <w:p w14:paraId="4783BC95" w14:textId="77777777" w:rsidR="000A2783" w:rsidRDefault="00000000">
            <w:pPr>
              <w:pStyle w:val="Compact"/>
            </w:pPr>
            <w:r>
              <w:t>PtfmHeave</w:t>
            </w:r>
          </w:p>
        </w:tc>
        <w:tc>
          <w:tcPr>
            <w:tcW w:w="0" w:type="auto"/>
          </w:tcPr>
          <w:p w14:paraId="23E68C8D" w14:textId="77777777" w:rsidR="000A2783" w:rsidRDefault="00000000">
            <w:pPr>
              <w:pStyle w:val="Compact"/>
            </w:pPr>
            <w:r>
              <w:t>0.0001</w:t>
            </w:r>
          </w:p>
        </w:tc>
        <w:tc>
          <w:tcPr>
            <w:tcW w:w="0" w:type="auto"/>
          </w:tcPr>
          <w:p w14:paraId="5EAAD0B1" w14:textId="77777777" w:rsidR="000A2783" w:rsidRDefault="00000000">
            <w:pPr>
              <w:pStyle w:val="Compact"/>
            </w:pPr>
            <w:r>
              <w:t>5.6%</w:t>
            </w:r>
          </w:p>
        </w:tc>
        <w:tc>
          <w:tcPr>
            <w:tcW w:w="0" w:type="auto"/>
          </w:tcPr>
          <w:p w14:paraId="5A14FD7A" w14:textId="77777777" w:rsidR="000A2783" w:rsidRDefault="00000000">
            <w:pPr>
              <w:pStyle w:val="Compact"/>
            </w:pPr>
            <w:r>
              <w:t>0.1139</w:t>
            </w:r>
          </w:p>
        </w:tc>
        <w:tc>
          <w:tcPr>
            <w:tcW w:w="0" w:type="auto"/>
          </w:tcPr>
          <w:p w14:paraId="724D0FBA" w14:textId="77777777" w:rsidR="000A2783" w:rsidRDefault="00000000">
            <w:pPr>
              <w:pStyle w:val="Compact"/>
            </w:pPr>
            <w:r>
              <w:t>87.0%</w:t>
            </w:r>
          </w:p>
        </w:tc>
      </w:tr>
      <w:tr w:rsidR="000A2783" w14:paraId="515635FC" w14:textId="77777777" w:rsidTr="00116C18">
        <w:trPr>
          <w:jc w:val="center"/>
        </w:trPr>
        <w:tc>
          <w:tcPr>
            <w:tcW w:w="0" w:type="auto"/>
          </w:tcPr>
          <w:p w14:paraId="5CEDD078" w14:textId="77777777" w:rsidR="000A2783" w:rsidRDefault="00000000">
            <w:pPr>
              <w:pStyle w:val="Compact"/>
            </w:pPr>
            <w:r>
              <w:t>PtfmPitch</w:t>
            </w:r>
          </w:p>
        </w:tc>
        <w:tc>
          <w:tcPr>
            <w:tcW w:w="0" w:type="auto"/>
          </w:tcPr>
          <w:p w14:paraId="2A6377A4" w14:textId="77777777" w:rsidR="000A2783" w:rsidRDefault="00000000">
            <w:pPr>
              <w:pStyle w:val="Compact"/>
            </w:pPr>
            <w:r>
              <w:t>0.0009</w:t>
            </w:r>
          </w:p>
        </w:tc>
        <w:tc>
          <w:tcPr>
            <w:tcW w:w="0" w:type="auto"/>
          </w:tcPr>
          <w:p w14:paraId="44F1A592" w14:textId="77777777" w:rsidR="000A2783" w:rsidRDefault="00000000">
            <w:pPr>
              <w:pStyle w:val="Compact"/>
            </w:pPr>
            <w:r>
              <w:t>3.7%</w:t>
            </w:r>
          </w:p>
        </w:tc>
        <w:tc>
          <w:tcPr>
            <w:tcW w:w="0" w:type="auto"/>
          </w:tcPr>
          <w:p w14:paraId="0569A776" w14:textId="77777777" w:rsidR="000A2783" w:rsidRDefault="00000000">
            <w:pPr>
              <w:pStyle w:val="Compact"/>
            </w:pPr>
            <w:r>
              <w:t>0.1214</w:t>
            </w:r>
          </w:p>
        </w:tc>
        <w:tc>
          <w:tcPr>
            <w:tcW w:w="0" w:type="auto"/>
          </w:tcPr>
          <w:p w14:paraId="414A100A" w14:textId="77777777" w:rsidR="000A2783" w:rsidRDefault="00000000">
            <w:pPr>
              <w:pStyle w:val="Compact"/>
            </w:pPr>
            <w:r>
              <w:t>100%</w:t>
            </w:r>
          </w:p>
        </w:tc>
      </w:tr>
      <w:tr w:rsidR="000A2783" w14:paraId="6155BEDB" w14:textId="77777777" w:rsidTr="00116C18">
        <w:trPr>
          <w:jc w:val="center"/>
        </w:trPr>
        <w:tc>
          <w:tcPr>
            <w:tcW w:w="0" w:type="auto"/>
          </w:tcPr>
          <w:p w14:paraId="7361E307" w14:textId="77777777" w:rsidR="000A2783" w:rsidRDefault="00000000">
            <w:pPr>
              <w:pStyle w:val="Compact"/>
            </w:pPr>
            <w:r>
              <w:t>FAIRTEN1</w:t>
            </w:r>
          </w:p>
        </w:tc>
        <w:tc>
          <w:tcPr>
            <w:tcW w:w="0" w:type="auto"/>
          </w:tcPr>
          <w:p w14:paraId="0D4F859F" w14:textId="77777777" w:rsidR="000A2783" w:rsidRDefault="00000000">
            <w:pPr>
              <w:pStyle w:val="Compact"/>
            </w:pPr>
            <w:r>
              <w:t>0.0024</w:t>
            </w:r>
          </w:p>
        </w:tc>
        <w:tc>
          <w:tcPr>
            <w:tcW w:w="0" w:type="auto"/>
          </w:tcPr>
          <w:p w14:paraId="3EC5E4D3" w14:textId="77777777" w:rsidR="000A2783" w:rsidRDefault="00000000">
            <w:pPr>
              <w:pStyle w:val="Compact"/>
            </w:pPr>
            <w:r>
              <w:t>9.3%</w:t>
            </w:r>
          </w:p>
        </w:tc>
        <w:tc>
          <w:tcPr>
            <w:tcW w:w="0" w:type="auto"/>
          </w:tcPr>
          <w:p w14:paraId="48E8581B" w14:textId="77777777" w:rsidR="000A2783" w:rsidRDefault="00000000">
            <w:pPr>
              <w:pStyle w:val="Compact"/>
            </w:pPr>
            <w:r>
              <w:t>0.0195</w:t>
            </w:r>
          </w:p>
        </w:tc>
        <w:tc>
          <w:tcPr>
            <w:tcW w:w="0" w:type="auto"/>
          </w:tcPr>
          <w:p w14:paraId="1488DB67" w14:textId="77777777" w:rsidR="000A2783" w:rsidRDefault="00000000">
            <w:pPr>
              <w:pStyle w:val="Compact"/>
            </w:pPr>
            <w:r>
              <w:t>53.7%</w:t>
            </w:r>
          </w:p>
        </w:tc>
      </w:tr>
      <w:tr w:rsidR="000A2783" w14:paraId="62BA5254" w14:textId="77777777" w:rsidTr="00116C18">
        <w:trPr>
          <w:jc w:val="center"/>
        </w:trPr>
        <w:tc>
          <w:tcPr>
            <w:tcW w:w="0" w:type="auto"/>
          </w:tcPr>
          <w:p w14:paraId="3187B97E" w14:textId="77777777" w:rsidR="000A2783" w:rsidRDefault="00000000">
            <w:pPr>
              <w:pStyle w:val="Compact"/>
            </w:pPr>
            <w:r>
              <w:t>FAIRTEN2</w:t>
            </w:r>
          </w:p>
        </w:tc>
        <w:tc>
          <w:tcPr>
            <w:tcW w:w="0" w:type="auto"/>
          </w:tcPr>
          <w:p w14:paraId="3EE3D9C2" w14:textId="77777777" w:rsidR="000A2783" w:rsidRDefault="00000000">
            <w:pPr>
              <w:pStyle w:val="Compact"/>
            </w:pPr>
            <w:r>
              <w:t>0.0012</w:t>
            </w:r>
          </w:p>
        </w:tc>
        <w:tc>
          <w:tcPr>
            <w:tcW w:w="0" w:type="auto"/>
          </w:tcPr>
          <w:p w14:paraId="4625D027" w14:textId="77777777" w:rsidR="000A2783" w:rsidRDefault="00000000">
            <w:pPr>
              <w:pStyle w:val="Compact"/>
            </w:pPr>
            <w:r>
              <w:t>5.6%</w:t>
            </w:r>
          </w:p>
        </w:tc>
        <w:tc>
          <w:tcPr>
            <w:tcW w:w="0" w:type="auto"/>
          </w:tcPr>
          <w:p w14:paraId="33AF387E" w14:textId="77777777" w:rsidR="000A2783" w:rsidRDefault="00000000">
            <w:pPr>
              <w:pStyle w:val="Compact"/>
            </w:pPr>
            <w:r>
              <w:t>0.1113</w:t>
            </w:r>
          </w:p>
        </w:tc>
        <w:tc>
          <w:tcPr>
            <w:tcW w:w="0" w:type="auto"/>
          </w:tcPr>
          <w:p w14:paraId="641708D2" w14:textId="77777777" w:rsidR="000A2783" w:rsidRDefault="00000000">
            <w:pPr>
              <w:pStyle w:val="Compact"/>
            </w:pPr>
            <w:r>
              <w:t>100%</w:t>
            </w:r>
          </w:p>
        </w:tc>
      </w:tr>
      <w:tr w:rsidR="000A2783" w14:paraId="57D76166" w14:textId="77777777" w:rsidTr="00116C18">
        <w:trPr>
          <w:jc w:val="center"/>
        </w:trPr>
        <w:tc>
          <w:tcPr>
            <w:tcW w:w="0" w:type="auto"/>
          </w:tcPr>
          <w:p w14:paraId="20F54BE4" w14:textId="77777777" w:rsidR="000A2783" w:rsidRDefault="00000000">
            <w:pPr>
              <w:pStyle w:val="Compact"/>
            </w:pPr>
            <w:r>
              <w:t>FAIRTEN3</w:t>
            </w:r>
          </w:p>
        </w:tc>
        <w:tc>
          <w:tcPr>
            <w:tcW w:w="0" w:type="auto"/>
          </w:tcPr>
          <w:p w14:paraId="7D6D2877" w14:textId="77777777" w:rsidR="000A2783" w:rsidRDefault="00000000">
            <w:pPr>
              <w:pStyle w:val="Compact"/>
            </w:pPr>
            <w:r>
              <w:t>0.0018</w:t>
            </w:r>
          </w:p>
        </w:tc>
        <w:tc>
          <w:tcPr>
            <w:tcW w:w="0" w:type="auto"/>
          </w:tcPr>
          <w:p w14:paraId="5FB657BD" w14:textId="77777777" w:rsidR="000A2783" w:rsidRDefault="00000000">
            <w:pPr>
              <w:pStyle w:val="Compact"/>
            </w:pPr>
            <w:r>
              <w:t>9.3%</w:t>
            </w:r>
          </w:p>
        </w:tc>
        <w:tc>
          <w:tcPr>
            <w:tcW w:w="0" w:type="auto"/>
          </w:tcPr>
          <w:p w14:paraId="7150C6E6" w14:textId="77777777" w:rsidR="000A2783" w:rsidRDefault="00000000">
            <w:pPr>
              <w:pStyle w:val="Compact"/>
            </w:pPr>
            <w:r>
              <w:t>0.1101</w:t>
            </w:r>
          </w:p>
        </w:tc>
        <w:tc>
          <w:tcPr>
            <w:tcW w:w="0" w:type="auto"/>
          </w:tcPr>
          <w:p w14:paraId="42EB4C35" w14:textId="77777777" w:rsidR="000A2783" w:rsidRDefault="00000000">
            <w:pPr>
              <w:pStyle w:val="Compact"/>
            </w:pPr>
            <w:r>
              <w:t>100%</w:t>
            </w:r>
          </w:p>
        </w:tc>
      </w:tr>
      <w:tr w:rsidR="000A2783" w14:paraId="5A8427D0" w14:textId="77777777" w:rsidTr="00116C18">
        <w:trPr>
          <w:jc w:val="center"/>
        </w:trPr>
        <w:tc>
          <w:tcPr>
            <w:tcW w:w="0" w:type="auto"/>
          </w:tcPr>
          <w:p w14:paraId="7CC05F37" w14:textId="77777777" w:rsidR="000A2783" w:rsidRDefault="00000000">
            <w:pPr>
              <w:pStyle w:val="Compact"/>
            </w:pPr>
            <w:r>
              <w:t>RootMxc1</w:t>
            </w:r>
          </w:p>
        </w:tc>
        <w:tc>
          <w:tcPr>
            <w:tcW w:w="0" w:type="auto"/>
          </w:tcPr>
          <w:p w14:paraId="7B11C706" w14:textId="77777777" w:rsidR="000A2783" w:rsidRDefault="00000000">
            <w:pPr>
              <w:pStyle w:val="Compact"/>
            </w:pPr>
            <w:r>
              <w:t>0.0019</w:t>
            </w:r>
          </w:p>
        </w:tc>
        <w:tc>
          <w:tcPr>
            <w:tcW w:w="0" w:type="auto"/>
          </w:tcPr>
          <w:p w14:paraId="740D2FBB" w14:textId="77777777" w:rsidR="000A2783" w:rsidRDefault="00000000">
            <w:pPr>
              <w:pStyle w:val="Compact"/>
            </w:pPr>
            <w:r>
              <w:rPr>
                <w:b/>
                <w:bCs/>
              </w:rPr>
              <w:t>38.9%</w:t>
            </w:r>
          </w:p>
        </w:tc>
        <w:tc>
          <w:tcPr>
            <w:tcW w:w="0" w:type="auto"/>
          </w:tcPr>
          <w:p w14:paraId="38ED1132" w14:textId="77777777" w:rsidR="000A2783" w:rsidRDefault="00000000">
            <w:pPr>
              <w:pStyle w:val="Compact"/>
            </w:pPr>
            <w:r>
              <w:t>0.0008</w:t>
            </w:r>
          </w:p>
        </w:tc>
        <w:tc>
          <w:tcPr>
            <w:tcW w:w="0" w:type="auto"/>
          </w:tcPr>
          <w:p w14:paraId="79B9732B" w14:textId="77777777" w:rsidR="000A2783" w:rsidRDefault="00000000">
            <w:pPr>
              <w:pStyle w:val="Compact"/>
            </w:pPr>
            <w:r>
              <w:t>18.5%</w:t>
            </w:r>
          </w:p>
        </w:tc>
      </w:tr>
      <w:tr w:rsidR="000A2783" w14:paraId="7720A1C9" w14:textId="77777777" w:rsidTr="00116C18">
        <w:trPr>
          <w:jc w:val="center"/>
        </w:trPr>
        <w:tc>
          <w:tcPr>
            <w:tcW w:w="0" w:type="auto"/>
          </w:tcPr>
          <w:p w14:paraId="1AF845AF" w14:textId="77777777" w:rsidR="000A2783" w:rsidRDefault="00000000">
            <w:pPr>
              <w:pStyle w:val="Compact"/>
            </w:pPr>
            <w:r>
              <w:t>RootMyc1</w:t>
            </w:r>
          </w:p>
        </w:tc>
        <w:tc>
          <w:tcPr>
            <w:tcW w:w="0" w:type="auto"/>
          </w:tcPr>
          <w:p w14:paraId="41960C5D" w14:textId="77777777" w:rsidR="000A2783" w:rsidRDefault="00000000">
            <w:pPr>
              <w:pStyle w:val="Compact"/>
            </w:pPr>
            <w:r>
              <w:t>0.0029</w:t>
            </w:r>
          </w:p>
        </w:tc>
        <w:tc>
          <w:tcPr>
            <w:tcW w:w="0" w:type="auto"/>
          </w:tcPr>
          <w:p w14:paraId="346511B2" w14:textId="77777777" w:rsidR="000A2783" w:rsidRDefault="00000000">
            <w:pPr>
              <w:pStyle w:val="Compact"/>
            </w:pPr>
            <w:r>
              <w:t>16.7%</w:t>
            </w:r>
          </w:p>
        </w:tc>
        <w:tc>
          <w:tcPr>
            <w:tcW w:w="0" w:type="auto"/>
          </w:tcPr>
          <w:p w14:paraId="24649F33" w14:textId="77777777" w:rsidR="000A2783" w:rsidRDefault="00000000">
            <w:pPr>
              <w:pStyle w:val="Compact"/>
            </w:pPr>
            <w:r>
              <w:t>0.0042</w:t>
            </w:r>
          </w:p>
        </w:tc>
        <w:tc>
          <w:tcPr>
            <w:tcW w:w="0" w:type="auto"/>
          </w:tcPr>
          <w:p w14:paraId="433C3095" w14:textId="77777777" w:rsidR="000A2783" w:rsidRDefault="00000000">
            <w:pPr>
              <w:pStyle w:val="Compact"/>
            </w:pPr>
            <w:r>
              <w:t>18.5%</w:t>
            </w:r>
          </w:p>
        </w:tc>
      </w:tr>
      <w:tr w:rsidR="000A2783" w14:paraId="0BF714B7" w14:textId="77777777" w:rsidTr="00116C18">
        <w:trPr>
          <w:jc w:val="center"/>
        </w:trPr>
        <w:tc>
          <w:tcPr>
            <w:tcW w:w="0" w:type="auto"/>
          </w:tcPr>
          <w:p w14:paraId="39EB9E2C" w14:textId="77777777" w:rsidR="000A2783" w:rsidRDefault="00000000">
            <w:pPr>
              <w:pStyle w:val="Compact"/>
            </w:pPr>
            <w:r>
              <w:t>TwrBsMyt</w:t>
            </w:r>
          </w:p>
        </w:tc>
        <w:tc>
          <w:tcPr>
            <w:tcW w:w="0" w:type="auto"/>
          </w:tcPr>
          <w:p w14:paraId="1F1FC518" w14:textId="77777777" w:rsidR="000A2783" w:rsidRDefault="00000000">
            <w:pPr>
              <w:pStyle w:val="Compact"/>
            </w:pPr>
            <w:r>
              <w:t>0.0058</w:t>
            </w:r>
          </w:p>
        </w:tc>
        <w:tc>
          <w:tcPr>
            <w:tcW w:w="0" w:type="auto"/>
          </w:tcPr>
          <w:p w14:paraId="20D8EBA8" w14:textId="77777777" w:rsidR="000A2783" w:rsidRDefault="00000000">
            <w:pPr>
              <w:pStyle w:val="Compact"/>
            </w:pPr>
            <w:r>
              <w:rPr>
                <w:b/>
                <w:bCs/>
              </w:rPr>
              <w:t>27.8%</w:t>
            </w:r>
          </w:p>
        </w:tc>
        <w:tc>
          <w:tcPr>
            <w:tcW w:w="0" w:type="auto"/>
          </w:tcPr>
          <w:p w14:paraId="3CD55FE0" w14:textId="77777777" w:rsidR="000A2783" w:rsidRDefault="00000000">
            <w:pPr>
              <w:pStyle w:val="Compact"/>
            </w:pPr>
            <w:r>
              <w:t>0.0230</w:t>
            </w:r>
          </w:p>
        </w:tc>
        <w:tc>
          <w:tcPr>
            <w:tcW w:w="0" w:type="auto"/>
          </w:tcPr>
          <w:p w14:paraId="60CBF807" w14:textId="77777777" w:rsidR="000A2783" w:rsidRDefault="00000000">
            <w:pPr>
              <w:pStyle w:val="Compact"/>
            </w:pPr>
            <w:r>
              <w:t>61.1%</w:t>
            </w:r>
          </w:p>
        </w:tc>
      </w:tr>
    </w:tbl>
    <w:p w14:paraId="20E260BD" w14:textId="77777777" w:rsidR="000A2783" w:rsidRDefault="00000000">
      <w:pPr>
        <w:pStyle w:val="BodyText"/>
      </w:pPr>
      <w:r>
        <w:t xml:space="preserve">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w:t>
        <w:lastRenderedPageBreak/>
        <w:t>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27A5E53D"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2808"/>
        <w:gridCol w:w="630"/>
        <w:gridCol w:w="1980"/>
        <w:gridCol w:w="1260"/>
        <w:gridCol w:w="1302"/>
        <w:gridCol w:w="1596"/>
      </w:tblGrid>
      <w:tr w:rsidR="000A2783" w14:paraId="7454C032" w14:textId="77777777" w:rsidTr="006E3FC9">
        <w:trPr>
          <w:cnfStyle w:val="100000000000" w:firstRow="1" w:lastRow="0" w:firstColumn="0" w:lastColumn="0" w:oddVBand="0" w:evenVBand="0" w:oddHBand="0" w:evenHBand="0" w:firstRowFirstColumn="0" w:firstRowLastColumn="0" w:lastRowFirstColumn="0" w:lastRowLastColumn="0"/>
          <w:tblHeader/>
        </w:trPr>
        <w:tc>
          <w:tcPr>
            <w:tcW w:w="2808" w:type="dxa"/>
          </w:tcPr>
          <w:p w14:paraId="22581FF1" w14:textId="77777777" w:rsidR="000A2783" w:rsidRDefault="00000000">
            <w:pPr>
              <w:pStyle w:val="Compact"/>
            </w:pPr>
            <w:r>
              <w:t>Wind speed</w:t>
            </w:r>
          </w:p>
        </w:tc>
        <w:tc>
          <w:tcPr>
            <w:tcW w:w="630" w:type="dxa"/>
          </w:tcPr>
          <w:p w14:paraId="29CE1EAB" w14:textId="77777777" w:rsidR="000A2783" w:rsidRDefault="00000000">
            <w:pPr>
              <w:pStyle w:val="Compact"/>
            </w:pPr>
            <w:r>
              <w:t>n</w:t>
            </w:r>
          </w:p>
        </w:tc>
        <w:tc>
          <w:tcPr>
            <w:tcW w:w="1980" w:type="dxa"/>
          </w:tcPr>
          <w:p w14:paraId="637B4FD9" w14:textId="77777777" w:rsidR="000A2783" w:rsidRDefault="00000000">
            <w:pPr>
              <w:pStyle w:val="Compact"/>
            </w:pPr>
            <w:r>
              <w:t>Wind→PtfmPitch mean (nats)</w:t>
            </w:r>
          </w:p>
        </w:tc>
        <w:tc>
          <w:tcPr>
            <w:tcW w:w="1260" w:type="dxa"/>
          </w:tcPr>
          <w:p w14:paraId="0CB32DD9" w14:textId="77777777" w:rsidR="000A2783" w:rsidRDefault="00000000">
            <w:pPr>
              <w:pStyle w:val="Compact"/>
            </w:pPr>
            <w:r>
              <w:t>Max</w:t>
            </w:r>
          </w:p>
        </w:tc>
        <w:tc>
          <w:tcPr>
            <w:tcW w:w="1302" w:type="dxa"/>
          </w:tcPr>
          <w:p w14:paraId="50F29487" w14:textId="77777777" w:rsidR="000A2783" w:rsidRDefault="00000000">
            <w:pPr>
              <w:pStyle w:val="Compact"/>
            </w:pPr>
            <w:r>
              <w:t>Sig.</w:t>
            </w:r>
          </w:p>
        </w:tc>
        <w:tc>
          <w:tcPr>
            <w:tcW w:w="1596" w:type="dxa"/>
          </w:tcPr>
          <w:p w14:paraId="0538EFD0" w14:textId="77777777" w:rsidR="000A2783" w:rsidRDefault="00000000">
            <w:pPr>
              <w:pStyle w:val="Compact"/>
            </w:pPr>
            <w:r>
              <w:t>Wave→PtfmPitch sig.</w:t>
            </w:r>
          </w:p>
        </w:tc>
      </w:tr>
      <w:tr w:rsidR="000A2783" w14:paraId="3CFA76C0" w14:textId="77777777" w:rsidTr="006E3FC9">
        <w:tc>
          <w:tcPr>
            <w:tcW w:w="2808" w:type="dxa"/>
          </w:tcPr>
          <w:p w14:paraId="725E42DC" w14:textId="77777777" w:rsidR="000A2783" w:rsidRDefault="00000000">
            <w:pPr>
              <w:pStyle w:val="Compact"/>
            </w:pPr>
            <w:r>
              <w:t>8 m/s (below rated)</w:t>
            </w:r>
          </w:p>
        </w:tc>
        <w:tc>
          <w:tcPr>
            <w:tcW w:w="630" w:type="dxa"/>
          </w:tcPr>
          <w:p w14:paraId="2537E623" w14:textId="77777777" w:rsidR="000A2783" w:rsidRDefault="00000000">
            <w:pPr>
              <w:pStyle w:val="Compact"/>
            </w:pPr>
            <w:r>
              <w:t>12</w:t>
            </w:r>
          </w:p>
        </w:tc>
        <w:tc>
          <w:tcPr>
            <w:tcW w:w="1980" w:type="dxa"/>
          </w:tcPr>
          <w:p w14:paraId="6C849C10" w14:textId="77777777" w:rsidR="000A2783" w:rsidRDefault="00000000">
            <w:pPr>
              <w:pStyle w:val="Compact"/>
            </w:pPr>
            <w:r>
              <w:t>0.0000</w:t>
            </w:r>
          </w:p>
        </w:tc>
        <w:tc>
          <w:tcPr>
            <w:tcW w:w="1260" w:type="dxa"/>
          </w:tcPr>
          <w:p w14:paraId="3663F95D" w14:textId="77777777" w:rsidR="000A2783" w:rsidRDefault="00000000">
            <w:pPr>
              <w:pStyle w:val="Compact"/>
            </w:pPr>
            <w:r>
              <w:t>0.0000</w:t>
            </w:r>
          </w:p>
        </w:tc>
        <w:tc>
          <w:tcPr>
            <w:tcW w:w="1302" w:type="dxa"/>
          </w:tcPr>
          <w:p w14:paraId="34623FD3" w14:textId="77777777" w:rsidR="000A2783" w:rsidRDefault="00000000">
            <w:pPr>
              <w:pStyle w:val="Compact"/>
            </w:pPr>
            <w:r>
              <w:t>0%</w:t>
            </w:r>
          </w:p>
        </w:tc>
        <w:tc>
          <w:tcPr>
            <w:tcW w:w="1596" w:type="dxa"/>
          </w:tcPr>
          <w:p w14:paraId="38374FBA" w14:textId="77777777" w:rsidR="000A2783" w:rsidRDefault="00000000">
            <w:pPr>
              <w:pStyle w:val="Compact"/>
            </w:pPr>
            <w:r>
              <w:t>100%</w:t>
            </w:r>
          </w:p>
        </w:tc>
      </w:tr>
      <w:tr w:rsidR="000A2783" w14:paraId="27CFD7FB" w14:textId="77777777" w:rsidTr="006E3FC9">
        <w:tc>
          <w:tcPr>
            <w:tcW w:w="2808" w:type="dxa"/>
          </w:tcPr>
          <w:p w14:paraId="6FAA77F8" w14:textId="77777777" w:rsidR="000A2783" w:rsidRDefault="00000000">
            <w:pPr>
              <w:pStyle w:val="Compact"/>
            </w:pPr>
            <w:r>
              <w:t>11 m/s (near rated)</w:t>
            </w:r>
          </w:p>
        </w:tc>
        <w:tc>
          <w:tcPr>
            <w:tcW w:w="630" w:type="dxa"/>
          </w:tcPr>
          <w:p w14:paraId="79C94539" w14:textId="77777777" w:rsidR="000A2783" w:rsidRDefault="00000000">
            <w:pPr>
              <w:pStyle w:val="Compact"/>
            </w:pPr>
            <w:r>
              <w:t>18</w:t>
            </w:r>
          </w:p>
        </w:tc>
        <w:tc>
          <w:tcPr>
            <w:tcW w:w="1980" w:type="dxa"/>
          </w:tcPr>
          <w:p w14:paraId="39719DB5" w14:textId="77777777" w:rsidR="000A2783" w:rsidRDefault="00000000">
            <w:pPr>
              <w:pStyle w:val="Compact"/>
            </w:pPr>
            <w:r>
              <w:t>0.0016</w:t>
            </w:r>
          </w:p>
        </w:tc>
        <w:tc>
          <w:tcPr>
            <w:tcW w:w="1260" w:type="dxa"/>
          </w:tcPr>
          <w:p w14:paraId="56BC0849" w14:textId="77777777" w:rsidR="000A2783" w:rsidRDefault="00000000">
            <w:pPr>
              <w:pStyle w:val="Compact"/>
            </w:pPr>
            <w:r>
              <w:t>0.0293</w:t>
            </w:r>
          </w:p>
        </w:tc>
        <w:tc>
          <w:tcPr>
            <w:tcW w:w="1302" w:type="dxa"/>
          </w:tcPr>
          <w:p w14:paraId="0696C911" w14:textId="77777777" w:rsidR="000A2783" w:rsidRDefault="00000000">
            <w:pPr>
              <w:pStyle w:val="Compact"/>
            </w:pPr>
            <w:r>
              <w:t>5.6%</w:t>
            </w:r>
          </w:p>
        </w:tc>
        <w:tc>
          <w:tcPr>
            <w:tcW w:w="1596" w:type="dxa"/>
          </w:tcPr>
          <w:p w14:paraId="61AC3DE8" w14:textId="77777777" w:rsidR="000A2783" w:rsidRDefault="00000000">
            <w:pPr>
              <w:pStyle w:val="Compact"/>
            </w:pPr>
            <w:r>
              <w:t>100%</w:t>
            </w:r>
          </w:p>
        </w:tc>
      </w:tr>
      <w:tr w:rsidR="000A2783" w14:paraId="48F6BE63" w14:textId="77777777" w:rsidTr="006E3FC9">
        <w:tc>
          <w:tcPr>
            <w:tcW w:w="2808" w:type="dxa"/>
          </w:tcPr>
          <w:p w14:paraId="6B9D84D5" w14:textId="77777777" w:rsidR="000A2783" w:rsidRDefault="00000000">
            <w:pPr>
              <w:pStyle w:val="Compact"/>
            </w:pPr>
            <w:r>
              <w:t>15 m/s (above rated)</w:t>
            </w:r>
          </w:p>
        </w:tc>
        <w:tc>
          <w:tcPr>
            <w:tcW w:w="630" w:type="dxa"/>
          </w:tcPr>
          <w:p w14:paraId="14FDD89E" w14:textId="77777777" w:rsidR="000A2783" w:rsidRDefault="00000000">
            <w:pPr>
              <w:pStyle w:val="Compact"/>
            </w:pPr>
            <w:r>
              <w:t>12</w:t>
            </w:r>
          </w:p>
        </w:tc>
        <w:tc>
          <w:tcPr>
            <w:tcW w:w="1980" w:type="dxa"/>
          </w:tcPr>
          <w:p w14:paraId="696BD4FA" w14:textId="77777777" w:rsidR="000A2783" w:rsidRDefault="00000000">
            <w:pPr>
              <w:pStyle w:val="Compact"/>
            </w:pPr>
            <w:r>
              <w:t>0.0018</w:t>
            </w:r>
          </w:p>
        </w:tc>
        <w:tc>
          <w:tcPr>
            <w:tcW w:w="1260" w:type="dxa"/>
          </w:tcPr>
          <w:p w14:paraId="68D661C5" w14:textId="77777777" w:rsidR="000A2783" w:rsidRDefault="00000000">
            <w:pPr>
              <w:pStyle w:val="Compact"/>
            </w:pPr>
            <w:r>
              <w:t>0.0218</w:t>
            </w:r>
          </w:p>
        </w:tc>
        <w:tc>
          <w:tcPr>
            <w:tcW w:w="1302" w:type="dxa"/>
          </w:tcPr>
          <w:p w14:paraId="0371B270" w14:textId="77777777" w:rsidR="000A2783" w:rsidRDefault="00000000">
            <w:pPr>
              <w:pStyle w:val="Compact"/>
            </w:pPr>
            <w:r>
              <w:t>8.3%</w:t>
            </w:r>
          </w:p>
        </w:tc>
        <w:tc>
          <w:tcPr>
            <w:tcW w:w="1596" w:type="dxa"/>
          </w:tcPr>
          <w:p w14:paraId="3BD72D6F" w14:textId="77777777" w:rsidR="000A2783" w:rsidRDefault="00000000">
            <w:pPr>
              <w:pStyle w:val="Compact"/>
            </w:pPr>
            <w:r>
              <w:t>100%</w:t>
            </w:r>
          </w:p>
        </w:tc>
      </w:tr>
      <w:tr w:rsidR="000A2783" w14:paraId="2E5A473B" w14:textId="77777777" w:rsidTr="006E3FC9">
        <w:tc>
          <w:tcPr>
            <w:tcW w:w="2808" w:type="dxa"/>
          </w:tcPr>
          <w:p w14:paraId="3CF2A53F" w14:textId="77777777" w:rsidR="000A2783" w:rsidRDefault="00000000">
            <w:pPr>
              <w:pStyle w:val="Compact"/>
            </w:pPr>
            <w:r>
              <w:t>20 m/s (well above rated)</w:t>
            </w:r>
          </w:p>
        </w:tc>
        <w:tc>
          <w:tcPr>
            <w:tcW w:w="630" w:type="dxa"/>
          </w:tcPr>
          <w:p w14:paraId="43BA2E17" w14:textId="77777777" w:rsidR="000A2783" w:rsidRDefault="00000000">
            <w:pPr>
              <w:pStyle w:val="Compact"/>
            </w:pPr>
            <w:r>
              <w:t>12</w:t>
            </w:r>
          </w:p>
        </w:tc>
        <w:tc>
          <w:tcPr>
            <w:tcW w:w="1980" w:type="dxa"/>
          </w:tcPr>
          <w:p w14:paraId="5886F7C7" w14:textId="77777777" w:rsidR="000A2783" w:rsidRDefault="00000000">
            <w:pPr>
              <w:pStyle w:val="Compact"/>
            </w:pPr>
            <w:r>
              <w:t>0.0000</w:t>
            </w:r>
          </w:p>
        </w:tc>
        <w:tc>
          <w:tcPr>
            <w:tcW w:w="1260" w:type="dxa"/>
          </w:tcPr>
          <w:p w14:paraId="4CDC7BD0" w14:textId="77777777" w:rsidR="000A2783" w:rsidRDefault="00000000">
            <w:pPr>
              <w:pStyle w:val="Compact"/>
            </w:pPr>
            <w:r>
              <w:t>0.0000</w:t>
            </w:r>
          </w:p>
        </w:tc>
        <w:tc>
          <w:tcPr>
            <w:tcW w:w="1302" w:type="dxa"/>
          </w:tcPr>
          <w:p w14:paraId="4186B154" w14:textId="77777777" w:rsidR="000A2783" w:rsidRDefault="00000000">
            <w:pPr>
              <w:pStyle w:val="Compact"/>
            </w:pPr>
            <w:r>
              <w:t>0%</w:t>
            </w:r>
          </w:p>
        </w:tc>
        <w:tc>
          <w:tcPr>
            <w:tcW w:w="1596" w:type="dxa"/>
          </w:tcPr>
          <w:p w14:paraId="674DCA64" w14:textId="77777777" w:rsidR="000A2783" w:rsidRDefault="00000000">
            <w:pPr>
              <w:pStyle w:val="Compact"/>
            </w:pPr>
            <w:r>
              <w:t>100%</w:t>
            </w:r>
          </w:p>
        </w:tc>
      </w:tr>
    </w:tbl>
    <w:p w14:paraId="586B614C" w14:textId="77777777" w:rsidR="000A2783" w:rsidRDefault="00000000">
      <w:pPr>
        <w:pStyle w:val="BodyText"/>
      </w:pPr>
      <w:r>
        <w:t>Figure 4 renders the overall pattern as a directed network: a dense wave→platform→mooring web beside an almost empty wind→platform channel. Wave forcing (solid edges, width proportional to the normalized transfer entropy) is significant in the majority of cases and propagates through platform motion into the mooring and structural loads, whereas wind forcing (dashed edges) reaches only the blade-root and tower-base load channels, and then only intermittently — the edge labels give the fraction of cases in which each wind edge is significant. Wind carries no significant information into the platform rigid-body motions: the information firewall.</w:t>
      </w:r>
    </w:p>
    <w:p w14:paraId="2A8089A9"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9"/>
                    <a:stretch>
                      <a:fillRect/>
                    </a:stretch>
                  </pic:blipFill>
                  <pic:spPr bwMode="auto">
                    <a:xfrm>
                      <a:off x="0" y="0"/>
                      <a:ext cx="5334000" cy="3674845"/>
                    </a:xfrm>
                    <a:prstGeom prst="rect">
                      <a:avLst/>
                    </a:prstGeom>
                    <a:noFill/>
                    <a:ln w="9525">
                      <a:noFill/>
                      <a:headEnd/>
                      <a:tailEnd/>
                    </a:ln>
                  </pic:spPr>
                </pic:pic>
              </a:graphicData>
            </a:graphic>
          </wp:inline>
        </w:drawing>
      </w:r>
    </w:p>
    <w:p w14:paraId="202DE533" w14:textId="77777777" w:rsidR="000A2783" w:rsidRDefault="00000000">
      <w:pPr>
        <w:pStyle w:val="BodyText"/>
      </w:pPr>
      <w:r>
        <w:rPr>
          <w:b/>
          <w:bCs/>
        </w:rPr>
        <w:lastRenderedPageBreak/>
        <w:t>Figure 4.</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over the 54 cases.</w:t>
      </w:r>
    </w:p>
    <w:p w14:paraId="1BBE8FF9" w14:textId="77777777" w:rsidR="000A2783" w:rsidRDefault="00000000">
      <w:pPr>
        <w:pStyle w:val="BodyText"/>
      </w:pPr>
      <w:r>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78A61101" w14:textId="77777777" w:rsidR="000A2783" w:rsidRDefault="00000000">
      <w:pPr>
        <w:pStyle w:val="Heading3"/>
      </w:pPr>
      <w:bookmarkStart w:id="15" w:name="X329645ea136a336337399132154270a0c3d9b0d"/>
      <w:bookmarkEnd w:id="14"/>
      <w:r>
        <w:t>3.2 Why coherence is insufficient: shared power is not directed influence</w:t>
      </w:r>
    </w:p>
    <w:p w14:paraId="15E7537E"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667AD3A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jc w:val="center"/>
        <w:tblLook w:val="0020" w:firstRow="1" w:lastRow="0" w:firstColumn="0" w:lastColumn="0" w:noHBand="0" w:noVBand="0"/>
      </w:tblPr>
      <w:tblGrid>
        <w:gridCol w:w="1296"/>
        <w:gridCol w:w="1687"/>
        <w:gridCol w:w="2962"/>
      </w:tblGrid>
      <w:tr w:rsidR="000A2783" w14:paraId="684C3A13" w14:textId="77777777" w:rsidTr="003F2F30">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1158C93" w14:textId="77777777" w:rsidR="000A2783" w:rsidRDefault="00000000">
            <w:pPr>
              <w:pStyle w:val="Compact"/>
            </w:pPr>
            <w:r>
              <w:t>Target</w:t>
            </w:r>
          </w:p>
        </w:tc>
        <w:tc>
          <w:tcPr>
            <w:tcW w:w="0" w:type="auto"/>
          </w:tcPr>
          <w:p w14:paraId="02BEA904" w14:textId="77777777" w:rsidR="000A2783" w:rsidRDefault="00000000">
            <w:pPr>
              <w:pStyle w:val="Compact"/>
            </w:pPr>
            <w:r>
              <w:t>Peak γ² (linear)</w:t>
            </w:r>
          </w:p>
        </w:tc>
        <w:tc>
          <w:tcPr>
            <w:tcW w:w="0" w:type="auto"/>
          </w:tcPr>
          <w:p w14:paraId="6766A81C" w14:textId="77777777" w:rsidR="000A2783" w:rsidRDefault="00000000">
            <w:pPr>
              <w:pStyle w:val="Compact"/>
            </w:pPr>
            <w:r>
              <w:t>Wind→target TE significant</w:t>
            </w:r>
          </w:p>
        </w:tc>
      </w:tr>
      <w:tr w:rsidR="000A2783" w14:paraId="480D67D9" w14:textId="77777777" w:rsidTr="003F2F30">
        <w:trPr>
          <w:jc w:val="center"/>
        </w:trPr>
        <w:tc>
          <w:tcPr>
            <w:tcW w:w="0" w:type="auto"/>
          </w:tcPr>
          <w:p w14:paraId="4F5CDE11" w14:textId="77777777" w:rsidR="000A2783" w:rsidRDefault="00000000">
            <w:pPr>
              <w:pStyle w:val="Compact"/>
            </w:pPr>
            <w:r>
              <w:t>PtfmPitch</w:t>
            </w:r>
          </w:p>
        </w:tc>
        <w:tc>
          <w:tcPr>
            <w:tcW w:w="0" w:type="auto"/>
          </w:tcPr>
          <w:p w14:paraId="38C012FC" w14:textId="77777777" w:rsidR="000A2783" w:rsidRDefault="00000000">
            <w:pPr>
              <w:pStyle w:val="Compact"/>
            </w:pPr>
            <w:r>
              <w:t>0.72</w:t>
            </w:r>
          </w:p>
        </w:tc>
        <w:tc>
          <w:tcPr>
            <w:tcW w:w="0" w:type="auto"/>
          </w:tcPr>
          <w:p w14:paraId="3BA51B19" w14:textId="77777777" w:rsidR="000A2783" w:rsidRDefault="00000000">
            <w:pPr>
              <w:pStyle w:val="Compact"/>
            </w:pPr>
            <w:r>
              <w:t>3.7%</w:t>
            </w:r>
          </w:p>
        </w:tc>
      </w:tr>
      <w:tr w:rsidR="000A2783" w14:paraId="64F54300" w14:textId="77777777" w:rsidTr="003F2F30">
        <w:trPr>
          <w:jc w:val="center"/>
        </w:trPr>
        <w:tc>
          <w:tcPr>
            <w:tcW w:w="0" w:type="auto"/>
          </w:tcPr>
          <w:p w14:paraId="4555BA89" w14:textId="77777777" w:rsidR="000A2783" w:rsidRDefault="00000000">
            <w:pPr>
              <w:pStyle w:val="Compact"/>
            </w:pPr>
            <w:r>
              <w:t>PtfmSurge</w:t>
            </w:r>
          </w:p>
        </w:tc>
        <w:tc>
          <w:tcPr>
            <w:tcW w:w="0" w:type="auto"/>
          </w:tcPr>
          <w:p w14:paraId="04E1F749" w14:textId="77777777" w:rsidR="000A2783" w:rsidRDefault="00000000">
            <w:pPr>
              <w:pStyle w:val="Compact"/>
            </w:pPr>
            <w:r>
              <w:t>0.68</w:t>
            </w:r>
          </w:p>
        </w:tc>
        <w:tc>
          <w:tcPr>
            <w:tcW w:w="0" w:type="auto"/>
          </w:tcPr>
          <w:p w14:paraId="6BD85301" w14:textId="77777777" w:rsidR="000A2783" w:rsidRDefault="00000000">
            <w:pPr>
              <w:pStyle w:val="Compact"/>
            </w:pPr>
            <w:r>
              <w:t>11.1%</w:t>
            </w:r>
          </w:p>
        </w:tc>
      </w:tr>
      <w:tr w:rsidR="000A2783" w14:paraId="316FFA75" w14:textId="77777777" w:rsidTr="003F2F30">
        <w:trPr>
          <w:jc w:val="center"/>
        </w:trPr>
        <w:tc>
          <w:tcPr>
            <w:tcW w:w="0" w:type="auto"/>
          </w:tcPr>
          <w:p w14:paraId="301837BC" w14:textId="77777777" w:rsidR="000A2783" w:rsidRDefault="00000000">
            <w:pPr>
              <w:pStyle w:val="Compact"/>
            </w:pPr>
            <w:r>
              <w:t>PtfmHeave</w:t>
            </w:r>
          </w:p>
        </w:tc>
        <w:tc>
          <w:tcPr>
            <w:tcW w:w="0" w:type="auto"/>
          </w:tcPr>
          <w:p w14:paraId="2C1EEDE2" w14:textId="77777777" w:rsidR="000A2783" w:rsidRDefault="00000000">
            <w:pPr>
              <w:pStyle w:val="Compact"/>
            </w:pPr>
            <w:r>
              <w:t>0.63</w:t>
            </w:r>
          </w:p>
        </w:tc>
        <w:tc>
          <w:tcPr>
            <w:tcW w:w="0" w:type="auto"/>
          </w:tcPr>
          <w:p w14:paraId="3998AEA0" w14:textId="77777777" w:rsidR="000A2783" w:rsidRDefault="00000000">
            <w:pPr>
              <w:pStyle w:val="Compact"/>
            </w:pPr>
            <w:r>
              <w:t>5.6%</w:t>
            </w:r>
          </w:p>
        </w:tc>
      </w:tr>
      <w:tr w:rsidR="000A2783" w14:paraId="1720AD0C" w14:textId="77777777" w:rsidTr="003F2F30">
        <w:trPr>
          <w:jc w:val="center"/>
        </w:trPr>
        <w:tc>
          <w:tcPr>
            <w:tcW w:w="0" w:type="auto"/>
          </w:tcPr>
          <w:p w14:paraId="2FE8152D" w14:textId="77777777" w:rsidR="000A2783" w:rsidRDefault="00000000">
            <w:pPr>
              <w:pStyle w:val="Compact"/>
            </w:pPr>
            <w:r>
              <w:t>RootMyc1</w:t>
            </w:r>
          </w:p>
        </w:tc>
        <w:tc>
          <w:tcPr>
            <w:tcW w:w="0" w:type="auto"/>
          </w:tcPr>
          <w:p w14:paraId="75811B70" w14:textId="77777777" w:rsidR="000A2783" w:rsidRDefault="00000000">
            <w:pPr>
              <w:pStyle w:val="Compact"/>
            </w:pPr>
            <w:r>
              <w:t>0.72</w:t>
            </w:r>
          </w:p>
        </w:tc>
        <w:tc>
          <w:tcPr>
            <w:tcW w:w="0" w:type="auto"/>
          </w:tcPr>
          <w:p w14:paraId="75068B73" w14:textId="77777777" w:rsidR="000A2783" w:rsidRDefault="00000000">
            <w:pPr>
              <w:pStyle w:val="Compact"/>
            </w:pPr>
            <w:r>
              <w:t>16.7%</w:t>
            </w:r>
          </w:p>
        </w:tc>
      </w:tr>
      <w:tr w:rsidR="000A2783" w14:paraId="4497C843" w14:textId="77777777" w:rsidTr="003F2F30">
        <w:trPr>
          <w:jc w:val="center"/>
        </w:trPr>
        <w:tc>
          <w:tcPr>
            <w:tcW w:w="0" w:type="auto"/>
          </w:tcPr>
          <w:p w14:paraId="5B9B58FC" w14:textId="77777777" w:rsidR="000A2783" w:rsidRDefault="00000000">
            <w:pPr>
              <w:pStyle w:val="Compact"/>
            </w:pPr>
            <w:r>
              <w:t>TwrBsMyt</w:t>
            </w:r>
          </w:p>
        </w:tc>
        <w:tc>
          <w:tcPr>
            <w:tcW w:w="0" w:type="auto"/>
          </w:tcPr>
          <w:p w14:paraId="71B19B27" w14:textId="77777777" w:rsidR="000A2783" w:rsidRDefault="00000000">
            <w:pPr>
              <w:pStyle w:val="Compact"/>
            </w:pPr>
            <w:r>
              <w:t>0.71</w:t>
            </w:r>
          </w:p>
        </w:tc>
        <w:tc>
          <w:tcPr>
            <w:tcW w:w="0" w:type="auto"/>
          </w:tcPr>
          <w:p w14:paraId="459A1EAE" w14:textId="77777777" w:rsidR="000A2783" w:rsidRDefault="00000000">
            <w:pPr>
              <w:pStyle w:val="Compact"/>
            </w:pPr>
            <w:r>
              <w:t>27.8%</w:t>
            </w:r>
          </w:p>
        </w:tc>
      </w:tr>
    </w:tbl>
    <w:p w14:paraId="0DEA7E05"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77F14AD3" w14:textId="77777777" w:rsidR="000A2783" w:rsidRDefault="00000000">
      <w:pPr>
        <w:pStyle w:val="Heading3"/>
      </w:pPr>
      <w:bookmarkStart w:id="16" w:name="Xcc4ebbf68ba2fc398a850dd152d287cb0633c7f"/>
      <w:bookmarkEnd w:id="15"/>
      <w:r>
        <w:t>3.3 Attribution: the controller is the firewall</w:t>
      </w:r>
    </w:p>
    <w:p w14:paraId="7ED065A7" w14:textId="77777777" w:rsidR="000A2783" w:rsidRDefault="00000000">
      <w:pPr>
        <w:pStyle w:val="FirstParagraph"/>
      </w:pPr>
      <w:r>
        <w:t>Two independent lines of evidence rule out the alternative explanation that wind→platform TE is zero merely because wave forcing dominates platform motion.</w:t>
      </w:r>
    </w:p>
    <w:p w14:paraId="1BD8B22E"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captured by the blade-pitch command. Across the healthy population the SURD wind-into-blade-pitch term (</w:t>
      </w:r>
      <w:r>
        <w:rPr>
          <w:rStyle w:val="VerbatimChar"/>
        </w:rPr>
        <w:t>surd_wind_into_bldpitch</w:t>
      </w:r>
      <w:r>
        <w:t xml:space="preserve">) averages ≈ 0.4 in the normalized units of Section 2.7 — about 40% </w:t>
        <w:lastRenderedPageBreak/>
        <w:t xml:space="preserve">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This capture is not uniform across the operating envelope: the controller leak-drop — bias-corrected by subtracting its value under a circular-shift surrogate of the source — rises from a below-rated median of 0.023, with the pitch loop idle, to a median roughly 2.8× larger at and above rated (per-regime medians 0.042–0.066), where collective pitch is actively regulating thrust, and is positive in every one of the 54 closed-loop cases (Figure 5a). The same 54 cases underpin the two-method comparison of Figure 5b, drawn from the first-pass KSG TE table: pairwise TE(Wind → platform pitch) is non-zero in only two of them — so where TE registers nothing, the positive SURD leak-drop still resolves the mediated path.</w:t>
      </w:r>
    </w:p>
    <w:p w14:paraId="63384196"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10"/>
                    <a:stretch>
                      <a:fillRect/>
                    </a:stretch>
                  </pic:blipFill>
                  <pic:spPr bwMode="auto">
                    <a:xfrm>
                      <a:off x="0" y="0"/>
                      <a:ext cx="5334000" cy="3027405"/>
                    </a:xfrm>
                    <a:prstGeom prst="rect">
                      <a:avLst/>
                    </a:prstGeom>
                    <a:noFill/>
                    <a:ln w="9525">
                      <a:noFill/>
                      <a:headEnd/>
                      <a:tailEnd/>
                    </a:ln>
                  </pic:spPr>
                </pic:pic>
              </a:graphicData>
            </a:graphic>
          </wp:inline>
        </w:drawing>
      </w:r>
    </w:p>
    <w:p w14:paraId="0038FE26" w14:textId="77777777" w:rsidR="000A2783" w:rsidRDefault="00000000">
      <w:pPr>
        <w:pStyle w:val="BodyText"/>
      </w:pPr>
      <w:r>
        <w:rPr>
          <w:b/>
          <w:bCs/>
        </w:rPr>
        <w:t>Figure 5a.</w:t>
      </w:r>
      <w:r>
        <w:t xml:space="preserve"> SURD firewall dose–response. The controller’s capture of wind information (and hence firewall strength) scales with operating region, strengthening at and above rated (10.59 m/s) where collective pitch is actively regulating thrust.</w:t>
      </w:r>
    </w:p>
    <w:p w14:paraId="257AA570"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1"/>
                    <a:stretch>
                      <a:fillRect/>
                    </a:stretch>
                  </pic:blipFill>
                  <pic:spPr bwMode="auto">
                    <a:xfrm>
                      <a:off x="0" y="0"/>
                      <a:ext cx="5334000" cy="3171567"/>
                    </a:xfrm>
                    <a:prstGeom prst="rect">
                      <a:avLst/>
                    </a:prstGeom>
                    <a:noFill/>
                    <a:ln w="9525">
                      <a:noFill/>
                      <a:headEnd/>
                      <a:tailEnd/>
                    </a:ln>
                  </pic:spPr>
                </pic:pic>
              </a:graphicData>
            </a:graphic>
          </wp:inline>
        </w:drawing>
      </w:r>
    </w:p>
    <w:p w14:paraId="6D2984EA" w14:textId="77777777" w:rsidR="000A2783" w:rsidRDefault="00000000">
      <w:pPr>
        <w:pStyle w:val="BodyText"/>
      </w:pPr>
      <w:r>
        <w:rPr>
          <w:b/>
          <w:bCs/>
        </w:rPr>
        <w:t>Figure 5b.</w:t>
      </w:r>
      <w:r>
        <w:t xml:space="preserve"> SURD versus pairwise TE. Where pairwise TE(Wind→platform) reads zero, SURD shows the corresponding wind information residing in the blade-pitch channel — the firewall is redirection, not absence.</w:t>
      </w:r>
    </w:p>
    <w:p w14:paraId="6CDCFB51" w14:textId="1E19DF31"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organizes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Section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4A24B6F"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This is read cautiously rather than as a refutation. It is one realization (a single 11 m/s seed), and disabling the loop with prescribed </w:t>
        <w:lastRenderedPageBreak/>
        <w:t xml:space="preserve">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(Section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1134C8A7"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2"/>
                    <a:stretch>
                      <a:fillRect/>
                    </a:stretch>
                  </pic:blipFill>
                  <pic:spPr bwMode="auto">
                    <a:xfrm>
                      <a:off x="0" y="0"/>
                      <a:ext cx="5334000" cy="2594918"/>
                    </a:xfrm>
                    <a:prstGeom prst="rect">
                      <a:avLst/>
                    </a:prstGeom>
                    <a:noFill/>
                    <a:ln w="9525">
                      <a:noFill/>
                      <a:headEnd/>
                      <a:tailEnd/>
                    </a:ln>
                  </pic:spPr>
                </pic:pic>
              </a:graphicData>
            </a:graphic>
          </wp:inline>
        </w:drawing>
      </w:r>
    </w:p>
    <w:p w14:paraId="310274BA" w14:textId="77777777" w:rsidR="000A2783" w:rsidRDefault="00000000">
      <w:pPr>
        <w:pStyle w:val="BodyText"/>
      </w:pPr>
      <w:r>
        <w:rPr>
          <w:b/>
          <w:bCs/>
        </w:rPr>
        <w:t>Figure 5c.</w:t>
      </w:r>
      <w:r>
        <w:t xml:space="preserve"> Open-loop twin (11 m/s; seed s00, five sibling seeds shown as context).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644D70A" w14:textId="77777777" w:rsidR="000A2783" w:rsidRDefault="00000000">
      <w:pPr>
        <w:pStyle w:val="BodyText"/>
      </w:pPr>
      <w:r>
        <w:t>Figure 6 assembles the full picture: the significant wave-driven causal web, the wind information routed into and held by the controller, and the empty wind→platform channel that defines the healthy signature.</w:t>
      </w:r>
    </w:p>
    <w:p w14:paraId="59FA81CF"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3"/>
                    <a:stretch>
                      <a:fillRect/>
                    </a:stretch>
                  </pic:blipFill>
                  <pic:spPr bwMode="auto">
                    <a:xfrm>
                      <a:off x="0" y="0"/>
                      <a:ext cx="5334000" cy="3564094"/>
                    </a:xfrm>
                    <a:prstGeom prst="rect">
                      <a:avLst/>
                    </a:prstGeom>
                    <a:noFill/>
                    <a:ln w="9525">
                      <a:noFill/>
                      <a:headEnd/>
                      <a:tailEnd/>
                    </a:ln>
                  </pic:spPr>
                </pic:pic>
              </a:graphicData>
            </a:graphic>
          </wp:inline>
        </w:drawing>
      </w:r>
    </w:p>
    <w:p w14:paraId="7A52C09B" w14:textId="77777777" w:rsidR="000A2783" w:rsidRDefault="00000000">
      <w:pPr>
        <w:pStyle w:val="BodyText"/>
      </w:pPr>
      <w:r>
        <w:rPr>
          <w:b/>
          <w:bCs/>
        </w:rPr>
        <w:t>Figure 6.</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B3F56A" w14:textId="77777777" w:rsidR="000A2783" w:rsidRDefault="00000000">
      <w:pPr>
        <w:pStyle w:val="Heading3"/>
      </w:pPr>
      <w:bookmarkStart w:id="17" w:name="a-monitoring-hypothesis-not-yet-tested"/>
      <w:bookmarkEnd w:id="16"/>
      <w:r>
        <w:t>3.4 A monitoring hypothesis, not yet tested</w:t>
      </w:r>
    </w:p>
    <w:p w14:paraId="39DACE22"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Section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1A22B40A"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Section 3.3, in which blade pitch is held fixed and the thrust loop is opened — has had its wind→platform transfer entropy computed, and it is a null: it does not breach the healthy ≈ 0.03-nats ceiling, and the null is genuine rather than an estimator failure because the same run still recovers a significant control-channel edge (Section 3.3). But opening the loop with prescribed pitch is not an injected pitch fault, and it is a single realization, so that twin probes the attribution </w:t>
      </w:r>
      <w:r>
        <w:rPr>
          <w:i/>
          <w:iCs/>
        </w:rPr>
        <w:lastRenderedPageBreak/>
        <w:t>mechanism</w:t>
      </w:r>
      <w:r>
        <w:t xml:space="preserve">, not the monitoring hypothesis; the dedicated graded pitch-fault campaign the hypothesis actually requires (Section 4.3) is not run here. Second, and more importantly for anyone tempted to read a positive result into the healthy data, the two simulations the signature flags as “wind reaching the platform” (TE 0.022–0.029 nats) are exactly the number expected from chance at α = 0.05 (Section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40619443" w14:textId="77777777" w:rsidR="000A2783" w:rsidRDefault="00000000">
      <w:r>
        <w:pict w14:anchorId="003D3A5D">
          <v:rect id="_x0000_i1028" style="width:0;height:1.5pt" o:hralign="center" o:hrstd="t" o:hr="t"/>
        </w:pict>
      </w:r>
    </w:p>
    <w:p w14:paraId="7A81A3C1" w14:textId="77777777" w:rsidR="000A2783" w:rsidRDefault="00000000">
      <w:pPr>
        <w:pStyle w:val="Heading3"/>
      </w:pPr>
      <w:bookmarkStart w:id="18" w:name="X8e688a56a85a0f5bd90d94aa268c5f43d640f3b"/>
      <w:bookmarkEnd w:id="17"/>
      <w:r>
        <w:t>3.5 Coupling delays and the delay-robustness of the firewall</w:t>
      </w:r>
    </w:p>
    <w:p w14:paraId="5A742603"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(Section 2.9) — for the significant wave-driven edges, averaged over the three analyzed severe-sea 11 m/s seeds (the DLC 1.6 set of Section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34E32785" w14:textId="77777777" w:rsidR="000A2783" w:rsidRDefault="00000000">
      <w:pPr>
        <w:pStyle w:val="BodyText"/>
      </w:pPr>
      <w:r>
        <w:rPr>
          <w:b/>
          <w:bCs/>
        </w:rPr>
        <w:t>Table 6.</w:t>
      </w:r>
      <w:r>
        <w:t xml:space="preserve"> Selected wave-coupling delay (the lag maximizing the delay-resolved TE within the first half wave period, Section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2BE062FF"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096FD869" w14:textId="77777777" w:rsidR="000A2783" w:rsidRDefault="00000000">
            <w:pPr>
              <w:pStyle w:val="Compact"/>
            </w:pPr>
            <w:r>
              <w:t>Edge</w:t>
            </w:r>
          </w:p>
        </w:tc>
        <w:tc>
          <w:tcPr>
            <w:tcW w:w="2640" w:type="dxa"/>
          </w:tcPr>
          <w:p w14:paraId="22CDE560" w14:textId="77777777" w:rsidR="000A2783" w:rsidRDefault="00000000">
            <w:pPr>
              <w:pStyle w:val="Compact"/>
            </w:pPr>
            <w:r>
              <w:t>Selected delay (s)</w:t>
            </w:r>
          </w:p>
        </w:tc>
        <w:tc>
          <w:tcPr>
            <w:tcW w:w="2640" w:type="dxa"/>
          </w:tcPr>
          <w:p w14:paraId="4FE55450" w14:textId="77777777" w:rsidR="000A2783" w:rsidRDefault="00000000">
            <w:pPr>
              <w:pStyle w:val="Compact"/>
            </w:pPr>
            <w:r>
              <w:t>Reading</w:t>
            </w:r>
          </w:p>
        </w:tc>
      </w:tr>
      <w:tr w:rsidR="000A2783" w14:paraId="7B4C5223" w14:textId="77777777">
        <w:tc>
          <w:tcPr>
            <w:tcW w:w="2640" w:type="dxa"/>
          </w:tcPr>
          <w:p w14:paraId="5A42939F" w14:textId="77777777" w:rsidR="000A2783" w:rsidRDefault="00000000">
            <w:pPr>
              <w:pStyle w:val="Compact"/>
            </w:pPr>
            <w:r>
              <w:t>Wave → PtfmPitch</w:t>
            </w:r>
          </w:p>
        </w:tc>
        <w:tc>
          <w:tcPr>
            <w:tcW w:w="2640" w:type="dxa"/>
          </w:tcPr>
          <w:p w14:paraId="47262370" w14:textId="77777777" w:rsidR="000A2783" w:rsidRDefault="00000000">
            <w:pPr>
              <w:pStyle w:val="Compact"/>
            </w:pPr>
            <w:r>
              <w:t>0.3</w:t>
            </w:r>
          </w:p>
        </w:tc>
        <w:tc>
          <w:tcPr>
            <w:tcW w:w="2640" w:type="dxa"/>
          </w:tcPr>
          <w:p w14:paraId="1D2A5003" w14:textId="77777777" w:rsidR="000A2783" w:rsidRDefault="00000000">
            <w:pPr>
              <w:pStyle w:val="Compact"/>
            </w:pPr>
            <w:r>
              <w:t>near-instantaneous overturning moment</w:t>
            </w:r>
          </w:p>
        </w:tc>
      </w:tr>
      <w:tr w:rsidR="000A2783" w14:paraId="09E39DCD" w14:textId="77777777">
        <w:tc>
          <w:tcPr>
            <w:tcW w:w="2640" w:type="dxa"/>
          </w:tcPr>
          <w:p w14:paraId="39F7FAC2" w14:textId="77777777" w:rsidR="000A2783" w:rsidRDefault="00000000">
            <w:pPr>
              <w:pStyle w:val="Compact"/>
            </w:pPr>
            <w:r>
              <w:t>Wave → PtfmHeave</w:t>
            </w:r>
          </w:p>
        </w:tc>
        <w:tc>
          <w:tcPr>
            <w:tcW w:w="2640" w:type="dxa"/>
          </w:tcPr>
          <w:p w14:paraId="795BA9A2" w14:textId="77777777" w:rsidR="000A2783" w:rsidRDefault="00000000">
            <w:pPr>
              <w:pStyle w:val="Compact"/>
            </w:pPr>
            <w:r>
              <w:t>2.7</w:t>
            </w:r>
          </w:p>
        </w:tc>
        <w:tc>
          <w:tcPr>
            <w:tcW w:w="2640" w:type="dxa"/>
          </w:tcPr>
          <w:p w14:paraId="4C879ECB" w14:textId="77777777" w:rsidR="000A2783" w:rsidRDefault="00000000">
            <w:pPr>
              <w:pStyle w:val="Compact"/>
            </w:pPr>
            <w:r>
              <w:t>heave-restoring response lag</w:t>
            </w:r>
          </w:p>
        </w:tc>
      </w:tr>
      <w:tr w:rsidR="000A2783" w14:paraId="5764D222" w14:textId="77777777">
        <w:tc>
          <w:tcPr>
            <w:tcW w:w="2640" w:type="dxa"/>
          </w:tcPr>
          <w:p w14:paraId="7C2982F5" w14:textId="77777777" w:rsidR="000A2783" w:rsidRDefault="00000000">
            <w:pPr>
              <w:pStyle w:val="Compact"/>
            </w:pPr>
            <w:r>
              <w:t>Wave → FAIRTEN2</w:t>
            </w:r>
          </w:p>
        </w:tc>
        <w:tc>
          <w:tcPr>
            <w:tcW w:w="2640" w:type="dxa"/>
          </w:tcPr>
          <w:p w14:paraId="5F91E7C3" w14:textId="77777777" w:rsidR="000A2783" w:rsidRDefault="00000000">
            <w:pPr>
              <w:pStyle w:val="Compact"/>
            </w:pPr>
            <w:r>
              <w:t>3.9</w:t>
            </w:r>
          </w:p>
        </w:tc>
        <w:tc>
          <w:tcPr>
            <w:tcW w:w="2640" w:type="dxa"/>
          </w:tcPr>
          <w:p w14:paraId="7B75204B" w14:textId="77777777" w:rsidR="000A2783" w:rsidRDefault="00000000">
            <w:pPr>
              <w:pStyle w:val="Compact"/>
            </w:pPr>
            <w:r>
              <w:t>mooring-mediated response lag</w:t>
            </w:r>
          </w:p>
        </w:tc>
      </w:tr>
      <w:tr w:rsidR="000A2783" w14:paraId="55C755DD" w14:textId="77777777">
        <w:tc>
          <w:tcPr>
            <w:tcW w:w="2640" w:type="dxa"/>
          </w:tcPr>
          <w:p w14:paraId="51DE49FA" w14:textId="77777777" w:rsidR="000A2783" w:rsidRDefault="00000000">
            <w:pPr>
              <w:pStyle w:val="Compact"/>
            </w:pPr>
            <w:r>
              <w:t>Wave → PtfmSurge</w:t>
            </w:r>
          </w:p>
        </w:tc>
        <w:tc>
          <w:tcPr>
            <w:tcW w:w="2640" w:type="dxa"/>
          </w:tcPr>
          <w:p w14:paraId="57C8DDAD" w14:textId="77777777" w:rsidR="000A2783" w:rsidRDefault="00000000">
            <w:pPr>
              <w:pStyle w:val="Compact"/>
            </w:pPr>
            <w:r>
              <w:t xml:space="preserve">6.3 (≈ Tp/2; secondary peak </w:t>
              <w:lastRenderedPageBreak/>
              <w:t>1.1)</w:t>
            </w:r>
          </w:p>
        </w:tc>
        <w:tc>
          <w:tcPr>
            <w:tcW w:w="2640" w:type="dxa"/>
          </w:tcPr>
          <w:p w14:paraId="4FED183A" w14:textId="77777777" w:rsidR="000A2783" w:rsidRDefault="00000000">
            <w:pPr>
              <w:pStyle w:val="Compact"/>
            </w:pPr>
            <w:r>
              <w:lastRenderedPageBreak/>
              <w:t>near-antiphase, inertia-</w:t>
              <w:lastRenderedPageBreak/>
              <w:t>dominated response</w:t>
            </w:r>
          </w:p>
        </w:tc>
      </w:tr>
    </w:tbl>
    <w:p w14:paraId="5B35F598" w14:textId="77777777" w:rsidR="000A2783" w:rsidRDefault="00000000">
      <w:pPr>
        <w:pStyle w:val="BodyText"/>
      </w:pPr>
      <w:r>
        <w:lastRenderedPageBreak/>
        <w:t xml:space="preserve">The same analysis provides a direct check that the firewall is not an artifact of the lag chosen. Figure 7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01BC127"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4"/>
                    <a:stretch>
                      <a:fillRect/>
                    </a:stretch>
                  </pic:blipFill>
                  <pic:spPr bwMode="auto">
                    <a:xfrm>
                      <a:off x="0" y="0"/>
                      <a:ext cx="5334000" cy="1906399"/>
                    </a:xfrm>
                    <a:prstGeom prst="rect">
                      <a:avLst/>
                    </a:prstGeom>
                    <a:noFill/>
                    <a:ln w="9525">
                      <a:noFill/>
                      <a:headEnd/>
                      <a:tailEnd/>
                    </a:ln>
                  </pic:spPr>
                </pic:pic>
              </a:graphicData>
            </a:graphic>
          </wp:inline>
        </w:drawing>
      </w:r>
    </w:p>
    <w:p w14:paraId="03CDD574" w14:textId="77777777" w:rsidR="000A2783" w:rsidRDefault="00000000">
      <w:pPr>
        <w:pStyle w:val="BodyText"/>
      </w:pPr>
      <w:r>
        <w:rPr>
          <w:b/>
          <w:bCs/>
        </w:rPr>
        <w:t>Figure 7.</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8; the wind→heave channel (gray) is flat and below the 95% chance level at every delay, confirming the firewall is not an artifact of the lag choice. Absolute values exceed the reported bivariate TE because of the single-lag conditioning (Section 2.9); only the peak location and the wave/wind contrast are interpreted.</w:t>
      </w:r>
    </w:p>
    <w:p w14:paraId="0A828648" w14:textId="77777777" w:rsidR="000A2783" w:rsidRDefault="00000000">
      <w:pPr>
        <w:pStyle w:val="BodyText"/>
      </w:pPr>
      <w:r>
        <w:t xml:space="preserve">Figure 8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(Section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w:t>
        <w:lastRenderedPageBreak/>
        <w:t xml:space="preserve">level at </w:t>
      </w:r>
      <w:r>
        <w:rPr>
          <w:i/>
          <w:iCs/>
        </w:rPr>
        <w:t>every</w:t>
      </w:r>
      <w:r>
        <w:t xml:space="preserve"> lag in </w:t>
      </w:r>
      <w:r>
        <w:rPr>
          <w:i/>
          <w:iCs/>
        </w:rPr>
        <w:t>all four</w:t>
      </w:r>
      <w:r>
        <w:t xml:space="preserve"> panels: the firewall’s lag-robustness, demonstrated for heave in Figure 7, holds across every platform and mooring channel examined.</w:t>
      </w:r>
    </w:p>
    <w:p w14:paraId="4C66220A"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5"/>
                    <a:stretch>
                      <a:fillRect/>
                    </a:stretch>
                  </pic:blipFill>
                  <pic:spPr bwMode="auto">
                    <a:xfrm>
                      <a:off x="0" y="0"/>
                      <a:ext cx="5334000" cy="3615883"/>
                    </a:xfrm>
                    <a:prstGeom prst="rect">
                      <a:avLst/>
                    </a:prstGeom>
                    <a:noFill/>
                    <a:ln w="9525">
                      <a:noFill/>
                      <a:headEnd/>
                      <a:tailEnd/>
                    </a:ln>
                  </pic:spPr>
                </pic:pic>
              </a:graphicData>
            </a:graphic>
          </wp:inline>
        </w:drawing>
      </w:r>
    </w:p>
    <w:p w14:paraId="0534C815" w14:textId="77777777" w:rsidR="000A2783" w:rsidRDefault="00000000">
      <w:pPr>
        <w:pStyle w:val="BodyText"/>
      </w:pPr>
      <w:r>
        <w:rPr>
          <w:b/>
          <w:bCs/>
        </w:rPr>
        <w:t>Figure 8.</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54EC7710" w14:textId="77777777" w:rsidR="000A2783" w:rsidRDefault="00000000">
      <w:pPr>
        <w:pStyle w:val="Heading3"/>
      </w:pPr>
      <w:bookmarkStart w:id="19" w:name="summary-of-findings"/>
      <w:bookmarkEnd w:id="18"/>
      <w:r>
        <w:t>3.6 Summary of findings</w:t>
      </w:r>
    </w:p>
    <w:p w14:paraId="0EA08BD0"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40206CB9" w14:textId="77777777" w:rsidR="000A2783" w:rsidRDefault="00000000">
      <w:pPr>
        <w:pStyle w:val="Heading2"/>
      </w:pPr>
      <w:bookmarkStart w:id="20" w:name="discussion"/>
      <w:bookmarkEnd w:id="13"/>
      <w:bookmarkEnd w:id="19"/>
      <w:r>
        <w:lastRenderedPageBreak/>
        <w:t>4. Discussion</w:t>
      </w:r>
    </w:p>
    <w:p w14:paraId="36F7DDF5" w14:textId="77777777" w:rsidR="000A2783" w:rsidRDefault="00000000">
      <w:pPr>
        <w:pStyle w:val="Heading3"/>
      </w:pPr>
      <w:bookmarkStart w:id="21" w:name="physical-interpretation"/>
      <w:r>
        <w:t>4.1 Physical interpretation</w:t>
      </w:r>
    </w:p>
    <w:p w14:paraId="5E0AD74B"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60F24989"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suppress the </w:t>
      </w:r>
      <w:r>
        <w:rPr>
          <w:i/>
          <w:iCs/>
        </w:rPr>
        <w:t>magnitude</w:t>
      </w:r>
      <w:r>
        <w:t xml:space="preserve"> of a wind effect, but it would not route the wind information into the blade-pitch command, which is what SURD observes.</w:t>
      </w:r>
    </w:p>
    <w:p w14:paraId="49FBFF2F"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(Section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w:t>
        <w:lastRenderedPageBreak/>
        <w:t>attributable organization of the platform response that collapses. Detectability alone explains none of these; the controller explains all.</w:t>
      </w:r>
    </w:p>
    <w:p w14:paraId="637995EC" w14:textId="77777777" w:rsidR="000A2783" w:rsidRDefault="00000000">
      <w:pPr>
        <w:pStyle w:val="Heading3"/>
      </w:pPr>
      <w:bookmarkStart w:id="22" w:name="implications-for-health-monitoring"/>
      <w:bookmarkEnd w:id="21"/>
      <w:r>
        <w:t>4.2 Implications for health monitoring</w:t>
      </w:r>
    </w:p>
    <w:p w14:paraId="4A79757F"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309D5F28"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20584917" w14:textId="77777777" w:rsidR="000A2783" w:rsidRDefault="00000000">
      <w:pPr>
        <w:pStyle w:val="BodyText"/>
      </w:pPr>
      <w:r>
        <w:t xml:space="preserve">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w:t>
        <w:lastRenderedPageBreak/>
        <w:t>locates the origin of a plant-wide oscillation, is direct: here the “disturbance” that a fault admits is the wind itself, and its appearance in the structural channels is the alarm.</w:t>
      </w:r>
    </w:p>
    <w:p w14:paraId="75F8BCBC"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626D8024" w14:textId="77777777" w:rsidR="000A2783" w:rsidRDefault="00000000">
      <w:pPr>
        <w:pStyle w:val="Heading3"/>
      </w:pPr>
      <w:bookmarkStart w:id="23" w:name="limitations-and-the-path-to-validation"/>
      <w:bookmarkEnd w:id="22"/>
      <w:r>
        <w:t>4.3 Limitations and the path to validation</w:t>
      </w:r>
    </w:p>
    <w:p w14:paraId="1DD9CB0F" w14:textId="77777777" w:rsidR="000A2783" w:rsidRDefault="00000000">
      <w:pPr>
        <w:pStyle w:val="FirstParagraph"/>
      </w:pPr>
      <w:r>
        <w:t>Four limitations bound the present claims.</w:t>
      </w:r>
    </w:p>
    <w:p w14:paraId="474FBA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(Section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(Section 3.3); replicating the collapse across seeds and operating points belongs to the same queued campaign.</w:t>
      </w:r>
    </w:p>
    <w:p w14:paraId="58A2F4AC"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7E914F09" w14:textId="77777777" w:rsidR="000A2783" w:rsidRDefault="00000000">
      <w:pPr>
        <w:pStyle w:val="BodyText"/>
      </w:pPr>
      <w:r>
        <w:rPr>
          <w:i/>
          <w:iCs/>
        </w:rPr>
        <w:lastRenderedPageBreak/>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(Section 3.3), and that null 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27920355"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27969F7C"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58711616" w14:textId="77777777" w:rsidR="000A2783" w:rsidRDefault="00000000">
      <w:r>
        <w:lastRenderedPageBreak/>
        <w:pict w14:anchorId="6203B2E0">
          <v:rect id="_x0000_i1029" style="width:0;height:1.5pt" o:hralign="center" o:hrstd="t" o:hr="t"/>
        </w:pict>
      </w:r>
    </w:p>
    <w:p w14:paraId="0569331F" w14:textId="77777777" w:rsidR="000A2783" w:rsidRDefault="00000000">
      <w:pPr>
        <w:pStyle w:val="Heading2"/>
      </w:pPr>
      <w:bookmarkStart w:id="24" w:name="conclusion"/>
      <w:bookmarkEnd w:id="20"/>
      <w:bookmarkEnd w:id="23"/>
      <w:r>
        <w:t>5. Conclusion</w:t>
      </w:r>
    </w:p>
    <w:p w14:paraId="2FDAD9AB"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and it is distinguished from wave dominance using SURD, which shows the wind information redirected into the 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79DD51CE"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3A984020" w14:textId="77777777" w:rsidR="000A2783" w:rsidRDefault="00000000">
      <w:r>
        <w:pict w14:anchorId="42F21EBB">
          <v:rect id="_x0000_i1030" style="width:0;height:1.5pt" o:hralign="center" o:hrstd="t" o:hr="t"/>
        </w:pict>
      </w:r>
    </w:p>
    <w:p w14:paraId="7DE0E1DD" w14:textId="77777777" w:rsidR="000A2783" w:rsidRDefault="00000000">
      <w:pPr>
        <w:pStyle w:val="Heading2"/>
      </w:pPr>
      <w:bookmarkStart w:id="25" w:name="data-and-code-availability-statement"/>
      <w:bookmarkEnd w:id="24"/>
      <w:r>
        <w:t>Data and Code Availability Statement</w:t>
      </w:r>
    </w:p>
    <w:p w14:paraId="3745DE1C"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E66B7B5"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15A264F0" w14:textId="77777777" w:rsidR="000A2783" w:rsidRDefault="00000000">
      <w:pPr>
        <w:pStyle w:val="Heading2"/>
      </w:pPr>
      <w:bookmarkStart w:id="26" w:name="author-contributions-credit"/>
      <w:bookmarkEnd w:id="25"/>
      <w:r>
        <w:t>Author Contributions (CRediT)</w:t>
      </w:r>
    </w:p>
    <w:p w14:paraId="1206F7EC" w14:textId="77777777" w:rsidR="000A2783" w:rsidRDefault="00000000">
      <w:pPr>
        <w:pStyle w:val="FirstParagraph"/>
      </w:pPr>
      <w:r>
        <w:t>[To be completed — e.g. Conceptualization, Methodology, Software, Formal analysis, Writing – original draft, etc.]</w:t>
      </w:r>
    </w:p>
    <w:p w14:paraId="3061DD12" w14:textId="77777777" w:rsidR="000A2783" w:rsidRDefault="00000000">
      <w:pPr>
        <w:pStyle w:val="Heading2"/>
      </w:pPr>
      <w:bookmarkStart w:id="27" w:name="conflict-of-interest"/>
      <w:bookmarkEnd w:id="26"/>
      <w:r>
        <w:lastRenderedPageBreak/>
        <w:t>Conflict of Interest</w:t>
      </w:r>
    </w:p>
    <w:p w14:paraId="356AC831" w14:textId="77777777" w:rsidR="000A2783" w:rsidRDefault="00000000">
      <w:pPr>
        <w:pStyle w:val="FirstParagraph"/>
      </w:pPr>
      <w:r>
        <w:t>The authors declare no competing interests. [Confirm.]</w:t>
      </w:r>
    </w:p>
    <w:p w14:paraId="5C8ED2AC" w14:textId="77777777" w:rsidR="000A2783" w:rsidRDefault="00000000">
      <w:pPr>
        <w:pStyle w:val="Heading2"/>
      </w:pPr>
      <w:bookmarkStart w:id="28" w:name="funding"/>
      <w:bookmarkEnd w:id="27"/>
      <w:r>
        <w:t>Funding</w:t>
      </w:r>
    </w:p>
    <w:p w14:paraId="6E34E646" w14:textId="77777777" w:rsidR="000A2783" w:rsidRDefault="00000000">
      <w:pPr>
        <w:pStyle w:val="FirstParagraph"/>
      </w:pPr>
      <w:r>
        <w:t>[To be completed.]</w:t>
      </w:r>
    </w:p>
    <w:p w14:paraId="7E730ACE" w14:textId="77777777" w:rsidR="000A2783" w:rsidRDefault="00000000">
      <w:pPr>
        <w:pStyle w:val="Heading2"/>
      </w:pPr>
      <w:bookmarkStart w:id="29" w:name="ethics-declaration"/>
      <w:bookmarkEnd w:id="28"/>
      <w:r>
        <w:t>Ethics Declaration</w:t>
      </w:r>
    </w:p>
    <w:p w14:paraId="1E7278F3" w14:textId="77777777" w:rsidR="000A2783" w:rsidRDefault="00000000">
      <w:pPr>
        <w:pStyle w:val="FirstParagraph"/>
      </w:pPr>
      <w:r>
        <w:t>Not applicable; the study uses simulation data only and involves no human or animal subjects.</w:t>
      </w:r>
    </w:p>
    <w:p w14:paraId="2896BC59" w14:textId="77777777" w:rsidR="000A2783" w:rsidRDefault="00000000">
      <w:pPr>
        <w:pStyle w:val="Heading2"/>
      </w:pPr>
      <w:bookmarkStart w:id="30" w:name="ai-usage-disclosure"/>
      <w:bookmarkEnd w:id="29"/>
      <w:r>
        <w:t>AI-Usage Disclosure</w:t>
      </w:r>
    </w:p>
    <w:p w14:paraId="39C47368"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408C24CA" w14:textId="77777777" w:rsidR="000A2783" w:rsidRDefault="00000000">
      <w:r>
        <w:pict w14:anchorId="5D91C03A">
          <v:rect id="_x0000_i1031" style="width:0;height:1.5pt" o:hralign="center" o:hrstd="t" o:hr="t"/>
        </w:pict>
      </w:r>
    </w:p>
    <w:p w14:paraId="5B6C2236" w14:textId="77777777" w:rsidR="000A2783" w:rsidRDefault="00000000">
      <w:pPr>
        <w:pStyle w:val="Heading2"/>
      </w:pPr>
      <w:bookmarkStart w:id="31" w:name="references"/>
      <w:bookmarkEnd w:id="30"/>
      <w:r>
        <w:t>References</w:t>
      </w:r>
    </w:p>
    <w:p w14:paraId="5E6960BC"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0BB0F473"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1E9EA5B0"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7471679"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0D35E904"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6838F5C0"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6C38A289" w14:textId="77777777" w:rsidR="000A2783" w:rsidRDefault="00000000">
      <w:pPr>
        <w:pStyle w:val="BodyText"/>
      </w:pPr>
      <w:r>
        <w:lastRenderedPageBreak/>
        <w:t xml:space="preserve">Carroll, J., McDonald, A., &amp; McMillan, D. (2016). Failure rate, repair time and unscheduled O&amp;M cost analysis of offshore wind turbines. </w:t>
      </w:r>
      <w:r>
        <w:rPr>
          <w:i/>
          <w:iCs/>
        </w:rPr>
        <w:t>Wind Energy, 19</w:t>
      </w:r>
      <w:r>
        <w:t>(6), 1107–1119. https://doi.org/10.1002/we.1887</w:t>
      </w:r>
    </w:p>
    <w:p w14:paraId="53C04F2A" w14:textId="77777777" w:rsidR="000A2783" w:rsidRDefault="00000000">
      <w:pPr>
        <w:pStyle w:val="BodyText"/>
      </w:pPr>
      <w:r>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13A9DF98"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76F37BD1"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75E20A91"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7BBC5070"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0266CAF5"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3C84CCA1"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4DAB1C1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3861D33C"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BF16AB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1797674A"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26624AF1"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23E1B6DA"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25307E9F"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507660CB"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686C2D13"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190A303C"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6E92AB7"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2A187BCF"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08527910"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EFB0B84"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5FF5A357"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6D881905"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1"/>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1FAA"/>
    <w:rsid w:val="000872AE"/>
    <w:rsid w:val="00092EB5"/>
    <w:rsid w:val="00096640"/>
    <w:rsid w:val="000A2783"/>
    <w:rsid w:val="00116C18"/>
    <w:rsid w:val="002769C0"/>
    <w:rsid w:val="002E4B86"/>
    <w:rsid w:val="003F2F30"/>
    <w:rsid w:val="003F4E38"/>
    <w:rsid w:val="00406757"/>
    <w:rsid w:val="006E3FC9"/>
    <w:rsid w:val="0071199E"/>
    <w:rsid w:val="0077427B"/>
    <w:rsid w:val="00833B9C"/>
    <w:rsid w:val="00883593"/>
    <w:rsid w:val="00A06FEC"/>
    <w:rsid w:val="00BA6EBF"/>
    <w:rsid w:val="00C41872"/>
    <w:rsid w:val="00D01C5A"/>
    <w:rsid w:val="00D42CE2"/>
    <w:rsid w:val="00D96723"/>
    <w:rsid w:val="00E44048"/>
    <w:rsid w:val="00ED3EDD"/>
    <w:rsid w:val="00F44868"/>
    <w:rsid w:val="00FD7F8F"/>
    <w:rsid w:val="00FF347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C31A5"/>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0206030504050203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0206030504050203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1</Pages>
  <Words>14248</Words>
  <Characters>81217</Characters>
  <Application>Microsoft Office Word</Application>
  <DocSecurity>0</DocSecurity>
  <Lines>676</Lines>
  <Paragraphs>190</Paragraphs>
  <ScaleCrop>false</ScaleCrop>
  <HeadingPairs>
    <vt:vector size="2" baseType="variant">
      <vt:variant>
        <vt:lpstr>Title</vt:lpstr>
      </vt:variant>
      <vt:variant>
        <vt:i4>1</vt:i4>
      </vt:variant>
    </vt:vector>
  </HeadingPairs>
  <TitlesOfParts>
    <vt:vector size="1" baseType="lpstr">
      <vt:lpstr>An information-flow firewall in floating offshore wind turbines: the controller as structural shield</vt:lpstr>
    </vt:vector>
  </TitlesOfParts>
  <Company/>
  <LinksUpToDate>false</LinksUpToDate>
  <CharactersWithSpaces>95275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Feasibility of a Transfer-Entropy Firewall Signature for Blade-Pitch Controller Health Monitoring in Floating Offshore Wind Turbines</dc:title>
  <dc:creator>Sina Hadadi</dc:creator>
  <cp:keywords/>
  <cp:lastModifiedBy>kunsanuni3</cp:lastModifiedBy>
  <cp:revision>11</cp:revision>
  <dcterms:created xsi:type="dcterms:W3CDTF">2026-08-10T01:58:00Z</dcterms:created>
  <dcterms:modified xsi:type="dcterms:W3CDTF">2026-08-12T02:03:00Z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