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8625" w14:textId="77777777" w:rsidR="000A2783" w:rsidRDefault="00000000">
      <w:pPr>
        <w:pStyle w:val="Title"/>
      </w:pPr>
      <w:r>
        <w:t>Wind reaches the blades but not the platform: a structural information firewall in floating offshore wind turbines revealed by directed transfer entropy</w:t>
      </w:r>
    </w:p>
    <w:p w14:paraId="7288F9BA" w14:textId="77777777" w:rsidR="000A2783" w:rsidRDefault="00000000">
      <w:pPr>
        <w:pStyle w:val="Author"/>
      </w:pPr>
      <w:r>
        <w:t>Sina Hadadi</w:t>
      </w:r>
    </w:p>
    <w:p w14:paraId="0BE14EEF" w14:textId="77777777" w:rsidR="000A2783" w:rsidRDefault="00000000">
      <w:pPr>
        <w:pStyle w:val="Date"/>
      </w:pPr>
      <w:r>
        <w:t>2026-07-14</w:t>
      </w:r>
    </w:p>
    <w:p w14:paraId="5D9DCBC3" w14:textId="77777777" w:rsidR="000A2783" w:rsidRDefault="00000000">
      <w:pPr>
        <w:pStyle w:val="Heading2"/>
      </w:pPr>
      <w:bookmarkStart w:id="0" w:name="abstract"/>
      <w:r>
        <w:t>Abstract</w:t>
      </w:r>
    </w:p>
    <w:p w14:paraId="099EE6BD" w14:textId="77777777" w:rsidR="000A2783" w:rsidRDefault="00000000">
      <w:pPr>
        <w:pStyle w:val="FirstParagraph"/>
      </w:pPr>
      <w:r>
        <w:t xml:space="preserve">Structural health monitoring of floating offshore wind turbines (FOWTs) largely inherits fixed-bottom methods that measure statistical association, not the </w:t>
      </w:r>
      <w:r>
        <w:rPr>
          <w:i/>
          <w:iCs/>
        </w:rPr>
        <w:t>direction</w:t>
      </w:r>
      <w:r>
        <w:t xml:space="preserve"> of influence. Using model-free directed transfer entropy (TE) with the Kraskov–Stögbauer–Grassberger estimator on OpenFAST simulations of the IEA-15MW on VolturnUS-S, we identify a structural information </w:t>
      </w:r>
      <w:r>
        <w:rPr>
          <w:i/>
          <w:iCs/>
        </w:rPr>
        <w:t>firewall</w:t>
      </w:r>
      <w:r>
        <w:t xml:space="preserve"> between wind and platform motion: turbulent wind transfers essentially no information into platform pitch or heave — which are governed by wave forcing — even though wind demonstrably reaches the blade loads. Two controls establish that the firewall is physical, not a measurement artifact. A single-point hub anemometer carries near-zero TE into every structural channel — including blade loads that wind directly drives — because it is spatially decorrelated from the rotor-averaged inflow; the rotor-averaged wind does inform the blade loads yet still transfers none into the platform, confirming a genuine physical barrier and warning that directed-information analysis of FOWTs must use rotor-averaged, not point, wind. The firewall is also </w:t>
      </w:r>
      <w:r>
        <w:rPr>
          <w:i/>
          <w:iCs/>
        </w:rPr>
        <w:t>structural</w:t>
      </w:r>
      <w:r>
        <w:t xml:space="preserve">, not control-erected: it persists across a graded pitch-fault campaign in which the blade-pitch controller is seized or detuned — the wind–platform barrier survives even a broken controller. Linear coherence, by contrast, reports a strong apparent wind–platform link (shared spectral power, not causation), so the undirected tool misleads where TE certifies no flow. Because the firewall holds under fault, a wind→platform TE signature cannot detect pitch faults; the fault instead perturbs the controller’s own regulation channels. To the authors’ knowledge, this is the first directed-information characterization of how the rotor mediates disturbance propagation into a floating turbine’s structure, and of the wind-measurement requirements this entails.</w:t>
      </w:r>
    </w:p>
    <w:p w14:paraId="30068D8B" w14:textId="77777777" w:rsidR="000A2783" w:rsidRDefault="00000000">
      <w:pPr>
        <w:pStyle w:val="BodyText"/>
      </w:pPr>
      <w:r>
        <w:rPr>
          <w:b/>
          <w:bCs/>
        </w:rPr>
        <w:t>Keywords:</w:t>
      </w:r>
      <w:r>
        <w:t xml:space="preserve"> floating offshore wind turbine; transfer entropy; structural health monitoring; blade-pitch control; information theory; fault detection</w:t>
      </w:r>
    </w:p>
    <w:p w14:paraId="0670DFC5" w14:textId="77777777" w:rsidR="00FF347D" w:rsidRDefault="00000000">
      <w:pPr>
        <w:pStyle w:val="Heading2"/>
      </w:pPr>
      <w:r>
        <w:t>Nomenclature</w:t>
      </w:r>
    </w:p>
    <w:p w14:paraId="33454CFA" w14:textId="77777777" w:rsidR="00FF347D" w:rsidRDefault="00000000">
      <w:pPr>
        <w:pStyle w:val="Compact"/>
        <w:spacing w:before="80" w:after="40"/>
        <w:jc w:val="left"/>
      </w:pPr>
      <w:r>
        <w:rPr>
          <w:b/>
          <w:bCs/>
        </w:rPr>
        <w:t>Latin symbols</w:t>
      </w:r>
    </w:p>
    <w:p w14:paraId="04A6E672" w14:textId="77777777" w:rsidR="00FF347D" w:rsidRDefault="00000000">
      <w:pPr>
        <w:pStyle w:val="Compact"/>
        <w:ind w:left="1620" w:hanging="1620"/>
        <w:jc w:val="left"/>
      </w:pPr>
      <w:r>
        <w:rPr>
          <w:i/>
        </w:rPr>
        <w:t>A</w:t>
      </w:r>
      <w:r>
        <w:rPr>
          <w:i/>
          <w:vertAlign w:val="subscript"/>
        </w:rPr>
        <w:t>X</w:t>
      </w:r>
      <w:r>
        <w:tab/>
        <w:t>active information storage (AIS) of the target</w:t>
      </w:r>
    </w:p>
    <w:p w14:paraId="11E34BCE" w14:textId="77777777" w:rsidR="00FF347D" w:rsidRDefault="00000000">
      <w:pPr>
        <w:pStyle w:val="Compact"/>
        <w:ind w:left="1620" w:hanging="1620"/>
        <w:jc w:val="left"/>
      </w:pPr>
      <w:r>
        <w:rPr>
          <w:i/>
        </w:rPr>
        <w:t>d</w:t>
      </w:r>
      <w:r>
        <w:tab/>
        <w:t>candidate source→target delay in the delay-resolved TE</w:t>
      </w:r>
    </w:p>
    <w:p w14:paraId="57DFCDA4" w14:textId="77777777" w:rsidR="00FF347D" w:rsidRDefault="00000000">
      <w:pPr>
        <w:pStyle w:val="Compact"/>
        <w:ind w:left="1620" w:hanging="1620"/>
        <w:jc w:val="left"/>
      </w:pPr>
      <w:r>
        <w:rPr>
          <w:i/>
        </w:rPr>
        <w:t>f</w:t>
      </w:r>
      <w:r>
        <w:tab/>
        <w:t>frequency</w:t>
      </w:r>
    </w:p>
    <w:p w14:paraId="3FE0E212" w14:textId="77777777" w:rsidR="00FF347D" w:rsidRDefault="00000000">
      <w:pPr>
        <w:pStyle w:val="Compact"/>
        <w:ind w:left="1620" w:hanging="1620"/>
        <w:jc w:val="left"/>
      </w:pPr>
      <w:r>
        <w:rPr>
          <w:i/>
        </w:rPr>
        <w:t>H(X)</w:t>
      </w:r>
      <w:r>
        <w:tab/>
        <w:t>Shannon entropy of X</w:t>
      </w:r>
    </w:p>
    <w:p w14:paraId="314DB00C" w14:textId="77777777" w:rsidR="00FF347D" w:rsidRDefault="00000000">
      <w:pPr>
        <w:pStyle w:val="Compact"/>
        <w:ind w:left="1620" w:hanging="1620"/>
        <w:jc w:val="left"/>
      </w:pPr>
      <w:r>
        <w:rPr>
          <w:i/>
        </w:rPr>
        <w:t>H(X,Y)</w:t>
      </w:r>
      <w:r>
        <w:tab/>
        <w:t>joint entropy of X and Y</w:t>
      </w:r>
    </w:p>
    <w:p w14:paraId="0C67783B" w14:textId="77777777" w:rsidR="00FF347D" w:rsidRDefault="00000000">
      <w:pPr>
        <w:pStyle w:val="Compact"/>
        <w:ind w:left="1620" w:hanging="1620"/>
        <w:jc w:val="left"/>
      </w:pPr>
      <w:r>
        <w:rPr>
          <w:i/>
        </w:rPr>
        <w:t>H</w:t>
      </w:r>
      <w:r>
        <w:rPr>
          <w:i/>
          <w:vertAlign w:val="subscript"/>
        </w:rPr>
        <w:t>s</w:t>
      </w:r>
      <w:r>
        <w:tab/>
        <w:t>significant wave height</w:t>
      </w:r>
    </w:p>
    <w:p w14:paraId="787C27ED" w14:textId="77777777" w:rsidR="00FF347D" w:rsidRDefault="00000000">
      <w:pPr>
        <w:pStyle w:val="Compact"/>
        <w:ind w:left="1620" w:hanging="1620"/>
        <w:jc w:val="left"/>
      </w:pPr>
      <w:r>
        <w:rPr>
          <w:i/>
        </w:rPr>
        <w:t>h</w:t>
      </w:r>
      <w:r>
        <w:rPr>
          <w:i/>
          <w:vertAlign w:val="subscript"/>
        </w:rPr>
        <w:t>X</w:t>
      </w:r>
      <w:r>
        <w:tab/>
        <w:t>entropy rate of X</w:t>
      </w:r>
    </w:p>
    <w:p w14:paraId="4E14ADA7" w14:textId="77777777" w:rsidR="00FF347D" w:rsidRDefault="00000000">
      <w:pPr>
        <w:pStyle w:val="Compact"/>
        <w:ind w:left="1620" w:hanging="1620"/>
        <w:jc w:val="left"/>
      </w:pPr>
      <w:r>
        <w:rPr>
          <w:i/>
        </w:rPr>
        <w:lastRenderedPageBreak/>
        <w:t>h</w:t>
      </w:r>
      <w:r>
        <w:rPr>
          <w:i/>
          <w:vertAlign w:val="subscript"/>
        </w:rPr>
        <w:t>X|Y</w:t>
      </w:r>
      <w:r>
        <w:tab/>
        <w:t>entropy rate of X conditioned on the joint past of X and Y</w:t>
      </w:r>
    </w:p>
    <w:p w14:paraId="0A56B191" w14:textId="77777777" w:rsidR="00FF347D" w:rsidRDefault="00000000">
      <w:pPr>
        <w:pStyle w:val="Compact"/>
        <w:ind w:left="1620" w:hanging="1620"/>
        <w:jc w:val="left"/>
      </w:pPr>
      <w:r>
        <w:rPr>
          <w:i/>
        </w:rPr>
        <w:t>I(X;Y)</w:t>
      </w:r>
      <w:r>
        <w:tab/>
        <w:t>mutual information between X and Y</w:t>
      </w:r>
    </w:p>
    <w:p w14:paraId="3AE6CF9C" w14:textId="77777777" w:rsidR="00FF347D" w:rsidRDefault="00000000">
      <w:pPr>
        <w:pStyle w:val="Compact"/>
        <w:ind w:left="1620" w:hanging="1620"/>
        <w:jc w:val="left"/>
      </w:pPr>
      <w:r>
        <w:rPr>
          <w:i/>
        </w:rPr>
        <w:t>K</w:t>
      </w:r>
      <w:r>
        <w:tab/>
        <w:t>number of Welch averages (segments) in the coherence estimate</w:t>
      </w:r>
    </w:p>
    <w:p w14:paraId="43B75589" w14:textId="77777777" w:rsidR="00FF347D" w:rsidRDefault="00000000">
      <w:pPr>
        <w:pStyle w:val="Compact"/>
        <w:ind w:left="1620" w:hanging="1620"/>
        <w:jc w:val="left"/>
      </w:pPr>
      <w:r>
        <w:rPr>
          <w:i/>
        </w:rPr>
        <w:t>k</w:t>
      </w:r>
      <w:r>
        <w:tab/>
        <w:t>Markov (embedding) order of the target history; KSG nearest-neighbour count (k = 4)</w:t>
      </w:r>
    </w:p>
    <w:p w14:paraId="6B5935A5" w14:textId="77777777" w:rsidR="00FF347D" w:rsidRDefault="00000000">
      <w:pPr>
        <w:pStyle w:val="Compact"/>
        <w:ind w:left="1620" w:hanging="1620"/>
        <w:jc w:val="left"/>
      </w:pPr>
      <w:r>
        <w:rPr>
          <w:i/>
        </w:rPr>
        <w:t>l</w:t>
      </w:r>
      <w:r>
        <w:tab/>
        <w:t>Markov (embedding) order of the source history</w:t>
      </w:r>
    </w:p>
    <w:p w14:paraId="586BE2B7" w14:textId="77777777" w:rsidR="00FF347D" w:rsidRDefault="00000000">
      <w:pPr>
        <w:pStyle w:val="Compact"/>
        <w:ind w:left="1620" w:hanging="1620"/>
        <w:jc w:val="left"/>
      </w:pPr>
      <w:r>
        <w:rPr>
          <w:i/>
        </w:rPr>
        <w:t>n</w:t>
      </w:r>
      <w:r>
        <w:rPr>
          <w:i/>
          <w:vertAlign w:val="subscript"/>
        </w:rPr>
        <w:t>perm</w:t>
      </w:r>
      <w:r>
        <w:tab/>
        <w:t>number of permutation surrogates (200)</w:t>
      </w:r>
    </w:p>
    <w:p w14:paraId="3DE57659" w14:textId="77777777" w:rsidR="00FF347D" w:rsidRDefault="00000000">
      <w:pPr>
        <w:pStyle w:val="Compact"/>
        <w:ind w:left="1620" w:hanging="1620"/>
        <w:jc w:val="left"/>
      </w:pPr>
      <w:r>
        <w:rPr>
          <w:i/>
        </w:rPr>
        <w:t>p</w:t>
      </w:r>
      <w:r>
        <w:tab/>
        <w:t>probability mass/density; permutation p-value where indicated</w:t>
      </w:r>
    </w:p>
    <w:p w14:paraId="26FA1571" w14:textId="77777777" w:rsidR="00FF347D" w:rsidRDefault="00000000">
      <w:pPr>
        <w:pStyle w:val="Compact"/>
        <w:ind w:left="1620" w:hanging="1620"/>
        <w:jc w:val="left"/>
      </w:pPr>
      <w:r>
        <w:rPr>
          <w:i/>
        </w:rPr>
        <w:t>Q</w:t>
      </w:r>
      <w:r>
        <w:tab/>
        <w:t>target future state in the SURD decomposition</w:t>
      </w:r>
    </w:p>
    <w:p w14:paraId="6315531C" w14:textId="77777777" w:rsidR="00FF347D" w:rsidRDefault="00000000">
      <w:pPr>
        <w:pStyle w:val="Compact"/>
        <w:ind w:left="1620" w:hanging="1620"/>
        <w:jc w:val="left"/>
      </w:pPr>
      <w:r>
        <w:rPr>
          <w:i/>
        </w:rPr>
        <w:t>R</w:t>
      </w:r>
      <w:r>
        <w:tab/>
        <w:t>redundant information atom (SURD)</w:t>
      </w:r>
    </w:p>
    <w:p w14:paraId="442248D1" w14:textId="77777777" w:rsidR="00FF347D" w:rsidRDefault="00000000">
      <w:pPr>
        <w:pStyle w:val="Compact"/>
        <w:ind w:left="1620" w:hanging="1620"/>
        <w:jc w:val="left"/>
      </w:pPr>
      <w:r>
        <w:rPr>
          <w:i/>
        </w:rPr>
        <w:t>r</w:t>
      </w:r>
      <w:r>
        <w:tab/>
        <w:t>Pearson correlation coefficient</w:t>
      </w:r>
    </w:p>
    <w:p w14:paraId="72504620" w14:textId="77777777" w:rsidR="00FF347D" w:rsidRDefault="00000000">
      <w:pPr>
        <w:pStyle w:val="Compact"/>
        <w:ind w:left="1620" w:hanging="1620"/>
        <w:jc w:val="left"/>
      </w:pPr>
      <w:r>
        <w:rPr>
          <w:i/>
        </w:rPr>
        <w:t>S</w:t>
      </w:r>
      <w:r>
        <w:tab/>
        <w:t>synergistic information atom (SURD)</w:t>
      </w:r>
    </w:p>
    <w:p w14:paraId="0C9F2F6A" w14:textId="77777777" w:rsidR="00FF347D" w:rsidRDefault="00000000">
      <w:pPr>
        <w:pStyle w:val="Compact"/>
        <w:ind w:left="1620" w:hanging="1620"/>
        <w:jc w:val="left"/>
      </w:pPr>
      <w:r>
        <w:rPr>
          <w:i/>
        </w:rPr>
        <w:t>T</w:t>
      </w:r>
      <w:r>
        <w:rPr>
          <w:i/>
          <w:vertAlign w:val="subscript"/>
        </w:rPr>
        <w:t>Y→X</w:t>
      </w:r>
      <w:r>
        <w:tab/>
        <w:t>transfer entropy from source Y to target X</w:t>
      </w:r>
    </w:p>
    <w:p w14:paraId="51EABDAA" w14:textId="77777777" w:rsidR="00FF347D" w:rsidRDefault="00000000">
      <w:pPr>
        <w:pStyle w:val="Compact"/>
        <w:ind w:left="1620" w:hanging="1620"/>
        <w:jc w:val="left"/>
      </w:pPr>
      <w:r>
        <w:rPr>
          <w:i/>
        </w:rPr>
        <w:t>TE</w:t>
      </w:r>
      <w:r>
        <w:rPr>
          <w:i/>
          <w:vertAlign w:val="subscript"/>
        </w:rPr>
        <w:t>d</w:t>
      </w:r>
      <w:r>
        <w:tab/>
        <w:t>delay-resolved transfer entropy at delay d</w:t>
      </w:r>
    </w:p>
    <w:p w14:paraId="357AF987" w14:textId="77777777" w:rsidR="00FF347D" w:rsidRDefault="00000000">
      <w:pPr>
        <w:pStyle w:val="Compact"/>
        <w:ind w:left="1620" w:hanging="1620"/>
        <w:jc w:val="left"/>
      </w:pPr>
      <w:r>
        <w:rPr>
          <w:i/>
        </w:rPr>
        <w:t>TE</w:t>
      </w:r>
      <w:r>
        <w:rPr>
          <w:i/>
          <w:vertAlign w:val="subscript"/>
        </w:rPr>
        <w:t>frac</w:t>
      </w:r>
      <w:r>
        <w:tab/>
        <w:t>normalized transfer entropy (TE / AIS)</w:t>
      </w:r>
    </w:p>
    <w:p w14:paraId="49C3708E" w14:textId="77777777" w:rsidR="00FF347D" w:rsidRDefault="00000000">
      <w:pPr>
        <w:pStyle w:val="Compact"/>
        <w:ind w:left="1620" w:hanging="1620"/>
        <w:jc w:val="left"/>
      </w:pPr>
      <w:r>
        <w:rPr>
          <w:i/>
        </w:rPr>
        <w:t>T</w:t>
      </w:r>
      <w:r>
        <w:rPr>
          <w:i/>
          <w:vertAlign w:val="subscript"/>
        </w:rPr>
        <w:t>p</w:t>
      </w:r>
      <w:r>
        <w:tab/>
        <w:t>wave peak (spectral) period</w:t>
      </w:r>
    </w:p>
    <w:p w14:paraId="69C1E07C" w14:textId="77777777" w:rsidR="00FF347D" w:rsidRDefault="00000000">
      <w:pPr>
        <w:pStyle w:val="Compact"/>
        <w:ind w:left="1620" w:hanging="1620"/>
        <w:jc w:val="left"/>
      </w:pPr>
      <w:r>
        <w:rPr>
          <w:i/>
        </w:rPr>
        <w:t>t</w:t>
      </w:r>
      <w:r>
        <w:tab/>
        <w:t>discrete time index</w:t>
      </w:r>
    </w:p>
    <w:p w14:paraId="4DCDDA46" w14:textId="77777777" w:rsidR="00FF347D" w:rsidRDefault="00000000">
      <w:pPr>
        <w:pStyle w:val="Compact"/>
        <w:ind w:left="1620" w:hanging="1620"/>
        <w:jc w:val="left"/>
      </w:pPr>
      <w:r>
        <w:rPr>
          <w:i/>
        </w:rPr>
        <w:t>U</w:t>
      </w:r>
      <w:r>
        <w:tab/>
        <w:t>unique information atom (SURD)</w:t>
      </w:r>
    </w:p>
    <w:p w14:paraId="6D3B987A" w14:textId="77777777" w:rsidR="00FF347D" w:rsidRDefault="00000000">
      <w:pPr>
        <w:pStyle w:val="Compact"/>
        <w:ind w:left="1620" w:hanging="1620"/>
        <w:jc w:val="left"/>
      </w:pPr>
      <w:r>
        <w:rPr>
          <w:i/>
        </w:rPr>
        <w:t>X</w:t>
      </w:r>
      <w:r>
        <w:tab/>
        <w:t>target time series (random variable)</w:t>
      </w:r>
    </w:p>
    <w:p w14:paraId="2255737D" w14:textId="77777777" w:rsidR="00FF347D" w:rsidRDefault="00000000">
      <w:pPr>
        <w:pStyle w:val="Compact"/>
        <w:ind w:left="1620" w:hanging="1620"/>
        <w:jc w:val="left"/>
      </w:pPr>
      <w:r>
        <w:rPr>
          <w:i/>
        </w:rPr>
        <w:t>x</w:t>
      </w:r>
      <w:r>
        <w:rPr>
          <w:i/>
          <w:vertAlign w:val="subscript"/>
        </w:rPr>
        <w:t>t</w:t>
      </w:r>
      <w:r>
        <w:rPr>
          <w:i/>
          <w:vertAlign w:val="superscript"/>
        </w:rPr>
        <w:t>(k)</w:t>
      </w:r>
      <w:r>
        <w:tab/>
        <w:t>delay-embedded history of X of order k</w:t>
      </w:r>
    </w:p>
    <w:p w14:paraId="433C3CEE" w14:textId="77777777" w:rsidR="00FF347D" w:rsidRDefault="00000000">
      <w:pPr>
        <w:pStyle w:val="Compact"/>
        <w:ind w:left="1620" w:hanging="1620"/>
        <w:jc w:val="left"/>
      </w:pPr>
      <w:r>
        <w:rPr>
          <w:i/>
        </w:rPr>
        <w:t>Y</w:t>
      </w:r>
      <w:r>
        <w:tab/>
        <w:t>source time series (random variable)</w:t>
      </w:r>
    </w:p>
    <w:p w14:paraId="78FA4AFA" w14:textId="77777777" w:rsidR="00FF347D" w:rsidRDefault="00000000">
      <w:pPr>
        <w:pStyle w:val="Compact"/>
        <w:ind w:left="1620" w:hanging="1620"/>
        <w:jc w:val="left"/>
      </w:pPr>
      <w:r>
        <w:rPr>
          <w:i/>
        </w:rPr>
        <w:t>y</w:t>
      </w:r>
      <w:r>
        <w:rPr>
          <w:i/>
          <w:vertAlign w:val="subscript"/>
        </w:rPr>
        <w:t>t</w:t>
      </w:r>
      <w:r>
        <w:rPr>
          <w:i/>
          <w:vertAlign w:val="superscript"/>
        </w:rPr>
        <w:t>(l)</w:t>
      </w:r>
      <w:r>
        <w:tab/>
        <w:t>delay-embedded history of Y of order l</w:t>
      </w:r>
    </w:p>
    <w:p w14:paraId="351B54D4" w14:textId="77777777" w:rsidR="00FF347D" w:rsidRDefault="00000000">
      <w:pPr>
        <w:pStyle w:val="Compact"/>
        <w:spacing w:before="80" w:after="40"/>
        <w:jc w:val="left"/>
      </w:pPr>
      <w:r>
        <w:rPr>
          <w:b/>
          <w:bCs/>
        </w:rPr>
        <w:t>Greek symbols</w:t>
      </w:r>
    </w:p>
    <w:p w14:paraId="7492142A" w14:textId="77777777" w:rsidR="00FF347D" w:rsidRDefault="00000000">
      <w:pPr>
        <w:pStyle w:val="Compact"/>
        <w:ind w:left="1620" w:hanging="1620"/>
        <w:jc w:val="left"/>
      </w:pPr>
      <w:r>
        <w:rPr>
          <w:i/>
        </w:rPr>
        <w:t>α</w:t>
      </w:r>
      <w:r>
        <w:tab/>
        <w:t>significance level (0.05)</w:t>
      </w:r>
    </w:p>
    <w:p w14:paraId="231C9695" w14:textId="77777777" w:rsidR="00FF347D" w:rsidRDefault="00000000">
      <w:pPr>
        <w:pStyle w:val="Compact"/>
        <w:ind w:left="1620" w:hanging="1620"/>
        <w:jc w:val="left"/>
      </w:pPr>
      <w:r>
        <w:rPr>
          <w:i/>
        </w:rPr>
        <w:t>γ</w:t>
      </w:r>
      <w:r>
        <w:rPr>
          <w:vertAlign w:val="superscript"/>
        </w:rPr>
        <w:t>2</w:t>
      </w:r>
      <w:r>
        <w:rPr>
          <w:i/>
        </w:rPr>
        <w:t>(f)</w:t>
      </w:r>
      <w:r>
        <w:tab/>
        <w:t>magnitude-squared (linear) coherence at frequency f</w:t>
      </w:r>
    </w:p>
    <w:p w14:paraId="1AC98768" w14:textId="77777777" w:rsidR="00FF347D" w:rsidRDefault="00000000">
      <w:pPr>
        <w:pStyle w:val="Compact"/>
        <w:ind w:left="1620" w:hanging="1620"/>
        <w:jc w:val="left"/>
      </w:pPr>
      <w:r>
        <w:rPr>
          <w:i/>
        </w:rPr>
        <w:t>Δf</w:t>
      </w:r>
      <w:r>
        <w:tab/>
        <w:t>frequency resolution of the coherence estimate</w:t>
      </w:r>
    </w:p>
    <w:p w14:paraId="405C59E0" w14:textId="77777777" w:rsidR="00FF347D" w:rsidRDefault="00000000">
      <w:pPr>
        <w:pStyle w:val="Compact"/>
        <w:ind w:left="1620" w:hanging="1620"/>
        <w:jc w:val="left"/>
      </w:pPr>
      <w:r>
        <w:rPr>
          <w:i/>
        </w:rPr>
        <w:t>τ</w:t>
      </w:r>
      <w:r>
        <w:tab/>
        <w:t>per-target lag-thinning (downsampling) factor</w:t>
      </w:r>
    </w:p>
    <w:p w14:paraId="31F0CFF3" w14:textId="77777777" w:rsidR="00FF347D" w:rsidRDefault="00000000">
      <w:pPr>
        <w:pStyle w:val="Compact"/>
        <w:spacing w:before="80" w:after="40"/>
        <w:jc w:val="left"/>
      </w:pPr>
      <w:r>
        <w:rPr>
          <w:b/>
          <w:bCs/>
        </w:rPr>
        <w:t>Abbreviations</w:t>
      </w:r>
    </w:p>
    <w:p w14:paraId="7E66747E" w14:textId="77777777" w:rsidR="00FF347D" w:rsidRDefault="00000000">
      <w:pPr>
        <w:pStyle w:val="Compact"/>
        <w:ind w:left="1620" w:hanging="1620"/>
        <w:jc w:val="left"/>
      </w:pPr>
      <w:r>
        <w:t>AIS</w:t>
        <w:tab/>
        <w:t>active information storage</w:t>
      </w:r>
    </w:p>
    <w:p w14:paraId="3B8FF019" w14:textId="77777777" w:rsidR="00FF347D" w:rsidRDefault="00000000">
      <w:pPr>
        <w:pStyle w:val="Compact"/>
        <w:ind w:left="1620" w:hanging="1620"/>
        <w:jc w:val="left"/>
      </w:pPr>
      <w:r>
        <w:t>DLC</w:t>
        <w:tab/>
        <w:t>design load case (IEC 61400)</w:t>
      </w:r>
    </w:p>
    <w:p w14:paraId="1BFABF55" w14:textId="77777777" w:rsidR="00FF347D" w:rsidRDefault="00000000">
      <w:pPr>
        <w:pStyle w:val="Compact"/>
        <w:ind w:left="1620" w:hanging="1620"/>
        <w:jc w:val="left"/>
      </w:pPr>
      <w:r>
        <w:t>FOWT</w:t>
        <w:tab/>
        <w:t>floating offshore wind turbine</w:t>
      </w:r>
    </w:p>
    <w:p w14:paraId="7D8AE7F5" w14:textId="77777777" w:rsidR="00FF347D" w:rsidRDefault="00000000">
      <w:pPr>
        <w:pStyle w:val="Compact"/>
        <w:ind w:left="1620" w:hanging="1620"/>
        <w:jc w:val="left"/>
      </w:pPr>
      <w:r>
        <w:t>GPU</w:t>
        <w:tab/>
        <w:t>graphics processing unit</w:t>
      </w:r>
    </w:p>
    <w:p w14:paraId="54F1982A" w14:textId="77777777" w:rsidR="00FF347D" w:rsidRDefault="00000000">
      <w:pPr>
        <w:pStyle w:val="Compact"/>
        <w:ind w:left="1620" w:hanging="1620"/>
        <w:jc w:val="left"/>
      </w:pPr>
      <w:r>
        <w:t>IDTxl</w:t>
        <w:tab/>
        <w:t>Information Dynamics Toolkit xl</w:t>
      </w:r>
    </w:p>
    <w:p w14:paraId="53676E54" w14:textId="77777777" w:rsidR="00FF347D" w:rsidRDefault="00000000">
      <w:pPr>
        <w:pStyle w:val="Compact"/>
        <w:ind w:left="1620" w:hanging="1620"/>
        <w:jc w:val="left"/>
      </w:pPr>
      <w:r>
        <w:t>IEA</w:t>
        <w:tab/>
        <w:t>International Energy Agency</w:t>
      </w:r>
    </w:p>
    <w:p w14:paraId="42007C02" w14:textId="77777777" w:rsidR="00FF347D" w:rsidRDefault="00000000">
      <w:pPr>
        <w:pStyle w:val="Compact"/>
        <w:ind w:left="1620" w:hanging="1620"/>
        <w:jc w:val="left"/>
      </w:pPr>
      <w:r>
        <w:t>IEC</w:t>
        <w:tab/>
        <w:t>International Electrotechnical Commission</w:t>
      </w:r>
    </w:p>
    <w:p w14:paraId="27A23D5B" w14:textId="77777777" w:rsidR="00FF347D" w:rsidRDefault="00000000">
      <w:pPr>
        <w:pStyle w:val="Compact"/>
        <w:ind w:left="1620" w:hanging="1620"/>
        <w:jc w:val="left"/>
      </w:pPr>
      <w:r>
        <w:t>JIDT</w:t>
        <w:tab/>
        <w:t>Java Information Dynamics Toolkit</w:t>
      </w:r>
    </w:p>
    <w:p w14:paraId="1618A3BA" w14:textId="77777777" w:rsidR="00FF347D" w:rsidRDefault="00000000">
      <w:pPr>
        <w:pStyle w:val="Compact"/>
        <w:ind w:left="1620" w:hanging="1620"/>
        <w:jc w:val="left"/>
      </w:pPr>
      <w:r>
        <w:t>JONSWAP</w:t>
        <w:tab/>
        <w:t>Joint North Sea Wave Project (wave spectrum)</w:t>
      </w:r>
    </w:p>
    <w:p w14:paraId="4A4DDDFA" w14:textId="77777777" w:rsidR="00FF347D" w:rsidRDefault="00000000">
      <w:pPr>
        <w:pStyle w:val="Compact"/>
        <w:ind w:left="1620" w:hanging="1620"/>
        <w:jc w:val="left"/>
      </w:pPr>
      <w:r>
        <w:t>KSG</w:t>
        <w:tab/>
        <w:t>Kraskov–Stögbauer–Grassberger (estimator)</w:t>
      </w:r>
    </w:p>
    <w:p w14:paraId="28499DA2" w14:textId="77777777" w:rsidR="00FF347D" w:rsidRDefault="00000000">
      <w:pPr>
        <w:pStyle w:val="Compact"/>
        <w:ind w:left="1620" w:hanging="1620"/>
        <w:jc w:val="left"/>
      </w:pPr>
      <w:r>
        <w:t>ML</w:t>
        <w:tab/>
        <w:t>machine learning</w:t>
      </w:r>
    </w:p>
    <w:p w14:paraId="2B311337" w14:textId="77777777" w:rsidR="00FF347D" w:rsidRDefault="00000000">
      <w:pPr>
        <w:pStyle w:val="Compact"/>
        <w:ind w:left="1620" w:hanging="1620"/>
        <w:jc w:val="left"/>
      </w:pPr>
      <w:r>
        <w:t>NREL</w:t>
        <w:tab/>
        <w:t>National Renewable Energy Laboratory</w:t>
      </w:r>
    </w:p>
    <w:p w14:paraId="14BAE3C6" w14:textId="77777777" w:rsidR="00FF347D" w:rsidRDefault="00000000">
      <w:pPr>
        <w:pStyle w:val="Compact"/>
        <w:ind w:left="1620" w:hanging="1620"/>
        <w:jc w:val="left"/>
      </w:pPr>
      <w:r>
        <w:lastRenderedPageBreak/>
        <w:t>OMA</w:t>
        <w:tab/>
        <w:t>operational modal analysis</w:t>
      </w:r>
    </w:p>
    <w:p w14:paraId="60C0DEA5" w14:textId="77777777" w:rsidR="00FF347D" w:rsidRDefault="00000000">
      <w:pPr>
        <w:pStyle w:val="Compact"/>
        <w:ind w:left="1620" w:hanging="1620"/>
        <w:jc w:val="left"/>
      </w:pPr>
      <w:r>
        <w:t>OpenFAST</w:t>
        <w:tab/>
        <w:t>NREL open-source wind-turbine aeroelastic simulator</w:t>
      </w:r>
    </w:p>
    <w:p w14:paraId="622A573A" w14:textId="77777777" w:rsidR="00FF347D" w:rsidRDefault="00000000">
      <w:pPr>
        <w:pStyle w:val="Compact"/>
        <w:ind w:left="1620" w:hanging="1620"/>
        <w:jc w:val="left"/>
      </w:pPr>
      <w:r>
        <w:t>ROSCO</w:t>
        <w:tab/>
        <w:t>Reference OpenSource Controller (for wind turbines)</w:t>
      </w:r>
    </w:p>
    <w:p w14:paraId="0D612C82" w14:textId="77777777" w:rsidR="00FF347D" w:rsidRDefault="00000000">
      <w:pPr>
        <w:pStyle w:val="Compact"/>
        <w:ind w:left="1620" w:hanging="1620"/>
        <w:jc w:val="left"/>
      </w:pPr>
      <w:r>
        <w:t>SCADA</w:t>
        <w:tab/>
        <w:t>supervisory control and data acquisition</w:t>
      </w:r>
    </w:p>
    <w:p w14:paraId="63F521EF" w14:textId="77777777" w:rsidR="00FF347D" w:rsidRDefault="00000000">
      <w:pPr>
        <w:pStyle w:val="Compact"/>
        <w:ind w:left="1620" w:hanging="1620"/>
        <w:jc w:val="left"/>
      </w:pPr>
      <w:r>
        <w:t>SURD</w:t>
        <w:tab/>
        <w:t>synergistic-unique-redundant decomposition</w:t>
      </w:r>
    </w:p>
    <w:p w14:paraId="4E23BC31" w14:textId="77777777" w:rsidR="00FF347D" w:rsidRDefault="00000000">
      <w:pPr>
        <w:pStyle w:val="Compact"/>
        <w:ind w:left="1620" w:hanging="1620"/>
        <w:jc w:val="left"/>
      </w:pPr>
      <w:r>
        <w:t>TE</w:t>
        <w:tab/>
        <w:t>transfer entropy</w:t>
      </w:r>
    </w:p>
    <w:p w14:paraId="4BF792FE" w14:textId="77777777" w:rsidR="00FF347D" w:rsidRDefault="00000000">
      <w:pPr>
        <w:pStyle w:val="Compact"/>
        <w:ind w:left="1620" w:hanging="1620"/>
        <w:jc w:val="left"/>
      </w:pPr>
      <w:r>
        <w:t>TurbSim</w:t>
        <w:tab/>
        <w:t>NREL stochastic turbulence simulator</w:t>
      </w:r>
    </w:p>
    <w:p w14:paraId="73CF0964" w14:textId="77777777" w:rsidR="000A2783" w:rsidRDefault="00000000">
      <w:r>
        <w:pict w14:anchorId="7750026B">
          <v:rect id="_x0000_i1025" style="width:0;height:1.5pt" o:hralign="center" o:hrstd="t" o:hr="t"/>
        </w:pict>
      </w:r>
    </w:p>
    <w:p w14:paraId="68A8297A" w14:textId="77777777" w:rsidR="000A2783" w:rsidRDefault="00000000">
      <w:pPr>
        <w:pStyle w:val="Heading2"/>
      </w:pPr>
      <w:bookmarkStart w:id="1" w:name="introduction"/>
      <w:bookmarkEnd w:id="0"/>
      <w:r>
        <w:t>1. Introduction</w:t>
      </w:r>
    </w:p>
    <w:p w14:paraId="164C19BF" w14:textId="77777777" w:rsidR="000A2783" w:rsidRDefault="00000000">
      <w:pPr>
        <w:pStyle w:val="FirstParagraph"/>
      </w:pPr>
      <w:r>
        <w:t>Floating offshore wind is moving from demonstration to commercial scale, and with that shift comes a monitoring problem that fixed-bottom experience does not fully cover (Kostecka et al., 2025). A floating platform couples the rotor, tower, and mooring system into a single lightly damped dynamic body whose low-frequency rigid-body modes sit near the wave-energy band. The blade-pitch controller, designed to regulate rotor speed and power above rated wind speed, becomes a first-order driver of platform motion because every pitch action changes rotor thrust and therefore the overturning moment on the floater. A controller that is healthy stabilizes the platform; a controller that is degraded can excite it. Detecting that degradation early, from ordinary operational signals, is the problem this paper addresses.</w:t>
      </w:r>
    </w:p>
    <w:p w14:paraId="0084617F" w14:textId="77777777" w:rsidR="000A2783" w:rsidRDefault="00000000">
      <w:pPr>
        <w:pStyle w:val="FirstParagraph"/>
      </w:pPr>
      <w:r>
        <w:t xml:space="preserve">Condition monitoring of wind turbines is a mature field, well developed for drivetrain and structural components: vibration-based methods track bearing and gearbox signatures, and SCADA-based methods trend temperatures, power curves, and control set-points to flag anomalies (Tautz-Weinert &amp; Watson, 2017), with recent surveys organizing the field into signal-based and model-based fault diagnosis and prognosis (Badihi et al., 2022). Reliability studies of offshore fleets consistently rank the pitch and control subsystems among the largest contributors to failure rate and downtime (Carroll et al., 2016), which makes pitch-system diagnostics a high-value target. Yet pitch faults are awkward for component-level methods: they have been addressed with SCADA-driven prognosis (Chen et al., 2015), physics-based residual models, and data-driven classifiers, but these generally monitor pitch </w:t>
      </w:r>
      <w:r>
        <w:rPr>
          <w:i/>
          <w:iCs/>
        </w:rPr>
        <w:t>actuator</w:t>
      </w:r>
      <w:r>
        <w:t xml:space="preserve"> variables directly (position error, motor current, hydraulic pressure) rather than the </w:t>
      </w:r>
      <w:r>
        <w:rPr>
          <w:i/>
          <w:iCs/>
        </w:rPr>
        <w:t>effect</w:t>
      </w:r>
      <w:r>
        <w:t xml:space="preserve"> of pitch control on the rest of the machine. A pitch fault does not announce itself as a single vibration line; it manifests as a change in how the whole machine </w:t>
      </w:r>
      <w:r>
        <w:rPr>
          <w:i/>
          <w:iCs/>
        </w:rPr>
        <w:t>responds</w:t>
      </w:r>
      <w:r>
        <w:t xml:space="preserve"> to its environment.</w:t>
      </w:r>
    </w:p>
    <w:p w14:paraId="719D05F2" w14:textId="77777777" w:rsidR="000A2783" w:rsidRDefault="00000000">
      <w:pPr>
        <w:pStyle w:val="BodyText"/>
      </w:pPr>
      <w:r>
        <w:t>A parallel strand of structural monitoring works on the load-carrying structure itself rather than on components, using vibration-based and operational modal analysis (OMA) methods to track shifts in natural frequencies, mode shapes, and damping as indicators of damage. These methods are powerful for detecting stiffness loss but are built around the assumption that the structure is a passive dynamical system whose modal properties change only when it is damaged. A wind turbine violates that assumption: its apparent dynamics are shaped continuously by the controller, so an OMA feature can move because the control gains scheduled to a new operating point, not because anything is wrong. Separating control-induced from damage-induced changes in a closed-loop, time-varying system is a recognized difficulty, and it is one reason component-level and modal methods do not naturally answer the question posed here — whether the control loop itself is still doing its job.</w:t>
      </w:r>
    </w:p>
    <w:p w14:paraId="2FFA19B1" w14:textId="77777777" w:rsidR="000A2783" w:rsidRDefault="00000000">
      <w:pPr>
        <w:pStyle w:val="BodyText"/>
      </w:pPr>
      <w:r>
        <w:lastRenderedPageBreak/>
        <w:t>Monitoring floating turbines presents unique challenges. The platform’s rigid-body modes are lightly damped and operate near the wave-frequency band, making its structural response to environmental factors and control more strongly interconnected than on fixed-bottom turbines. A pitch fault doesn’t just reduce power output; it alters the thrust forces on the floating structure and can intensify platform motion, mooring tension, and tower base loads. Reviews of floating-turbine monitoring highlight that the field is still developing and more fragmented than fixed-bottom systems, covering structural, control, and digital-twin approaches (Kostecka et al., 2025). Existing floating-specific diagnostics are often data-driven classifiers — for example, mooring-line failure detection has been achieved using hull-motion sensors and machine learning on a 15-MW turbine (Park et al., 2025). These methods rely on the idea that platform-motion signals contain fault information, but they often use black-box models rather than transparent, interpretable measures of information flow. This suggests that monitoring should focus on the system response—specifically, how the machine’s structural signals relate to its environment—rather than on any individual component.</w:t>
      </w:r>
    </w:p>
    <w:p w14:paraId="28B85539" w14:textId="77777777" w:rsidR="000A2783" w:rsidRDefault="00000000">
      <w:pPr>
        <w:pStyle w:val="BodyText"/>
      </w:pPr>
      <w:r>
        <w:t xml:space="preserve">Above rated wind speed, utility-scale turbines regulate rotor speed with collective blade pitch. Reference controllers such as ROSCO (Abbas et al., 2022) implement gain-scheduled proportional–integral pitch control, and for floating platforms they add loops (for example, set-point smoothing and floating feedback terms) specifically to avoid the negative-damping instability in which pitch-to-feather action feeds platform pitch motion (Larsen &amp; Hanson, 2007). The control objective, stated informally, is to hold rotor thrust roughly constant against wind fluctuations. Constant thrust means the platform sees a smoothed forcing: the turbulent, broadband wind excitation is converted by the controller into a comparatively featureless thrust, while the pitch command carries the fluctuating part. This is the physical seed of the firewall: if the controller perfectly regulated thrust, wind fluctuations would be invisible to the platform, and any information-flow measure from wind to platform would vanish. Real controllers are imperfect and gain-scheduled, so the firewall is strong but not absolute, and its strength depends on the operating region — points quantified in Section 3. Bossanyi (2000) established the closed-loop design principles that make this regulation possible; the present contribution is to observe its </w:t>
      </w:r>
      <w:r>
        <w:rPr>
          <w:i/>
          <w:iCs/>
        </w:rPr>
        <w:t>information-theoretic</w:t>
      </w:r>
      <w:r>
        <w:t xml:space="preserve"> fingerprint and to use that fingerprint diagnostically.</w:t>
      </w:r>
    </w:p>
    <w:p w14:paraId="42AA2ED8" w14:textId="77777777" w:rsidR="000A2783" w:rsidRDefault="00000000">
      <w:pPr>
        <w:pStyle w:val="Heading3"/>
      </w:pPr>
      <w:bookmarkStart w:id="2" w:name="motivation-and-contribution"/>
      <w:r>
        <w:t>1.1 Motivation and Contribution</w:t>
      </w:r>
    </w:p>
    <w:p w14:paraId="15D3E4B8" w14:textId="77777777" w:rsidR="000A2783" w:rsidRDefault="00000000">
      <w:pPr>
        <w:pStyle w:val="FirstParagraph"/>
      </w:pPr>
      <w:r>
        <w:t>The most common methods for linking environmental forcing to structural response — such as power spectral density, magnitude-squared coherence, and variance-based sensitivity analyses like Sobol indices — have two main limitations in this context. First, they are either undirected or assume a fixed input-to-output relationship: coherence only shows that wind and platform pitch share power at a frequency, without indicating causality; Sobol indices allocate output variance to inputs based on a static functional model, which is incompatible with feedback loops. Second, and more critically, none of these methods can certify the structural absence of a pathway — a directed non-coupling — or use such an absence as a signal of health.</w:t>
      </w:r>
    </w:p>
    <w:p w14:paraId="7CFA2EEC" w14:textId="77777777" w:rsidR="000A2783" w:rsidRDefault="00000000">
      <w:pPr>
        <w:pStyle w:val="BodyText"/>
      </w:pPr>
      <w:r>
        <w:t xml:space="preserve">Transfer entropy (Schreiber, 2000) precisely measures how much the past of a source signal reduces the uncertainty about the future of a target signal, beyond what the target’s own history predicts. It is directed, does not depend on a model, and detects nonlinear relationships, which is crucial because a saturating, gain-scheduled pitch controller is highly nonlinear. The main empirical finding of this study is that in a healthy FOWT the </w:t>
        <w:lastRenderedPageBreak/>
        <w:t xml:space="preserve">transfer entropy from the rotor-averaged wind to platform motion is effectively zero — not because wind is irrelevant (it demonstrably reaches the blade loads) but because platform pitch and heave are structurally decoupled from the wind-driven rotor loads, their motion instead governed by waves. This structural barrier is termed the </w:t>
      </w:r>
      <w:r>
        <w:rPr>
          <w:i/>
          <w:iCs/>
        </w:rPr>
        <w:t>information firewall</w:t>
      </w:r>
      <w:r>
        <w:t>.</w:t>
      </w:r>
    </w:p>
    <w:p w14:paraId="24E709E6" w14:textId="77777777" w:rsidR="000A2783" w:rsidRDefault="00000000">
      <w:pPr>
        <w:pStyle w:val="BodyText"/>
      </w:pPr>
      <w:r>
        <w:t>These observations highlight a gap in current health monitoring approaches. The needed metric should indicate whether the closed loop is operational, not just detect component wear. In a floating turbine, the rotor mediates the wind so that platform motion is structurally decoupled from it, creating a measurable absence of coupling. Transfer entropy can detect this absence, providing a directional, model-free measure that coherence and Sobol indices cannot. The existing literature covers two related areas: transfer entropy for detecting damage as emergent nonlinearity in passive structures (Nichols et al., 2005; Nichols, 2006) and control-performance monitoring through disturbance suppression analysis (Harris, 1989; Jelali, 2006). However, neither approach explicitly examines a structural lack of directed information flow — and its hypothesized breach by faults — as a candidate indicator. This paper addresses that gap by establishing the firewall concept, showing it to be structural, and testing whether a fault reconnects the severed pathway. Traditional association or variance-based tools cannot detect a severed pathway or determine when it has been reconnected due to a fault.</w:t>
      </w:r>
    </w:p>
    <w:p w14:paraId="4E738143" w14:textId="77777777" w:rsidR="000A2783" w:rsidRDefault="00000000">
      <w:pPr>
        <w:pStyle w:val="BodyText"/>
      </w:pPr>
      <w:r>
        <w:t>This paper makes two contributions and reports one negative monitoring result:</w:t>
      </w:r>
    </w:p>
    <w:p w14:paraId="4032D6D5" w14:textId="77777777" w:rsidR="000A2783" w:rsidRDefault="00000000">
      <w:pPr>
        <w:numPr>
          <w:ilvl w:val="0"/>
          <w:numId w:val="2"/>
        </w:numPr>
      </w:pPr>
      <w:r>
        <w:rPr>
          <w:b/>
          <w:bCs/>
        </w:rPr>
        <w:t>A structural information firewall between wind and platform motion is identified and quantified.</w:t>
      </w:r>
      <w:r>
        <w:t xml:space="preserve"> Across 54 simulations spanning four wind speeds, TE from the rotor-averaged wind to platform pitch or heave is statistically indistinguishable from zero, whereas the same wind transfers significant, non-zero information into the blade-root loads it directly drives — a positive control that fixes the estimator’s sensitivity — and wave elevation drives the platform strongly (mean 0.121 nats, 100% significant). Linear coherence, by contrast, reports a strong apparent wind–platform link — shared spectral power that reads as influence — where TE certifies none, illustrating concretely why directed, nonlinear methods are needed.</w:t>
      </w:r>
    </w:p>
    <w:p w14:paraId="79688E01" w14:textId="77777777" w:rsidR="000A2783" w:rsidRDefault="00000000">
      <w:pPr>
        <w:numPr>
          <w:ilvl w:val="0"/>
          <w:numId w:val="2"/>
        </w:numPr>
      </w:pPr>
      <w:r>
        <w:rPr>
          <w:b/>
          <w:bCs/>
        </w:rPr>
        <w:t>The firewall is physical and structural, and it dictates how the wind must be measured.</w:t>
      </w:r>
      <w:r>
        <w:t xml:space="preserve"> A single-point hub anemometer carries near-zero TE into every structural channel — including the blade loads that wind directly drives — because it is spatially decorrelated from the rotor-averaged inflow; the firewall is therefore visible only when the wind is rotor-averaged, an observability requirement for directed-information analysis of floating turbines. Across a graded pitch-fault campaign, in which the blade-pitch controller is seized or detuned, the wind–platform barrier nonetheless persists, establishing it as a structural property of the platform rather than an artifact of active control. The role SURD (Martínez-Sánchez et al., 2024) and an open-loop twin play here is narrower than blocking wind: they show that the blade-pitch command shapes the platform’s pitch response — a unique influence that collapses once the loop is opened — without which the platform still receives no wind information.</w:t>
      </w:r>
    </w:p>
    <w:p w14:paraId="3B1CBA65" w14:textId="77777777" w:rsidR="000A2783" w:rsidRDefault="00000000">
      <w:pPr>
        <w:pStyle w:val="FirstParagraph"/>
      </w:pPr>
      <w:r>
        <w:t xml:space="preserve">The two contributions above motivate a health-monitoring test, which returns a </w:t>
      </w:r>
      <w:r>
        <w:rPr>
          <w:b/>
          <w:bCs/>
        </w:rPr>
        <w:t>negative result</w:t>
      </w:r>
      <w:r>
        <w:t xml:space="preserve">: because the firewall is structural rather than actively maintained, a fault that degrades thrust regulation does not re-admit wind information into the platform. The graded-fault campaign holds wind→platform TE at its healthy, near-zero baseline across every fault type and severity tested. A wind→platform TE signature therefore cannot serve as a pitch-fault monitor; the fault instead manifests in the controller’s own regulation channels — rotor-speed and blade-load variability — where conventional signals already register it. This bounds the diagnostic reach of the firewall concept, and the paper states it as such (Section 3.4, Section 4.2).</w:t>
      </w:r>
    </w:p>
    <w:p w14:paraId="58277C3F" w14:textId="77777777" w:rsidR="000A2783" w:rsidRDefault="00000000">
      <w:pPr>
        <w:pStyle w:val="BodyText"/>
      </w:pPr>
      <w:r>
        <w:t xml:space="preserve">The scope is deliberately narrow: a single turbine (IEA-15MW) on a single platform (VolturnUS-S), simulated in OpenFAST at four wind speeds under the IEC normal turbulence model with wind-speed-matched sea states, plus a severe-sea-state DLC 1.6 set near rated. The </w:t>
        <w:lastRenderedPageBreak/>
        <w:t>claims made here are correspondingly bounded, and Section 4 states them as such. What the study establishes is a mechanism and its structural character; what it does not establish is a wind-based fault-detection method — indeed it reports that a wind→platform TE monitor is infeasible — a boundary made explicit throughout.</w:t>
      </w:r>
    </w:p>
    <w:p w14:paraId="7DD668A1" w14:textId="77777777" w:rsidR="000A2783" w:rsidRDefault="00000000">
      <w:pPr>
        <w:pStyle w:val="BodyText"/>
      </w:pPr>
      <w:r>
        <w:t>The remainder of the paper is organized as follows. Section 2 develops the transfer-entropy formalism and describes the simulation campaign, the TE and SURD estimators, and the monitoring-signature construction. Section 3 presents the firewall, the coherence contrast, the point-versus-rotor-averaged wind result, the structural evidence, and the monitoring test. Section 4 discusses physical interpretation, the (negative) monitoring result, and limitations. Section 5 concludes.</w:t>
      </w:r>
    </w:p>
    <w:p w14:paraId="2578F056" w14:textId="77777777" w:rsidR="000A2783" w:rsidRDefault="00000000">
      <w:r>
        <w:pict w14:anchorId="5379A94C">
          <v:rect id="_x0000_i1026" style="width:0;height:1.5pt" o:hralign="center" o:hrstd="t" o:hr="t"/>
        </w:pict>
      </w:r>
    </w:p>
    <w:p w14:paraId="2BA8D2DC" w14:textId="77777777" w:rsidR="000A2783" w:rsidRDefault="00000000">
      <w:pPr>
        <w:pStyle w:val="Heading2"/>
      </w:pPr>
      <w:bookmarkStart w:id="3" w:name="theory-and-methods"/>
      <w:bookmarkEnd w:id="1"/>
      <w:bookmarkEnd w:id="2"/>
      <w:r>
        <w:t>2. Theory and Methods</w:t>
      </w:r>
    </w:p>
    <w:p w14:paraId="06ADFD92" w14:textId="77777777" w:rsidR="000A2783" w:rsidRDefault="00000000">
      <w:pPr>
        <w:pStyle w:val="FirstParagraph"/>
      </w:pPr>
      <w:r>
        <w:t>This section sets out the transfer-entropy formalism (Section 2.1) and the simulation and estimation pipeline used to evaluate it (Sections 2.2–2.9). Figure 1 summarises the analysis pipeline: OpenFAST simulation, signal conditioning, parallel TE / coherence / SURD estimation, and construction of the monitoring signature.</w:t>
      </w:r>
    </w:p>
    <w:p w14:paraId="5BE56DA1" w14:textId="77777777" w:rsidR="000A2783" w:rsidRDefault="00000000">
      <w:pPr>
        <w:pStyle w:val="BodyText"/>
      </w:pPr>
      <w:r>
        <w:rPr>
          <w:noProof/>
        </w:rPr>
        <w:drawing>
          <wp:inline distT="0" distB="0" distL="0" distR="0" wp14:anchorId="7D60AE22" wp14:editId="01055347">
            <wp:extent cx="5334000" cy="3742222"/>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figs/fig1-methodology-arms.png"/>
                    <pic:cNvPicPr>
                      <a:picLocks noChangeAspect="1" noChangeArrowheads="1"/>
                    </pic:cNvPicPr>
                  </pic:nvPicPr>
                  <pic:blipFill>
                    <a:blip r:embed="rId6"/>
                    <a:stretch>
                      <a:fillRect/>
                    </a:stretch>
                  </pic:blipFill>
                  <pic:spPr bwMode="auto">
                    <a:xfrm>
                      <a:off x="0" y="0"/>
                      <a:ext cx="5334000" cy="3742222"/>
                    </a:xfrm>
                    <a:prstGeom prst="rect">
                      <a:avLst/>
                    </a:prstGeom>
                    <a:noFill/>
                    <a:ln w="9525">
                      <a:noFill/>
                      <a:headEnd/>
                      <a:tailEnd/>
                    </a:ln>
                  </pic:spPr>
                </pic:pic>
              </a:graphicData>
            </a:graphic>
          </wp:inline>
        </w:drawing>
      </w:r>
    </w:p>
    <w:p w14:paraId="0BAB9E0C" w14:textId="77777777" w:rsidR="000A2783" w:rsidRDefault="00000000">
      <w:pPr>
        <w:pStyle w:val="BodyText"/>
      </w:pPr>
      <w:r>
        <w:rPr>
          <w:b/>
          <w:bCs/>
        </w:rPr>
        <w:t>Figure 1.</w:t>
      </w:r>
      <w:r>
        <w:t xml:space="preserve"> Methodology overview. Three analysis arms — directed transfer entropy, a linear coherence baseline, and SURD attribution — operate on the same conditioned OpenFAST signals and feed the monitoring-signature construction.</w:t>
      </w:r>
    </w:p>
    <w:p w14:paraId="51DADCB1" w14:textId="77777777" w:rsidR="000A2783" w:rsidRDefault="00000000">
      <w:pPr>
        <w:pStyle w:val="Heading3"/>
      </w:pPr>
      <w:bookmarkStart w:id="4" w:name="Xf83e1850f78bef0bb4ba32f52ad0cccd9d9586b"/>
      <w:r>
        <w:lastRenderedPageBreak/>
        <w:t>2.1 Transfer entropy and information-theoretic causality</w:t>
      </w:r>
    </w:p>
    <w:p w14:paraId="54516431" w14:textId="77777777" w:rsidR="000A2783" w:rsidRDefault="00000000">
      <w:pPr>
        <w:pStyle w:val="FirstParagraph"/>
      </w:pPr>
      <w:r>
        <w:t xml:space="preserve">Throughout, the floating turbine is treated as a vector of </w:t>
      </w:r>
      <m:oMath>
        <m:r>
          <w:rPr>
            <w:rFonts w:ascii="Cambria Math" w:hAnsi="Cambria Math"/>
          </w:rPr>
          <m:t>n</m:t>
        </m:r>
      </m:oMath>
      <w:r>
        <w:t xml:space="preserve"> synchronized channels, </w:t>
      </w:r>
      <m:oMath>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 xml:space="preserve"> (Table 1) — the environmental drivers, platform and structural responses, and control signals. Transfer entropy is a property of an </w:t>
      </w:r>
      <w:r>
        <w:rPr>
          <w:i/>
          <w:iCs/>
        </w:rPr>
        <w:t>ordered pair</w:t>
      </w:r>
      <w:r>
        <w:t xml:space="preserve"> of channels, so the source </w:t>
      </w:r>
      <m:oMath>
        <m:r>
          <w:rPr>
            <w:rFonts w:ascii="Cambria Math" w:hAnsi="Cambria Math"/>
          </w:rPr>
          <m:t>Y</m:t>
        </m:r>
      </m:oMath>
      <w:r>
        <w:t xml:space="preserve"> and target </w:t>
      </w:r>
      <m:oMath>
        <m:r>
          <w:rPr>
            <w:rFonts w:ascii="Cambria Math" w:hAnsi="Cambria Math"/>
          </w:rPr>
          <m:t>X</m:t>
        </m:r>
      </m:oMath>
      <w:r>
        <w:t xml:space="preserve"> in the development below stand for any two components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of </w:t>
      </w:r>
      <m:oMath>
        <m:r>
          <m:rPr>
            <m:sty m:val="b"/>
          </m:rPr>
          <w:rPr>
            <w:rFonts w:ascii="Cambria Math" w:hAnsi="Cambria Math"/>
          </w:rPr>
          <m:t>X</m:t>
        </m:r>
      </m:oMath>
      <w:r>
        <w:t xml:space="preserve">; the directed analysis evaluates it over all such pairs, and the conditional and SURD extensions (Sections 2.4 and 2.7) condition on further components of </w:t>
      </w:r>
      <m:oMath>
        <m:r>
          <m:rPr>
            <m:sty m:val="b"/>
          </m:rPr>
          <w:rPr>
            <w:rFonts w:ascii="Cambria Math" w:hAnsi="Cambria Math"/>
          </w:rPr>
          <m:t>X</m:t>
        </m:r>
      </m:oMath>
      <w:r>
        <w:t>.</w:t>
      </w:r>
    </w:p>
    <w:p w14:paraId="517D893C" w14:textId="77777777" w:rsidR="000A2783" w:rsidRDefault="00000000">
      <w:pPr>
        <w:pStyle w:val="BodyText"/>
      </w:pPr>
      <w:r>
        <w:t xml:space="preserve">Transfer entropy (Schreiber, 2000) quantifies directed, model-free coupling between time series. It generalises Shannon’s information theory from a static, symmetric measure of shared uncertainty into a directed, dynamic one, and the shortest route to it is to build it up from the classical quantities (Chen et al., 2019). The starting point is the Shannon entropy of a random variable </w:t>
      </w:r>
      <m:oMath>
        <m:r>
          <w:rPr>
            <w:rFonts w:ascii="Cambria Math" w:hAnsi="Cambria Math"/>
          </w:rPr>
          <m:t>X</m:t>
        </m:r>
      </m:oMath>
      <w:r>
        <w:t>, the average uncertainty of its outcomes (Eq. 1),</w:t>
      </w:r>
    </w:p>
    <w:tbl>
      <w:tblPr>
        <w:tblStyle w:val="TableGrid"/>
        <w:tblW w:w="0" w:type="auto"/>
        <w:tblLook w:val="04A0" w:firstRow="1" w:lastRow="0" w:firstColumn="1" w:lastColumn="0" w:noHBand="0" w:noVBand="1"/>
      </w:tblPr>
      <w:tblGrid>
        <w:gridCol w:w="8568"/>
        <w:gridCol w:w="1008"/>
      </w:tblGrid>
      <w:tr w:rsidR="000872AE" w14:paraId="72840189" w14:textId="77777777" w:rsidTr="00D01C5A">
        <w:tc>
          <w:tcPr>
            <w:tcW w:w="8568" w:type="dxa"/>
            <w:vAlign w:val="center"/>
          </w:tcPr>
          <w:p w14:paraId="5806B00B" w14:textId="77777777" w:rsidR="000872AE" w:rsidRPr="00D01C5A" w:rsidRDefault="000872AE" w:rsidP="00D01C5A">
            <w:pPr>
              <w:pStyle w:val="BodyText"/>
              <w:jc w:val="center"/>
              <w:rPr>
                <w:rFonts w:asciiTheme="majorBidi" w:hAnsiTheme="majorBidi" w:cstheme="majorBidi"/>
              </w:rPr>
            </w:pPr>
            <m:oMathPara>
              <m:oMath>
                <m:r>
                  <w:rPr>
                    <w:rFonts w:ascii="Cambria Math" w:hAnsi="Cambria Math" w:cstheme="majorBidi"/>
                  </w:rPr>
                  <m:t>H</m:t>
                </m:r>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r>
                  <w:rPr>
                    <w:rFonts w:ascii="Cambria Math" w:hAnsi="Cambria Math" w:cstheme="majorBidi"/>
                  </w:rPr>
                  <m:t>p</m:t>
                </m:r>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r>
                  <w:rPr>
                    <w:rFonts w:ascii="Cambria Math" w:hAnsi="Cambria Math" w:cstheme="majorBidi"/>
                  </w:rPr>
                  <m:t> </m:t>
                </m:r>
                <m:r>
                  <m:rPr>
                    <m:sty m:val="p"/>
                  </m:rPr>
                  <w:rPr>
                    <w:rFonts w:ascii="Cambria Math" w:hAnsi="Cambria Math" w:cstheme="majorBidi"/>
                  </w:rPr>
                  <m:t>log</m:t>
                </m:r>
                <m:r>
                  <w:rPr>
                    <w:rFonts w:ascii="Cambria Math" w:hAnsi="Cambria Math" w:cstheme="majorBidi"/>
                  </w:rPr>
                  <m:t>p</m:t>
                </m:r>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oMath>
            </m:oMathPara>
          </w:p>
        </w:tc>
        <w:tc>
          <w:tcPr>
            <w:tcW w:w="1008" w:type="dxa"/>
            <w:vAlign w:val="center"/>
          </w:tcPr>
          <w:p w14:paraId="139C6965" w14:textId="77777777" w:rsidR="00D01C5A" w:rsidRPr="00D01C5A" w:rsidRDefault="00D01C5A" w:rsidP="00D01C5A">
            <w:pPr>
              <w:pStyle w:val="BodyText"/>
              <w:keepNext/>
              <w:jc w:val="center"/>
              <w:rPr>
                <w:rFonts w:asciiTheme="majorBidi" w:hAnsiTheme="majorBidi" w:cstheme="majorBidi"/>
              </w:rPr>
            </w:pPr>
            <w:r>
              <w:rPr>
                <w:rFonts w:asciiTheme="majorBidi" w:hAnsiTheme="majorBidi" w:cstheme="majorBidi"/>
              </w:rPr>
              <w:t>(</w:t>
              <w:fldChar w:fldCharType="begin"/>
              <w:instrText xml:space="preserve"> SEQ (1) \* ARABIC </w:instrText>
              <w:fldChar w:fldCharType="separate"/>
            </w:r>
            <w:r>
              <w:rPr>
                <w:rFonts w:asciiTheme="majorBidi" w:hAnsiTheme="majorBidi" w:cstheme="majorBidi"/>
                <w:noProof/>
              </w:rPr>
              <w:t>1</w:t>
            </w:r>
            <w:r>
              <w:rPr>
                <w:rFonts w:asciiTheme="majorBidi" w:hAnsiTheme="majorBidi" w:cstheme="majorBidi"/>
              </w:rPr>
              <w:fldChar w:fldCharType="end"/>
              <w:t>)</w:t>
            </w:r>
          </w:p>
        </w:tc>
      </w:tr>
    </w:tbl>
    <w:p w14:paraId="4D3BC74D" w14:textId="77777777" w:rsidR="000A2783" w:rsidRDefault="00000000">
      <w:pPr>
        <w:pStyle w:val="FirstParagraph"/>
      </w:pPr>
      <w:r>
        <w:t>For a pair of variables, the joint entropy is their combined uncertainty (Eq. 2),</w:t>
      </w:r>
    </w:p>
    <w:tbl>
      <w:tblPr>
        <w:tblStyle w:val="TableGrid"/>
        <w:tblW w:w="0" w:type="auto"/>
        <w:tblLook w:val="04A0" w:firstRow="1" w:lastRow="0" w:firstColumn="1" w:lastColumn="0" w:noHBand="0" w:noVBand="1"/>
      </w:tblPr>
      <w:tblGrid>
        <w:gridCol w:w="8478"/>
        <w:gridCol w:w="810"/>
      </w:tblGrid>
      <w:tr w:rsidR="000872AE" w14:paraId="5CB0960F" w14:textId="77777777" w:rsidTr="00D01C5A">
        <w:tc>
          <w:tcPr>
            <w:tcW w:w="8478" w:type="dxa"/>
            <w:vAlign w:val="center"/>
          </w:tcPr>
          <w:p w14:paraId="0959A96C" w14:textId="77777777" w:rsidR="000872AE" w:rsidRDefault="000872AE" w:rsidP="00D01C5A">
            <w:pPr>
              <w:pStyle w:val="BodyText"/>
              <w:jc w:val="center"/>
            </w:pPr>
            <m:oMathPara>
              <m:oMath>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810" w:type="dxa"/>
            <w:vAlign w:val="center"/>
          </w:tcPr>
          <w:p w14:paraId="4FC53C8C" w14:textId="77777777" w:rsidR="000872AE" w:rsidRDefault="00D01C5A" w:rsidP="00D01C5A">
            <w:pPr>
              <w:pStyle w:val="BodyText"/>
              <w:jc w:val="center"/>
            </w:pPr>
            <w:r>
              <w:rPr>
                <w:rFonts w:asciiTheme="majorBidi" w:hAnsiTheme="majorBidi" w:cstheme="majorBidi"/>
              </w:rPr>
              <w:t>(</w:t>
              <w:fldChar w:fldCharType="begin"/>
              <w:instrText xml:space="preserve"> SEQ (1) \* ARABIC </w:instrText>
              <w:fldChar w:fldCharType="separate"/>
            </w:r>
            <w:r>
              <w:rPr>
                <w:rFonts w:asciiTheme="majorBidi" w:hAnsiTheme="majorBidi" w:cstheme="majorBidi"/>
                <w:noProof/>
              </w:rPr>
              <w:t>2</w:t>
            </w:r>
            <w:r>
              <w:rPr>
                <w:rFonts w:asciiTheme="majorBidi" w:hAnsiTheme="majorBidi" w:cstheme="majorBidi"/>
              </w:rPr>
              <w:fldChar w:fldCharType="end"/>
              <w:t>)</w:t>
            </w:r>
          </w:p>
        </w:tc>
      </w:tr>
    </w:tbl>
    <w:p w14:paraId="7D79970F" w14:textId="77777777" w:rsidR="000A2783" w:rsidRDefault="00000000">
      <w:pPr>
        <w:pStyle w:val="FirstParagraph"/>
      </w:pPr>
      <w:r>
        <w:t>and the mutual information between two variables is the reduction in uncertainty about one that knowing the other provides (Eq. 3)</w:t>
      </w:r>
    </w:p>
    <w:tbl>
      <w:tblPr>
        <w:tblStyle w:val="TableGrid"/>
        <w:tblW w:w="0" w:type="auto"/>
        <w:tblLook w:val="04A0" w:firstRow="1" w:lastRow="0" w:firstColumn="1" w:lastColumn="0" w:noHBand="0" w:noVBand="1"/>
      </w:tblPr>
      <w:tblGrid>
        <w:gridCol w:w="8478"/>
        <w:gridCol w:w="810"/>
      </w:tblGrid>
      <w:tr w:rsidR="00D42CE2" w14:paraId="67DAEF4E" w14:textId="77777777" w:rsidTr="00D01C5A">
        <w:tc>
          <w:tcPr>
            <w:tcW w:w="8478" w:type="dxa"/>
          </w:tcPr>
          <w:p w14:paraId="3CA523F1" w14:textId="77777777" w:rsidR="00D42CE2" w:rsidRDefault="00D42CE2" w:rsidP="00D42CE2">
            <w:pPr>
              <w:pStyle w:val="BodyText"/>
            </w:pPr>
            <m:oMathPara>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r>
                  <m:rPr>
                    <m:sty m:val="p"/>
                  </m:rPr>
                  <w:rPr>
                    <w:rFonts w:ascii="Cambria Math" w:hAnsi="Cambria Math"/>
                  </w:rPr>
                  <m:t>log</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um>
                  <m:den>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y</m:t>
                    </m:r>
                    <m:r>
                      <m:rPr>
                        <m:sty m:val="p"/>
                      </m:rPr>
                      <w:rPr>
                        <w:rFonts w:ascii="Cambria Math" w:hAnsi="Cambria Math"/>
                      </w:rPr>
                      <m:t>)</m:t>
                    </m:r>
                  </m:den>
                </m:f>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810" w:type="dxa"/>
            <w:vAlign w:val="center"/>
          </w:tcPr>
          <w:p w14:paraId="2660BA61" w14:textId="77777777" w:rsidR="00D42CE2" w:rsidRDefault="00D01C5A" w:rsidP="00D01C5A">
            <w:pPr>
              <w:pStyle w:val="BodyText"/>
              <w:jc w:val="center"/>
            </w:pPr>
            <w:r>
              <w:rPr>
                <w:rFonts w:asciiTheme="majorBidi" w:hAnsiTheme="majorBidi" w:cstheme="majorBidi"/>
              </w:rPr>
              <w:t>(</w:t>
              <w:fldChar w:fldCharType="begin"/>
              <w:instrText xml:space="preserve"> SEQ (1) \* ARABIC </w:instrText>
              <w:fldChar w:fldCharType="separate"/>
            </w:r>
            <w:r>
              <w:rPr>
                <w:rFonts w:asciiTheme="majorBidi" w:hAnsiTheme="majorBidi" w:cstheme="majorBidi"/>
                <w:noProof/>
              </w:rPr>
              <w:t>3</w:t>
            </w:r>
            <w:r>
              <w:rPr>
                <w:rFonts w:asciiTheme="majorBidi" w:hAnsiTheme="majorBidi" w:cstheme="majorBidi"/>
              </w:rPr>
              <w:fldChar w:fldCharType="end"/>
              <w:t>)</w:t>
            </w:r>
          </w:p>
        </w:tc>
      </w:tr>
    </w:tbl>
    <w:p w14:paraId="551B7BE5" w14:textId="77777777" w:rsidR="000A2783" w:rsidRDefault="00000000">
      <w:pPr>
        <w:pStyle w:val="FirstParagraph"/>
      </w:pPr>
      <w:r>
        <w:t xml:space="preserve">Mutual information measures </w:t>
      </w:r>
      <w:r>
        <w:rPr>
          <w:i/>
          <w:iCs/>
        </w:rPr>
        <w:t>how much</w:t>
      </w:r>
      <w:r>
        <w:t xml:space="preserve"> two signals share, but it is symmetric — </w:t>
      </w: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and carries no notion of time, so it cannot say whether </w:t>
      </w:r>
      <m:oMath>
        <m:r>
          <w:rPr>
            <w:rFonts w:ascii="Cambria Math" w:hAnsi="Cambria Math"/>
          </w:rPr>
          <m:t>X</m:t>
        </m:r>
      </m:oMath>
      <w:r>
        <w:t xml:space="preserve"> drives </w:t>
      </w:r>
      <m:oMath>
        <m:r>
          <w:rPr>
            <w:rFonts w:ascii="Cambria Math" w:hAnsi="Cambria Math"/>
          </w:rPr>
          <m:t>Y</m:t>
        </m:r>
      </m:oMath>
      <w:r>
        <w:t xml:space="preserve"> or the reverse (Chen et al., 2019). Introducing dynamics, the entropy rate of </w:t>
      </w:r>
      <m:oMath>
        <m:r>
          <w:rPr>
            <w:rFonts w:ascii="Cambria Math" w:hAnsi="Cambria Math"/>
          </w:rPr>
          <m:t>X</m:t>
        </m:r>
      </m:oMath>
      <w:r>
        <w:t xml:space="preserve"> is the uncertainty that remains in its next sample once the process’s own recent past is known (Eq. 4),</w:t>
      </w:r>
    </w:p>
    <w:tbl>
      <w:tblPr>
        <w:tblStyle w:val="TableGrid"/>
        <w:tblW w:w="0" w:type="auto"/>
        <w:tblLook w:val="04A0" w:firstRow="1" w:lastRow="0" w:firstColumn="1" w:lastColumn="0" w:noHBand="0" w:noVBand="1"/>
      </w:tblPr>
      <w:tblGrid>
        <w:gridCol w:w="8478"/>
        <w:gridCol w:w="810"/>
      </w:tblGrid>
      <w:tr w:rsidR="00D42CE2" w14:paraId="10D0A89E" w14:textId="77777777" w:rsidTr="00E44048">
        <w:tc>
          <w:tcPr>
            <w:tcW w:w="8478" w:type="dxa"/>
          </w:tcPr>
          <w:p w14:paraId="1A6CE400" w14:textId="77777777" w:rsidR="00D42CE2" w:rsidRDefault="00000000" w:rsidP="00D42CE2">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X</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w:rPr>
                    <w:rFonts w:ascii="Cambria Math" w:hAnsi="Cambria Math"/>
                  </w:rPr>
                  <m:t> </m:t>
                </m:r>
                <m:r>
                  <m:rPr>
                    <m:sty m:val="p"/>
                  </m:rPr>
                  <w:rPr>
                    <w:rFonts w:ascii="Cambria Math" w:hAnsi="Cambria Math"/>
                  </w:rPr>
                  <m:t>log</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oMath>
            </m:oMathPara>
          </w:p>
        </w:tc>
        <w:tc>
          <w:tcPr>
            <w:tcW w:w="810" w:type="dxa"/>
            <w:vAlign w:val="center"/>
          </w:tcPr>
          <w:p w14:paraId="5E738560" w14:textId="77777777" w:rsidR="00D42CE2" w:rsidRDefault="00E44048" w:rsidP="00E44048">
            <w:pPr>
              <w:pStyle w:val="BodyText"/>
              <w:jc w:val="center"/>
            </w:pPr>
            <w:r>
              <w:rPr>
                <w:rFonts w:asciiTheme="majorBidi" w:hAnsiTheme="majorBidi" w:cstheme="majorBidi"/>
              </w:rPr>
              <w:t>(</w:t>
              <w:fldChar w:fldCharType="begin"/>
              <w:instrText xml:space="preserve"> SEQ (1) \* ARABIC </w:instrText>
              <w:fldChar w:fldCharType="separate"/>
            </w:r>
            <w:r>
              <w:rPr>
                <w:rFonts w:asciiTheme="majorBidi" w:hAnsiTheme="majorBidi" w:cstheme="majorBidi"/>
                <w:noProof/>
              </w:rPr>
              <w:t>4</w:t>
            </w:r>
            <w:r>
              <w:rPr>
                <w:rFonts w:asciiTheme="majorBidi" w:hAnsiTheme="majorBidi" w:cstheme="majorBidi"/>
              </w:rPr>
              <w:fldChar w:fldCharType="end"/>
              <w:t>)</w:t>
            </w:r>
          </w:p>
        </w:tc>
      </w:tr>
    </w:tbl>
    <w:p w14:paraId="2FE168BA" w14:textId="77777777" w:rsidR="000A2783" w:rsidRDefault="00000000">
      <w:pPr>
        <w:pStyle w:val="FirstParagraph"/>
      </w:pPr>
      <w:r>
        <w:t xml:space="preserve">where </w:t>
      </w:r>
      <m:oMath>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e>
        </m:d>
      </m:oMath>
      <w:r>
        <w:t xml:space="preserve"> is the delay-embedded history of a Markov process of order </w:t>
      </w:r>
      <m:oMath>
        <m:r>
          <w:rPr>
            <w:rFonts w:ascii="Cambria Math" w:hAnsi="Cambria Math"/>
          </w:rPr>
          <m:t>k</m:t>
        </m:r>
      </m:oMath>
      <w:r>
        <w:t xml:space="preserve">. Transfer entropy then asks how much of that residual uncertainty is removed by </w:t>
      </w:r>
      <w:r>
        <w:rPr>
          <w:i/>
          <w:iCs/>
        </w:rPr>
        <w:t>also</w:t>
      </w:r>
      <w:r>
        <w:t xml:space="preserve"> conditioning on the past of a second signal </w:t>
      </w:r>
      <m:oMath>
        <m:r>
          <w:rPr>
            <w:rFonts w:ascii="Cambria Math" w:hAnsi="Cambria Math"/>
          </w:rPr>
          <m:t>Y</m:t>
        </m:r>
      </m:oMath>
      <w:r>
        <w:t xml:space="preserve">: for a target </w:t>
      </w:r>
      <m:oMath>
        <m:r>
          <w:rPr>
            <w:rFonts w:ascii="Cambria Math" w:hAnsi="Cambria Math"/>
          </w:rPr>
          <m:t>X</m:t>
        </m:r>
      </m:oMath>
      <w:r>
        <w:t xml:space="preserve"> and source </w:t>
      </w:r>
      <m:oMath>
        <m:r>
          <w:rPr>
            <w:rFonts w:ascii="Cambria Math" w:hAnsi="Cambria Math"/>
          </w:rPr>
          <m:t>Y</m:t>
        </m:r>
      </m:oMath>
      <w:r>
        <w:t xml:space="preserve"> it is the mutual information between the target’s future and the source’s past, conditioned on the target’s own past (Eq. 5)</w:t>
      </w:r>
    </w:p>
    <w:tbl>
      <w:tblPr>
        <w:tblStyle w:val="TableGrid"/>
        <w:tblW w:w="0" w:type="auto"/>
        <w:tblLook w:val="04A0" w:firstRow="1" w:lastRow="0" w:firstColumn="1" w:lastColumn="0" w:noHBand="0" w:noVBand="1"/>
      </w:tblPr>
      <w:tblGrid>
        <w:gridCol w:w="8478"/>
        <w:gridCol w:w="810"/>
      </w:tblGrid>
      <w:tr w:rsidR="0077427B" w14:paraId="498AA7A5" w14:textId="77777777" w:rsidTr="00E44048">
        <w:tc>
          <w:tcPr>
            <w:tcW w:w="8478" w:type="dxa"/>
            <w:vAlign w:val="center"/>
          </w:tcPr>
          <w:p w14:paraId="757B6B4D" w14:textId="77777777" w:rsidR="0077427B" w:rsidRDefault="00000000" w:rsidP="00E44048">
            <w:pPr>
              <w:pStyle w:val="BodyText"/>
              <w:jc w:val="center"/>
            </w:pPr>
            <m:oMathPara>
              <m:oMath>
                <m:sSub>
                  <m:sSubPr>
                    <m:ctrlPr>
                      <w:rPr>
                        <w:rFonts w:ascii="Cambria Math" w:hAnsi="Cambria Math"/>
                      </w:rPr>
                    </m:ctrlPr>
                  </m:sSubPr>
                  <m:e>
                    <m:r>
                      <w:rPr>
                        <w:rFonts w:ascii="Cambria Math" w:hAnsi="Cambria Math"/>
                      </w:rPr>
                      <m:t>T</m:t>
                    </m:r>
                  </m:e>
                  <m:sub>
                    <m:r>
                      <w:rPr>
                        <w:rFonts w:ascii="Cambria Math" w:hAnsi="Cambria Math"/>
                      </w:rPr>
                      <m:t>Y</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r>
                          <w:rPr>
                            <w:rFonts w:ascii="Cambria Math" w:hAnsi="Cambria Math"/>
                          </w:rPr>
                          <m:t>l</m:t>
                        </m:r>
                        <m:r>
                          <m:rPr>
                            <m:sty m:val="p"/>
                          </m:rPr>
                          <w:rPr>
                            <w:rFonts w:ascii="Cambria Math" w:hAnsi="Cambria Math"/>
                          </w:rPr>
                          <m:t>)</m:t>
                        </m:r>
                      </m:sup>
                    </m:sSubSup>
                  </m:e>
                </m:d>
                <m:r>
                  <w:rPr>
                    <w:rFonts w:ascii="Cambria Math" w:hAnsi="Cambria Math"/>
                  </w:rPr>
                  <m:t> </m:t>
                </m:r>
                <m:r>
                  <m:rPr>
                    <m:sty m:val="p"/>
                  </m:rPr>
                  <w:rPr>
                    <w:rFonts w:ascii="Cambria Math" w:hAnsi="Cambria Math"/>
                  </w:rPr>
                  <m:t>log</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r>
                              <w:rPr>
                                <w:rFonts w:ascii="Cambria Math" w:hAnsi="Cambria Math"/>
                              </w:rPr>
                              <m:t>l</m:t>
                            </m:r>
                            <m:r>
                              <m:rPr>
                                <m:sty m:val="p"/>
                              </m:rPr>
                              <w:rPr>
                                <w:rFonts w:ascii="Cambria Math" w:hAnsi="Cambria Math"/>
                              </w:rPr>
                              <m:t>)</m:t>
                            </m:r>
                          </m:sup>
                        </m:sSubSup>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den>
                </m:f>
              </m:oMath>
            </m:oMathPara>
          </w:p>
        </w:tc>
        <w:tc>
          <w:tcPr>
            <w:tcW w:w="810" w:type="dxa"/>
            <w:vAlign w:val="center"/>
          </w:tcPr>
          <w:p w14:paraId="1AD070F8" w14:textId="77777777" w:rsidR="0077427B" w:rsidRDefault="00E44048" w:rsidP="00E44048">
            <w:pPr>
              <w:pStyle w:val="BodyText"/>
              <w:jc w:val="center"/>
            </w:pPr>
            <w:r>
              <w:rPr>
                <w:rFonts w:asciiTheme="majorBidi" w:hAnsiTheme="majorBidi" w:cstheme="majorBidi"/>
              </w:rPr>
              <w:t>(</w:t>
              <w:fldChar w:fldCharType="begin"/>
              <w:instrText xml:space="preserve"> SEQ (1) \* ARABIC </w:instrText>
              <w:fldChar w:fldCharType="separate"/>
            </w:r>
            <w:r>
              <w:rPr>
                <w:rFonts w:asciiTheme="majorBidi" w:hAnsiTheme="majorBidi" w:cstheme="majorBidi"/>
                <w:noProof/>
              </w:rPr>
              <w:t>5</w:t>
            </w:r>
            <w:r>
              <w:rPr>
                <w:rFonts w:asciiTheme="majorBidi" w:hAnsiTheme="majorBidi" w:cstheme="majorBidi"/>
              </w:rPr>
              <w:fldChar w:fldCharType="end"/>
              <w:t>)</w:t>
            </w:r>
          </w:p>
        </w:tc>
      </w:tr>
    </w:tbl>
    <w:p w14:paraId="674E3EB4" w14:textId="77777777" w:rsidR="000A2783" w:rsidRDefault="00000000">
      <w:pPr>
        <w:pStyle w:val="FirstParagraph"/>
      </w:pPr>
      <w:r>
        <w:t xml:space="preserve">where </w:t>
      </w:r>
      <m:oMath>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xml:space="preserve"> and </w:t>
      </w:r>
      <m:oMath>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r>
              <w:rPr>
                <w:rFonts w:ascii="Cambria Math" w:hAnsi="Cambria Math"/>
              </w:rPr>
              <m:t>l</m:t>
            </m:r>
            <m:r>
              <m:rPr>
                <m:sty m:val="p"/>
              </m:rPr>
              <w:rPr>
                <w:rFonts w:ascii="Cambria Math" w:hAnsi="Cambria Math"/>
              </w:rPr>
              <m:t>)</m:t>
            </m:r>
          </m:sup>
        </m:sSubSup>
      </m:oMath>
      <w:r>
        <w:t xml:space="preserve"> are delay-embedded histories of Markov orders </w:t>
      </w:r>
      <m:oMath>
        <m:r>
          <w:rPr>
            <w:rFonts w:ascii="Cambria Math" w:hAnsi="Cambria Math"/>
          </w:rPr>
          <m:t>k</m:t>
        </m:r>
      </m:oMath>
      <w:r>
        <w:t xml:space="preserve"> and </w:t>
      </w:r>
      <m:oMath>
        <m:r>
          <w:rPr>
            <w:rFonts w:ascii="Cambria Math" w:hAnsi="Cambria Math"/>
          </w:rPr>
          <m:t>l</m:t>
        </m:r>
      </m:oMath>
      <w:r>
        <w:t>. Equivalently, transfer entropy is the amount by which knowing the source’s history lowers the target’s entropy rate (Eq. 6),</w:t>
      </w:r>
    </w:p>
    <w:tbl>
      <w:tblPr>
        <w:tblStyle w:val="TableGrid"/>
        <w:tblW w:w="0" w:type="auto"/>
        <w:tblLook w:val="04A0" w:firstRow="1" w:lastRow="0" w:firstColumn="1" w:lastColumn="0" w:noHBand="0" w:noVBand="1"/>
      </w:tblPr>
      <w:tblGrid>
        <w:gridCol w:w="8478"/>
        <w:gridCol w:w="810"/>
      </w:tblGrid>
      <w:tr w:rsidR="0077427B" w14:paraId="174C654E" w14:textId="77777777" w:rsidTr="00E44048">
        <w:tc>
          <w:tcPr>
            <w:tcW w:w="8478" w:type="dxa"/>
            <w:vAlign w:val="center"/>
          </w:tcPr>
          <w:p w14:paraId="3FC87075" w14:textId="77777777" w:rsidR="0077427B" w:rsidRDefault="00000000" w:rsidP="00E44048">
            <w:pPr>
              <w:pStyle w:val="BodyText"/>
              <w:jc w:val="center"/>
            </w:pPr>
            <m:oMathPara>
              <m:oMath>
                <m:sSub>
                  <m:sSubPr>
                    <m:ctrlPr>
                      <w:rPr>
                        <w:rFonts w:ascii="Cambria Math" w:hAnsi="Cambria Math"/>
                      </w:rPr>
                    </m:ctrlPr>
                  </m:sSubPr>
                  <m:e>
                    <m:r>
                      <w:rPr>
                        <w:rFonts w:ascii="Cambria Math" w:hAnsi="Cambria Math"/>
                      </w:rPr>
                      <m:t>T</m:t>
                    </m:r>
                  </m:e>
                  <m:sub>
                    <m:r>
                      <w:rPr>
                        <w:rFonts w:ascii="Cambria Math" w:hAnsi="Cambria Math"/>
                      </w:rPr>
                      <m:t>Y</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oMath>
            </m:oMathPara>
          </w:p>
        </w:tc>
        <w:tc>
          <w:tcPr>
            <w:tcW w:w="810" w:type="dxa"/>
            <w:vAlign w:val="center"/>
          </w:tcPr>
          <w:p w14:paraId="078F1605" w14:textId="77777777" w:rsidR="0077427B" w:rsidRDefault="00E44048" w:rsidP="00E44048">
            <w:pPr>
              <w:pStyle w:val="BodyText"/>
              <w:jc w:val="center"/>
            </w:pPr>
            <w:r>
              <w:rPr>
                <w:rFonts w:asciiTheme="majorBidi" w:hAnsiTheme="majorBidi" w:cstheme="majorBidi"/>
              </w:rPr>
              <w:t>(</w:t>
              <w:fldChar w:fldCharType="begin"/>
              <w:instrText xml:space="preserve"> SEQ (1) \* ARABIC </w:instrText>
              <w:fldChar w:fldCharType="separate"/>
            </w:r>
            <w:r>
              <w:rPr>
                <w:rFonts w:asciiTheme="majorBidi" w:hAnsiTheme="majorBidi" w:cstheme="majorBidi"/>
                <w:noProof/>
              </w:rPr>
              <w:t>6</w:t>
            </w:r>
            <w:r>
              <w:rPr>
                <w:rFonts w:asciiTheme="majorBidi" w:hAnsiTheme="majorBidi" w:cstheme="majorBidi"/>
              </w:rPr>
              <w:fldChar w:fldCharType="end"/>
              <w:t>)</w:t>
            </w:r>
          </w:p>
        </w:tc>
      </w:tr>
    </w:tbl>
    <w:p w14:paraId="68D7309C" w14:textId="77777777" w:rsidR="000A2783" w:rsidRDefault="00000000">
      <w:pPr>
        <w:pStyle w:val="FirstParagraph"/>
      </w:pPr>
      <w:r>
        <w:t xml:space="preserve">with </w:t>
      </w:r>
      <m:oMath>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oMath>
      <w:r>
        <w:t xml:space="preserve"> the entropy rate of </w:t>
      </w:r>
      <m:oMath>
        <m:r>
          <w:rPr>
            <w:rFonts w:ascii="Cambria Math" w:hAnsi="Cambria Math"/>
          </w:rPr>
          <m:t>X</m:t>
        </m:r>
      </m:oMath>
      <w:r>
        <w:t xml:space="preserve"> conditioned on the joint past of </w:t>
      </w:r>
      <m:oMath>
        <m:r>
          <w:rPr>
            <w:rFonts w:ascii="Cambria Math" w:hAnsi="Cambria Math"/>
          </w:rPr>
          <m:t>X</m:t>
        </m:r>
      </m:oMath>
      <w:r>
        <w:t xml:space="preserve"> and </w:t>
      </w:r>
      <m:oMath>
        <m:r>
          <w:rPr>
            <w:rFonts w:ascii="Cambria Math" w:hAnsi="Cambria Math"/>
          </w:rPr>
          <m:t>Y</m:t>
        </m:r>
      </m:oMath>
      <w:r>
        <w:t xml:space="preserve"> (Chen et al., 2019). Written this way, as in Eq. (6), the measure has a direct diagnostic reading: it strips out the target’s own memory and any influence common to both channels, retaining only the information that the history of </w:t>
      </w:r>
      <m:oMath>
        <m:r>
          <w:rPr>
            <w:rFonts w:ascii="Cambria Math" w:hAnsi="Cambria Math"/>
          </w:rPr>
          <m:t>Y</m:t>
        </m:r>
      </m:oMath>
      <w:r>
        <w:t xml:space="preserve"> contributes to the future of </w:t>
      </w:r>
      <m:oMath>
        <m:r>
          <w:rPr>
            <w:rFonts w:ascii="Cambria Math" w:hAnsi="Cambria Math"/>
          </w:rPr>
          <m:t>X</m:t>
        </m:r>
      </m:oMath>
      <w:r>
        <w:t xml:space="preserve">. If the source leaves the target’s transition probabilities unchanged the two entropy rates coincide and </w:t>
      </w:r>
      <m:oMath>
        <m:sSub>
          <m:sSubPr>
            <m:ctrlPr>
              <w:rPr>
                <w:rFonts w:ascii="Cambria Math" w:hAnsi="Cambria Math"/>
              </w:rPr>
            </m:ctrlPr>
          </m:sSubPr>
          <m:e>
            <m:r>
              <w:rPr>
                <w:rFonts w:ascii="Cambria Math" w:hAnsi="Cambria Math"/>
              </w:rPr>
              <m:t>T</m:t>
            </m:r>
          </m:e>
          <m:sub>
            <m:r>
              <w:rPr>
                <w:rFonts w:ascii="Cambria Math" w:hAnsi="Cambria Math"/>
              </w:rPr>
              <m:t>Y</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0</m:t>
        </m:r>
      </m:oMath>
      <w:r>
        <w:t xml:space="preserve">; and because the conditioning is one-sided, </w:t>
      </w:r>
      <m:oMath>
        <m:sSub>
          <m:sSubPr>
            <m:ctrlPr>
              <w:rPr>
                <w:rFonts w:ascii="Cambria Math" w:hAnsi="Cambria Math"/>
              </w:rPr>
            </m:ctrlPr>
          </m:sSubPr>
          <m:e>
            <m:r>
              <w:rPr>
                <w:rFonts w:ascii="Cambria Math" w:hAnsi="Cambria Math"/>
              </w:rPr>
              <m:t>T</m:t>
            </m:r>
          </m:e>
          <m:sub>
            <m:r>
              <w:rPr>
                <w:rFonts w:ascii="Cambria Math" w:hAnsi="Cambria Math"/>
              </w:rPr>
              <m:t>Y</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r>
              <m:rPr>
                <m:sty m:val="p"/>
              </m:rPr>
              <w:rPr>
                <w:rFonts w:ascii="Cambria Math" w:hAnsi="Cambria Math"/>
              </w:rPr>
              <m:t>→</m:t>
            </m:r>
            <m:r>
              <w:rPr>
                <w:rFonts w:ascii="Cambria Math" w:hAnsi="Cambria Math"/>
              </w:rPr>
              <m:t>Y</m:t>
            </m:r>
          </m:sub>
        </m:sSub>
      </m:oMath>
      <w:r>
        <w:t xml:space="preserve"> in general, so transfer entropy resolves the direction of coupling that mutual information cannot. The definitions above are written for discrete outcomes, but the quantities are estimator-agnostic; for the continuous FOWT signals analyzed here, they are evaluated in nats with the nearest-neighbor KSG estimator described in Section 2.4, which avoids the binning that a discrete or kernel-density estimate of these probabilities would require. Here a nat is the unit of information obtained when entropy is defined with the natural logarithm rather than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oMath>
      <w:r>
        <w:t xml:space="preserve"> — the form the digamma-based KSG estimator returns natively — so that observing an event of probability </w:t>
      </w:r>
      <m:oMath>
        <m:r>
          <w:rPr>
            <w:rFonts w:ascii="Cambria Math" w:hAnsi="Cambria Math"/>
          </w:rPr>
          <m:t>1</m:t>
        </m:r>
        <m:r>
          <m:rPr>
            <m:sty m:val="p"/>
          </m:rPr>
          <w:rPr>
            <w:rFonts w:ascii="Cambria Math" w:hAnsi="Cambria Math"/>
          </w:rPr>
          <m:t>/</m:t>
        </m:r>
        <m:r>
          <w:rPr>
            <w:rFonts w:ascii="Cambria Math" w:hAnsi="Cambria Math"/>
          </w:rPr>
          <m:t>e</m:t>
        </m:r>
      </m:oMath>
      <w:r>
        <w:t xml:space="preserve"> conveys one nat, equal to </w:t>
      </w:r>
      <m:oMath>
        <m:r>
          <w:rPr>
            <w:rFonts w:ascii="Cambria Math" w:hAnsi="Cambria Math"/>
          </w:rPr>
          <m:t>1</m:t>
        </m:r>
        <m:r>
          <m:rPr>
            <m:sty m:val="p"/>
          </m:rPr>
          <w:rPr>
            <w:rFonts w:ascii="Cambria Math" w:hAnsi="Cambria Math"/>
          </w:rPr>
          <m:t>/ln</m:t>
        </m:r>
        <m:r>
          <w:rPr>
            <w:rFonts w:ascii="Cambria Math" w:hAnsi="Cambria Math"/>
          </w:rPr>
          <m:t>2</m:t>
        </m:r>
        <m:r>
          <m:rPr>
            <m:sty m:val="p"/>
          </m:rPr>
          <w:rPr>
            <w:rFonts w:ascii="Cambria Math" w:hAnsi="Cambria Math"/>
          </w:rPr>
          <m:t>≈</m:t>
        </m:r>
        <m:r>
          <w:rPr>
            <w:rFonts w:ascii="Cambria Math" w:hAnsi="Cambria Math"/>
          </w:rPr>
          <m:t>1.443</m:t>
        </m:r>
      </m:oMath>
      <w:r>
        <w:t xml:space="preserve"> bits (equivalently </w:t>
      </w:r>
      <m:oMath>
        <m:r>
          <w:rPr>
            <w:rFonts w:ascii="Cambria Math" w:hAnsi="Cambria Math"/>
          </w:rPr>
          <m:t>1 </m:t>
        </m:r>
        <m:r>
          <m:rPr>
            <m:nor/>
          </m:rPr>
          <m:t>bit</m:t>
        </m:r>
        <m:r>
          <m:rPr>
            <m:sty m:val="p"/>
          </m:rPr>
          <w:rPr>
            <w:rFonts w:ascii="Cambria Math" w:hAnsi="Cambria Math"/>
          </w:rPr>
          <m:t>=ln</m:t>
        </m:r>
        <m:r>
          <w:rPr>
            <w:rFonts w:ascii="Cambria Math" w:hAnsi="Cambria Math"/>
          </w:rPr>
          <m:t>2</m:t>
        </m:r>
        <m:r>
          <m:rPr>
            <m:sty m:val="p"/>
          </m:rPr>
          <w:rPr>
            <w:rFonts w:ascii="Cambria Math" w:hAnsi="Cambria Math"/>
          </w:rPr>
          <m:t>≈</m:t>
        </m:r>
        <m:r>
          <w:rPr>
            <w:rFonts w:ascii="Cambria Math" w:hAnsi="Cambria Math"/>
          </w:rPr>
          <m:t>0.693</m:t>
        </m:r>
      </m:oMath>
      <w:r>
        <w:t xml:space="preserve"> nats). TE reduces to Granger causality (Granger, 1969) for jointly Gaussian processes (Barnett et al., 2009), but retains sensitivity to the nonlinear, non-Gaussian coupling that a saturating controller produces, which is why it is preferred here to linear coherence or Granger tests.</w:t>
      </w:r>
    </w:p>
    <w:p w14:paraId="2270B142" w14:textId="77777777" w:rsidR="000A2783" w:rsidRDefault="00000000">
      <w:pPr>
        <w:pStyle w:val="BodyText"/>
      </w:pPr>
      <w:r>
        <w:t xml:space="preserve">Estimating TE from continuous signals without binning is done efficiently with the Kraskov–Stögbauer–Grassberger (KSG) nearest-neighbor estimator (Kraskov et al., 2004), implemented for conditional mutual information in JIDT (Lizier, 2014) and orchestrated with automatic embedding selection and non-parametric significance testing in IDTxl (Wollstadt et al., 2019). Transfer entropy has become a standard tool for data-driven causal discovery across fields where a governing model is unavailable or untrustworthy — neural connectivity, climate teleconnections, financial contagion — precisely because it makes no linearity or functional-form assumption and needs only the observed time series. It is not the only model-free causal measure — convergent cross mapping (Sugihara et al., 2012) instead recovers coupling by reconstructing the shared attractor of the interacting series — but that construction targets low-dimensional deterministic dynamics, whereas the probabilistic formulation of transfer entropy is the better match for the strongly stochastic wind- and wave-forced signals analyzed here. In engineering it has been used to locate the source and direction of disturbance propagation in industrial process-control loops (Bauer et al., 2007), a setting closely analogous to the present one: a controlled plant in which one wants to know which upstream variable is driving a </w:t>
        <w:lastRenderedPageBreak/>
        <w:t xml:space="preserve">downstream fluctuation, and where the answer is used to diagnose loop performance. The nearest-neighbor KSG estimator is the pragmatic choice for continuous signals such as these because it avoids the bias and bin-width sensitivity of histogram estimators and adapts to the local density of the data, at the cost of a tuning parameter (the neighbor count </w:t>
      </w:r>
      <m:oMath>
        <m:r>
          <w:rPr>
            <w:rFonts w:ascii="Cambria Math" w:hAnsi="Cambria Math"/>
          </w:rPr>
          <m:t>k</m:t>
        </m:r>
      </m:oMath>
      <w:r>
        <w:t xml:space="preserve">) whose influence is addressed in the limitations. Closer to the present setting, transfer entropy and related information-flow measures have been used within structural dynamics to detect damage as an emergent nonlinearity in otherwise passive structures (Nichols et al., 2005; Nichols, 2006). What has not been done, to the authors’ knowledge, is to turn this directed-information machinery on the </w:t>
      </w:r>
      <w:r>
        <w:rPr>
          <w:i/>
          <w:iCs/>
        </w:rPr>
        <w:t>control loop itself</w:t>
      </w:r>
      <w:r>
        <w:t xml:space="preserve"> in a floating wind turbine — reading not a damage-induced coupling in a passive structure but a controller-induced </w:t>
      </w:r>
      <w:r>
        <w:rPr>
          <w:i/>
          <w:iCs/>
        </w:rPr>
        <w:t>absence</w:t>
      </w:r>
      <w:r>
        <w:t xml:space="preserve"> of coupling in a closed loop, treating the controller’s suppression of an information pathway as the observable of interest, and its failure to suppress as a fault signal.</w:t>
      </w:r>
    </w:p>
    <w:p w14:paraId="584CE99F" w14:textId="77777777" w:rsidR="000A2783" w:rsidRDefault="00000000">
      <w:pPr>
        <w:pStyle w:val="BodyText"/>
      </w:pPr>
      <w:r>
        <w:t>A limitation of pairwise TE is that it cannot separate redundant, unique, and synergistic contributions when several sources jointly drive a target. The SURD framework (Martínez-Sánchez et al., 2024) resolves this by decomposing the information several sources jointly provide about a target’s future into those distinct components. SURD is used not as the primary metric but as an attribution tool: it allows asking whether the wind information that never reaches the platform is instead being captured by the blade-pitch command; the decomposition and its operating parameters are detailed in Section 2.7.</w:t>
      </w:r>
    </w:p>
    <w:p w14:paraId="19AB5EE4" w14:textId="77777777" w:rsidR="000A2783" w:rsidRDefault="00000000">
      <w:pPr>
        <w:pStyle w:val="Heading3"/>
      </w:pPr>
      <w:bookmarkStart w:id="5" w:name="turbine-model-and-simulation-campaign"/>
      <w:bookmarkEnd w:id="4"/>
      <w:r>
        <w:t>2.2 Turbine model and simulation campaign</w:t>
      </w:r>
    </w:p>
    <w:p w14:paraId="5E641A68" w14:textId="77777777" w:rsidR="000A2783" w:rsidRDefault="00000000">
      <w:pPr>
        <w:pStyle w:val="FirstParagraph"/>
      </w:pPr>
      <w:r>
        <w:t>The plant is the IEA Wind 15-MW reference turbine (Gaertner et al., 2020), with a rated wind speed of 10.59 m/s, mounted on the UMaine VolturnUS-S reference semisubmersible (Allen et al., 2020), simulated in OpenFAST v4.2.0 (NREL, n.d.) with the ROSCO reference controller (Abbas et al., 2022). The controller (ROSCO 2.10.1) runs with its floating-specific feedback active (</w:t>
      </w:r>
      <w:r>
        <w:rPr>
          <w:rStyle w:val="VerbatimChar"/>
        </w:rPr>
        <w:t>Fl_Mode = 2</w:t>
      </w:r>
      <w:r>
        <w:t xml:space="preserve">, nacelle-pitching-velocity feedback, gain </w:t>
      </w:r>
      <m:oMath>
        <m:r>
          <m:rPr>
            <m:sty m:val="p"/>
          </m:rPr>
          <w:rPr>
            <w:rFonts w:ascii="Cambria Math" w:hAnsi="Cambria Math"/>
          </w:rPr>
          <m:t>-</m:t>
        </m:r>
        <m:r>
          <w:rPr>
            <w:rFonts w:ascii="Cambria Math" w:hAnsi="Cambria Math"/>
          </w:rPr>
          <m:t>9.2</m:t>
        </m:r>
      </m:oMath>
      <w:r>
        <w:t xml:space="preserve"> s) and set-point smoothing enabled (</w:t>
      </w:r>
      <w:r>
        <w:rPr>
          <w:rStyle w:val="VerbatimChar"/>
        </w:rPr>
        <w:t>SS_Mode = 1</w:t>
      </w:r>
      <w:r>
        <w:t xml:space="preserve">) — the loops that suppress the pitch-to-platform coupling on which the firewall depends, so the firewall is a property of a controller configured as a floating controller should be, not of an unaugmented land-based tuning. Platform hydrodynamics use potential-flow loading with full difference-frequency second-order (QTF) wave forces (HydroDyn </w:t>
      </w:r>
      <w:r>
        <w:rPr>
          <w:rStyle w:val="VerbatimChar"/>
        </w:rPr>
        <w:t>PotMod = 1</w:t>
      </w:r>
      <w:r>
        <w:t xml:space="preserve">, </w:t>
      </w:r>
      <w:r>
        <w:rPr>
          <w:rStyle w:val="VerbatimChar"/>
        </w:rPr>
        <w:t>DiffQTF = 12</w:t>
      </w:r>
      <w:r>
        <w:t xml:space="preserve">, </w:t>
      </w:r>
      <w:r>
        <w:rPr>
          <w:rStyle w:val="VerbatimChar"/>
        </w:rPr>
        <w:t>SumQTF = 0</w:t>
      </w:r>
      <w:r>
        <w:t>), so the sub-wave-frequency drift excitation of the lightly damped platform-pitch mode — the mechanism behind the dominant wave→platform coupling reported below — is represented by the model rather than assumed. Aero-hydro-servo-elastic coupling captures the interaction of turbulent wind, irregular waves, blade-pitch control, and platform and mooring dynamics. The coupled module structure is shown in Figure 2: external conditions — turbulent wind from TurbSim/InflowWind and irregular waves from SeaState — set the applied loads through AeroDyn 15 (blade-element momentum with Prandtl tip-loss and a dynamic-wake model) and HydroDyn, and these drive the wind-turbine dynamics, comprising ServoDyn with the ROSCO controller, the ElastoDyn structural response of the blades, tower, nacelle and platform, and MoorDyn dynamic mooring cross-checked quasi-statically with MoorPy. The blades are represented with ElastoDyn rather than BeamDyn, and OpenFAST orchestrates the coupled time-step integration.</w:t>
      </w:r>
    </w:p>
    <w:p w14:paraId="4155EFDB" w14:textId="77777777" w:rsidR="00F44868" w:rsidRDefault="00000000">
      <w:pPr>
        <w:pStyle w:val="BodyText"/>
        <w:jc w:val="center"/>
      </w:pPr>
      <w:r>
        <w:rPr>
          <w:noProof/>
        </w:rPr>
        <w:lastRenderedPageBreak/>
        <w:drawing>
          <wp:inline distT="0" distB="0" distL="0" distR="0" wp14:anchorId="4970CC71" wp14:editId="075FE5A5">
            <wp:extent cx="5334000" cy="3145749"/>
            <wp:effectExtent l="0" t="0" r="0" b="0"/>
            <wp:docPr id="200" name="Picture Fig2"/>
            <wp:cNvGraphicFramePr/>
            <a:graphic xmlns:a="http://schemas.openxmlformats.org/drawingml/2006/main">
              <a:graphicData uri="http://schemas.openxmlformats.org/drawingml/2006/picture">
                <pic:pic xmlns:pic="http://schemas.openxmlformats.org/drawingml/2006/picture">
                  <pic:nvPicPr>
                    <pic:cNvPr id="201" name="Picture Fig2" descr="figs/fig0-openfast-modules.png"/>
                    <pic:cNvPicPr>
                      <a:picLocks noChangeAspect="1" noChangeArrowheads="1"/>
                    </pic:cNvPicPr>
                  </pic:nvPicPr>
                  <pic:blipFill>
                    <a:blip r:embed="rId7"/>
                    <a:stretch>
                      <a:fillRect/>
                    </a:stretch>
                  </pic:blipFill>
                  <pic:spPr bwMode="auto">
                    <a:xfrm>
                      <a:off x="0" y="0"/>
                      <a:ext cx="5334000" cy="3145749"/>
                    </a:xfrm>
                    <a:prstGeom prst="rect">
                      <a:avLst/>
                    </a:prstGeom>
                    <a:noFill/>
                    <a:ln w="9525">
                      <a:noFill/>
                      <a:headEnd/>
                      <a:tailEnd/>
                    </a:ln>
                  </pic:spPr>
                </pic:pic>
              </a:graphicData>
            </a:graphic>
          </wp:inline>
        </w:drawing>
      </w:r>
    </w:p>
    <w:p w14:paraId="18DF89DD" w14:textId="77777777" w:rsidR="00F44868" w:rsidRDefault="00000000">
      <w:pPr>
        <w:pStyle w:val="BodyText"/>
      </w:pPr>
      <w:r>
        <w:rPr>
          <w:b/>
          <w:bCs/>
        </w:rPr>
        <w:t>Figure 2.</w:t>
      </w:r>
      <w:r>
        <w:t xml:space="preserve"> OpenFAST coupled aero-hydro-servo-elastic model — the modules used in this work and their coupling.</w:t>
      </w:r>
    </w:p>
    <w:p w14:paraId="52B8ACF0" w14:textId="77777777" w:rsidR="000A2783" w:rsidRDefault="00000000">
      <w:pPr>
        <w:pStyle w:val="BodyText"/>
      </w:pPr>
      <w:r>
        <w:t xml:space="preserve">The campaign spans four hub-height wind speeds from below-rated to well-above-rated operation — 8, 11, 15, and 20 m/s — under the IEC normal turbulence model. Each wind speed is repeated over six turbulence/wave seeds in two wave-realization variants — in the first the wave seed is tied to the wind seed (paired realizations), in the second it is decoupled by a fixed bit-mask, so the variants share identical wind fields but statistically independent wave realizations (48 simulations); to these is added a design-load-case 1.6 severe-sea-state set (significant wave height 8.3 m, peak period 12.95 s) at 11 m/s over six seeds (6 simulations), for 54 analyzed simulations in total. Figure 3 shows the case matrix. Turbulent wind fields are generated per IEC 61400 conventions. Irregular waves use a JONSWAP spectrum whose parameters are matched to the nominal wind speed, approximating joint wind–wave statistics for North-Atlantic wind seas: significant wave height and peak period (Hs, Tp) = (3.5 m, 9.0 s), (4.5 m, 10.0 s), (6.0 m, 11.0 s), and (8.0 m, 13.0 s) at 8, 11, 15, and 20 m/s respectively, with the DLC 1.6 set at (8.3 m, 12.95 s). The resulting wave spectral peaks (0.077–0.111 Hz) are well separated from the platform-pitch eigenfrequency at 0.0345 Hz, so wave- and platform-driven contributions can be resolved. Wind and waves are co-directional in all cases; wind–wave misalignment and directional spreading, which would redistribute platform pitch and roll and alter the wave→platform coupling that defines the baseline here, are outside the present scope. The semisubmersible is held by a three-line catenary mooring, and the three fairlead tensions are analyzed as separate targets so that the propagation of forcing into the mooring system is visible rather than aggregated. Each run is analyzed over a 15,001-sample window (≈ 50 min at the 5 Hz analysis rate) after removal of the initial start-up transient, long enough to contain many cycles of the slowest platform mode and to support stable nearest-neighbor density estimates. Each simulation provides synchronized time series of the environmental drivers (the rotor-averaged wind speed </w:t>
      </w:r>
      <w:r>
        <w:rPr>
          <w:rStyle w:val="VerbatimChar"/>
        </w:rPr>
        <w:t>RtVAvgxh</w:t>
      </w:r>
      <w:r>
        <w:t xml:space="preserve">, used as the primary wind source for the directed analysis; the hub-height point wind speed </w:t>
      </w:r>
      <w:r>
        <w:rPr>
          <w:rStyle w:val="VerbatimChar"/>
        </w:rPr>
        <w:t>Wind1VelX</w:t>
      </w:r>
      <w:r>
        <w:t xml:space="preserve">, retained as a single-sensor contrast that exposes the point-measurement limitation of Section 3.1; and wave elevation </w:t>
      </w:r>
      <w:r>
        <w:rPr>
          <w:rStyle w:val="VerbatimChar"/>
        </w:rPr>
        <w:t>Wave1Elev</w:t>
      </w:r>
      <w:r>
        <w:t>), the platform response (</w:t>
      </w:r>
      <w:r>
        <w:rPr>
          <w:rStyle w:val="VerbatimChar"/>
        </w:rPr>
        <w:t>PtfmSurge</w:t>
      </w:r>
      <w:r>
        <w:t xml:space="preserve">, </w:t>
      </w:r>
      <w:r>
        <w:rPr>
          <w:rStyle w:val="VerbatimChar"/>
        </w:rPr>
        <w:t>PtfmHeave</w:t>
      </w:r>
      <w:r>
        <w:t xml:space="preserve">, </w:t>
      </w:r>
      <w:r>
        <w:rPr>
          <w:rStyle w:val="VerbatimChar"/>
        </w:rPr>
        <w:lastRenderedPageBreak/>
        <w:t>PtfmPitch</w:t>
      </w:r>
      <w:r>
        <w:t>), fairlead mooring tensions (</w:t>
      </w:r>
      <w:r>
        <w:rPr>
          <w:rStyle w:val="VerbatimChar"/>
        </w:rPr>
        <w:t>FAIRTEN1</w:t>
      </w:r>
      <w:r>
        <w:t>–</w:t>
      </w:r>
      <w:r>
        <w:rPr>
          <w:rStyle w:val="VerbatimChar"/>
        </w:rPr>
        <w:t>FAIRTEN3</w:t>
      </w:r>
      <w:r>
        <w:t>), blade-root moments (</w:t>
      </w:r>
      <w:r>
        <w:rPr>
          <w:rStyle w:val="VerbatimChar"/>
        </w:rPr>
        <w:t>RootMxc1</w:t>
      </w:r>
      <w:r>
        <w:t xml:space="preserve">, </w:t>
      </w:r>
      <w:r>
        <w:rPr>
          <w:rStyle w:val="VerbatimChar"/>
        </w:rPr>
        <w:t>RootMyc1</w:t>
      </w:r>
      <w:r>
        <w:t>), tower-base fore-aft moment (</w:t>
      </w:r>
      <w:r>
        <w:rPr>
          <w:rStyle w:val="VerbatimChar"/>
        </w:rPr>
        <w:t>TwrBsMyt</w:t>
      </w:r>
      <w:r>
        <w:t>), and the control/intermediate variables blade pitch (</w:t>
      </w:r>
      <w:r>
        <w:rPr>
          <w:rStyle w:val="VerbatimChar"/>
        </w:rPr>
        <w:t>BldPitch1</w:t>
      </w:r>
      <w:r>
        <w:t>) and rotor thrust (</w:t>
      </w:r>
      <w:r>
        <w:rPr>
          <w:rStyle w:val="VerbatimChar"/>
        </w:rPr>
        <w:t>RotThrust</w:t>
      </w:r>
      <w:r>
        <w:t>). Table 1 defines each monitored channel with its physical quantity, units, and role in the analysis.</w:t>
      </w:r>
    </w:p>
    <w:p w14:paraId="11CF623C" w14:textId="77777777" w:rsidR="000A2783" w:rsidRDefault="00000000">
      <w:pPr>
        <w:pStyle w:val="BodyText"/>
      </w:pPr>
      <w:r>
        <w:rPr>
          <w:b/>
          <w:bCs/>
        </w:rPr>
        <w:t>Table 1.</w:t>
      </w:r>
      <w:r>
        <w:t xml:space="preserve"> Monitored OpenFAST output channels — the environmental drivers, platform and structural responses, and control/intermediate signals used throughout the analysis — with their physical quantity, units, and role. Units are as written by the simulation output (fairlead tensions in N, moments in kN·m).</w:t>
      </w:r>
    </w:p>
    <w:tbl>
      <w:tblPr>
        <w:tblStyle w:val="Table"/>
        <w:tblW w:w="4494" w:type="pct"/>
        <w:tblLayout w:type="fixed"/>
        <w:tblLook w:val="0020" w:firstRow="1" w:lastRow="0" w:firstColumn="0" w:lastColumn="0" w:noHBand="0" w:noVBand="0"/>
      </w:tblPr>
      <w:tblGrid>
        <w:gridCol w:w="1425"/>
        <w:gridCol w:w="2394"/>
        <w:gridCol w:w="2394"/>
        <w:gridCol w:w="2394"/>
      </w:tblGrid>
      <w:tr w:rsidR="000A2783" w14:paraId="41A55F02" w14:textId="77777777" w:rsidTr="006E3FC9">
        <w:trPr>
          <w:cnfStyle w:val="100000000000" w:firstRow="1" w:lastRow="0" w:firstColumn="0" w:lastColumn="0" w:oddVBand="0" w:evenVBand="0" w:oddHBand="0" w:evenHBand="0" w:firstRowFirstColumn="0" w:firstRowLastColumn="0" w:lastRowFirstColumn="0" w:lastRowLastColumn="0"/>
          <w:tblHeader/>
        </w:trPr>
        <w:tc>
          <w:tcPr>
            <w:tcW w:w="1425" w:type="dxa"/>
            <w:tcBorders>
              <w:top w:val="nil"/>
              <w:bottom w:val="nil"/>
            </w:tcBorders>
          </w:tcPr>
          <w:p w14:paraId="5BF8529D" w14:textId="77777777" w:rsidR="000A2783" w:rsidRDefault="00000000">
            <w:pPr>
              <w:pStyle w:val="Compact"/>
            </w:pPr>
            <w:r>
              <w:t>Channel</w:t>
            </w:r>
          </w:p>
        </w:tc>
        <w:tc>
          <w:tcPr>
            <w:tcW w:w="2394" w:type="dxa"/>
            <w:tcBorders>
              <w:top w:val="nil"/>
              <w:bottom w:val="nil"/>
            </w:tcBorders>
          </w:tcPr>
          <w:p w14:paraId="6086416D" w14:textId="77777777" w:rsidR="000A2783" w:rsidRDefault="00000000">
            <w:pPr>
              <w:pStyle w:val="Compact"/>
            </w:pPr>
            <w:r>
              <w:t>Physical quantity</w:t>
            </w:r>
          </w:p>
        </w:tc>
        <w:tc>
          <w:tcPr>
            <w:tcW w:w="2394" w:type="dxa"/>
            <w:tcBorders>
              <w:top w:val="nil"/>
              <w:bottom w:val="nil"/>
            </w:tcBorders>
          </w:tcPr>
          <w:p w14:paraId="1988DE1F" w14:textId="77777777" w:rsidR="000A2783" w:rsidRDefault="00000000">
            <w:pPr>
              <w:pStyle w:val="Compact"/>
            </w:pPr>
            <w:r>
              <w:t>Units</w:t>
            </w:r>
          </w:p>
        </w:tc>
        <w:tc>
          <w:tcPr>
            <w:tcW w:w="2394" w:type="dxa"/>
            <w:tcBorders>
              <w:top w:val="nil"/>
              <w:bottom w:val="nil"/>
            </w:tcBorders>
          </w:tcPr>
          <w:p w14:paraId="32BE17D7" w14:textId="77777777" w:rsidR="000A2783" w:rsidRDefault="00000000">
            <w:pPr>
              <w:pStyle w:val="Compact"/>
            </w:pPr>
            <w:r>
              <w:t>Role</w:t>
            </w:r>
          </w:p>
        </w:tc>
      </w:tr>
      <w:tr w:rsidR="000A2783" w14:paraId="0A1B2C31" w14:textId="77777777" w:rsidTr="006E3FC9">
        <w:tc>
          <w:tcPr>
            <w:tcW w:w="1425" w:type="dxa"/>
            <w:tcBorders>
              <w:top w:val="nil"/>
            </w:tcBorders>
          </w:tcPr>
          <w:p w14:paraId="0A1B2C32" w14:textId="77777777" w:rsidR="000A2783" w:rsidRDefault="00000000">
            <w:pPr>
              <w:pStyle w:val="Compact"/>
            </w:pPr>
            <w:r>
              <w:rPr>
                <w:rStyle w:val="VerbatimChar"/>
              </w:rPr>
              <w:t>RtVAvgxh</w:t>
            </w:r>
          </w:p>
        </w:tc>
        <w:tc>
          <w:tcPr>
            <w:tcW w:w="2394" w:type="dxa"/>
            <w:tcBorders>
              <w:top w:val="nil"/>
            </w:tcBorders>
          </w:tcPr>
          <w:p w14:paraId="0A1B2C33" w14:textId="77777777" w:rsidR="000A2783" w:rsidRDefault="00000000">
            <w:pPr>
              <w:pStyle w:val="Compact"/>
            </w:pPr>
            <w:r>
              <w:t>Rotor-averaged (rotor-effective) longitudinal wind speed</w:t>
            </w:r>
          </w:p>
        </w:tc>
        <w:tc>
          <w:tcPr>
            <w:tcW w:w="2394" w:type="dxa"/>
            <w:tcBorders>
              <w:top w:val="nil"/>
            </w:tcBorders>
          </w:tcPr>
          <w:p w14:paraId="0A1B2C34" w14:textId="77777777" w:rsidR="000A2783" w:rsidRDefault="00000000">
            <w:pPr>
              <w:pStyle w:val="Compact"/>
            </w:pPr>
            <w:r>
              <w:t>m/s</w:t>
            </w:r>
          </w:p>
        </w:tc>
        <w:tc>
          <w:tcPr>
            <w:tcW w:w="2394" w:type="dxa"/>
            <w:tcBorders>
              <w:top w:val="nil"/>
            </w:tcBorders>
          </w:tcPr>
          <w:p w14:paraId="0A1B2C35" w14:textId="77777777" w:rsidR="000A2783" w:rsidRDefault="00000000">
            <w:pPr>
              <w:pStyle w:val="Compact"/>
            </w:pPr>
            <w:r>
              <w:t>Environmental driver (primary source)</w:t>
            </w:r>
          </w:p>
        </w:tc>
      </w:tr>
      <w:tr w:rsidR="000A2783" w14:paraId="05DAD39E" w14:textId="77777777" w:rsidTr="006E3FC9">
        <w:tc>
          <w:tcPr>
            <w:tcW w:w="1425" w:type="dxa"/>
            <w:tcBorders>
              <w:top w:val="nil"/>
            </w:tcBorders>
          </w:tcPr>
          <w:p w14:paraId="003AA9A5" w14:textId="77777777" w:rsidR="000A2783" w:rsidRDefault="00000000">
            <w:pPr>
              <w:pStyle w:val="Compact"/>
            </w:pPr>
            <w:r>
              <w:rPr>
                <w:rStyle w:val="VerbatimChar"/>
              </w:rPr>
              <w:t>Wind1VelX</w:t>
            </w:r>
          </w:p>
        </w:tc>
        <w:tc>
          <w:tcPr>
            <w:tcW w:w="2394" w:type="dxa"/>
            <w:tcBorders>
              <w:top w:val="nil"/>
            </w:tcBorders>
          </w:tcPr>
          <w:p w14:paraId="658AD137" w14:textId="77777777" w:rsidR="000A2783" w:rsidRDefault="00000000">
            <w:pPr>
              <w:pStyle w:val="Compact"/>
            </w:pPr>
            <w:r>
              <w:t>Hub-height longitudinal wind speed</w:t>
            </w:r>
          </w:p>
        </w:tc>
        <w:tc>
          <w:tcPr>
            <w:tcW w:w="2394" w:type="dxa"/>
            <w:tcBorders>
              <w:top w:val="nil"/>
            </w:tcBorders>
          </w:tcPr>
          <w:p w14:paraId="1989269E" w14:textId="77777777" w:rsidR="000A2783" w:rsidRDefault="00000000">
            <w:pPr>
              <w:pStyle w:val="Compact"/>
            </w:pPr>
            <w:r>
              <w:t>m/s</w:t>
            </w:r>
          </w:p>
        </w:tc>
        <w:tc>
          <w:tcPr>
            <w:tcW w:w="2394" w:type="dxa"/>
            <w:tcBorders>
              <w:top w:val="nil"/>
            </w:tcBorders>
          </w:tcPr>
          <w:p w14:paraId="3D9B3206" w14:textId="77777777" w:rsidR="000A2783" w:rsidRDefault="00000000">
            <w:pPr>
              <w:pStyle w:val="Compact"/>
            </w:pPr>
            <w:r>
              <w:t>Environmental driver (point-sensor contrast)</w:t>
            </w:r>
          </w:p>
        </w:tc>
      </w:tr>
      <w:tr w:rsidR="000A2783" w14:paraId="51DB027A" w14:textId="77777777" w:rsidTr="006E3FC9">
        <w:tc>
          <w:tcPr>
            <w:tcW w:w="1425" w:type="dxa"/>
          </w:tcPr>
          <w:p w14:paraId="36F51A28" w14:textId="77777777" w:rsidR="000A2783" w:rsidRDefault="00000000">
            <w:pPr>
              <w:pStyle w:val="Compact"/>
            </w:pPr>
            <w:r>
              <w:rPr>
                <w:rStyle w:val="VerbatimChar"/>
              </w:rPr>
              <w:t>Wave1Elev</w:t>
            </w:r>
          </w:p>
        </w:tc>
        <w:tc>
          <w:tcPr>
            <w:tcW w:w="2394" w:type="dxa"/>
          </w:tcPr>
          <w:p w14:paraId="73F94E7D" w14:textId="77777777" w:rsidR="000A2783" w:rsidRDefault="00000000">
            <w:pPr>
              <w:pStyle w:val="Compact"/>
            </w:pPr>
            <w:r>
              <w:t>Wave elevation at the platform reference point</w:t>
            </w:r>
          </w:p>
        </w:tc>
        <w:tc>
          <w:tcPr>
            <w:tcW w:w="2394" w:type="dxa"/>
          </w:tcPr>
          <w:p w14:paraId="3E450912" w14:textId="77777777" w:rsidR="000A2783" w:rsidRDefault="00000000">
            <w:pPr>
              <w:pStyle w:val="Compact"/>
            </w:pPr>
            <w:r>
              <w:t>m</w:t>
            </w:r>
          </w:p>
        </w:tc>
        <w:tc>
          <w:tcPr>
            <w:tcW w:w="2394" w:type="dxa"/>
          </w:tcPr>
          <w:p w14:paraId="7979D486" w14:textId="77777777" w:rsidR="000A2783" w:rsidRDefault="00000000">
            <w:pPr>
              <w:pStyle w:val="Compact"/>
            </w:pPr>
            <w:r>
              <w:t>Environmental driver (source)</w:t>
            </w:r>
          </w:p>
        </w:tc>
      </w:tr>
      <w:tr w:rsidR="000A2783" w14:paraId="47A3D135" w14:textId="77777777" w:rsidTr="006E3FC9">
        <w:tc>
          <w:tcPr>
            <w:tcW w:w="1425" w:type="dxa"/>
          </w:tcPr>
          <w:p w14:paraId="59FAEE71" w14:textId="77777777" w:rsidR="000A2783" w:rsidRDefault="00000000">
            <w:pPr>
              <w:pStyle w:val="Compact"/>
            </w:pPr>
            <w:r>
              <w:rPr>
                <w:rStyle w:val="VerbatimChar"/>
              </w:rPr>
              <w:t>PtfmSurge</w:t>
            </w:r>
          </w:p>
        </w:tc>
        <w:tc>
          <w:tcPr>
            <w:tcW w:w="2394" w:type="dxa"/>
          </w:tcPr>
          <w:p w14:paraId="0A9A4304" w14:textId="77777777" w:rsidR="000A2783" w:rsidRDefault="00000000">
            <w:pPr>
              <w:pStyle w:val="Compact"/>
            </w:pPr>
            <w:r>
              <w:t>Platform surge displacement</w:t>
            </w:r>
          </w:p>
        </w:tc>
        <w:tc>
          <w:tcPr>
            <w:tcW w:w="2394" w:type="dxa"/>
          </w:tcPr>
          <w:p w14:paraId="5B099B63" w14:textId="77777777" w:rsidR="000A2783" w:rsidRDefault="00000000">
            <w:pPr>
              <w:pStyle w:val="Compact"/>
            </w:pPr>
            <w:r>
              <w:t>m</w:t>
            </w:r>
          </w:p>
        </w:tc>
        <w:tc>
          <w:tcPr>
            <w:tcW w:w="2394" w:type="dxa"/>
          </w:tcPr>
          <w:p w14:paraId="1A9B01E1" w14:textId="77777777" w:rsidR="000A2783" w:rsidRDefault="00000000">
            <w:pPr>
              <w:pStyle w:val="Compact"/>
            </w:pPr>
            <w:r>
              <w:t>Platform response (target)</w:t>
            </w:r>
          </w:p>
        </w:tc>
      </w:tr>
      <w:tr w:rsidR="000A2783" w14:paraId="619C7A96" w14:textId="77777777" w:rsidTr="006E3FC9">
        <w:tc>
          <w:tcPr>
            <w:tcW w:w="1425" w:type="dxa"/>
          </w:tcPr>
          <w:p w14:paraId="729DA821" w14:textId="77777777" w:rsidR="000A2783" w:rsidRDefault="00000000">
            <w:pPr>
              <w:pStyle w:val="Compact"/>
            </w:pPr>
            <w:r>
              <w:rPr>
                <w:rStyle w:val="VerbatimChar"/>
              </w:rPr>
              <w:t>PtfmHeave</w:t>
            </w:r>
          </w:p>
        </w:tc>
        <w:tc>
          <w:tcPr>
            <w:tcW w:w="2394" w:type="dxa"/>
          </w:tcPr>
          <w:p w14:paraId="2547FDF0" w14:textId="77777777" w:rsidR="000A2783" w:rsidRDefault="00000000">
            <w:pPr>
              <w:pStyle w:val="Compact"/>
            </w:pPr>
            <w:r>
              <w:t>Platform heave displacement</w:t>
            </w:r>
          </w:p>
        </w:tc>
        <w:tc>
          <w:tcPr>
            <w:tcW w:w="2394" w:type="dxa"/>
          </w:tcPr>
          <w:p w14:paraId="55E5B515" w14:textId="77777777" w:rsidR="000A2783" w:rsidRDefault="00000000">
            <w:pPr>
              <w:pStyle w:val="Compact"/>
            </w:pPr>
            <w:r>
              <w:t>m</w:t>
            </w:r>
          </w:p>
        </w:tc>
        <w:tc>
          <w:tcPr>
            <w:tcW w:w="2394" w:type="dxa"/>
          </w:tcPr>
          <w:p w14:paraId="6860B8C0" w14:textId="77777777" w:rsidR="000A2783" w:rsidRDefault="00000000">
            <w:pPr>
              <w:pStyle w:val="Compact"/>
            </w:pPr>
            <w:r>
              <w:t>Platform response (target)</w:t>
            </w:r>
          </w:p>
        </w:tc>
      </w:tr>
      <w:tr w:rsidR="000A2783" w14:paraId="12A6040F" w14:textId="77777777" w:rsidTr="006E3FC9">
        <w:tc>
          <w:tcPr>
            <w:tcW w:w="1425" w:type="dxa"/>
          </w:tcPr>
          <w:p w14:paraId="4B17A85B" w14:textId="77777777" w:rsidR="000A2783" w:rsidRDefault="00000000">
            <w:pPr>
              <w:pStyle w:val="Compact"/>
            </w:pPr>
            <w:r>
              <w:rPr>
                <w:rStyle w:val="VerbatimChar"/>
              </w:rPr>
              <w:t>PtfmPitch</w:t>
            </w:r>
          </w:p>
        </w:tc>
        <w:tc>
          <w:tcPr>
            <w:tcW w:w="2394" w:type="dxa"/>
          </w:tcPr>
          <w:p w14:paraId="65A2790F" w14:textId="77777777" w:rsidR="000A2783" w:rsidRDefault="00000000">
            <w:pPr>
              <w:pStyle w:val="Compact"/>
            </w:pPr>
            <w:r>
              <w:t>Platform pitch rotation</w:t>
            </w:r>
          </w:p>
        </w:tc>
        <w:tc>
          <w:tcPr>
            <w:tcW w:w="2394" w:type="dxa"/>
          </w:tcPr>
          <w:p w14:paraId="250B11A9" w14:textId="77777777" w:rsidR="000A2783" w:rsidRDefault="00000000">
            <w:pPr>
              <w:pStyle w:val="Compact"/>
            </w:pPr>
            <w:r>
              <w:t>deg</w:t>
            </w:r>
          </w:p>
        </w:tc>
        <w:tc>
          <w:tcPr>
            <w:tcW w:w="2394" w:type="dxa"/>
          </w:tcPr>
          <w:p w14:paraId="34B158BC" w14:textId="77777777" w:rsidR="000A2783" w:rsidRDefault="00000000">
            <w:pPr>
              <w:pStyle w:val="Compact"/>
            </w:pPr>
            <w:r>
              <w:t>Platform response (target)</w:t>
            </w:r>
          </w:p>
        </w:tc>
      </w:tr>
      <w:tr w:rsidR="000A2783" w14:paraId="7E029503" w14:textId="77777777" w:rsidTr="006E3FC9">
        <w:tc>
          <w:tcPr>
            <w:tcW w:w="1425" w:type="dxa"/>
          </w:tcPr>
          <w:p w14:paraId="05F66C2C" w14:textId="77777777" w:rsidR="000A2783" w:rsidRDefault="00000000">
            <w:pPr>
              <w:pStyle w:val="Compact"/>
            </w:pPr>
            <w:r>
              <w:rPr>
                <w:rStyle w:val="VerbatimChar"/>
              </w:rPr>
              <w:t>FAIRTEN1</w:t>
            </w:r>
          </w:p>
        </w:tc>
        <w:tc>
          <w:tcPr>
            <w:tcW w:w="2394" w:type="dxa"/>
          </w:tcPr>
          <w:p w14:paraId="59A09AB7" w14:textId="77777777" w:rsidR="000A2783" w:rsidRDefault="00000000">
            <w:pPr>
              <w:pStyle w:val="Compact"/>
            </w:pPr>
            <w:r>
              <w:t>Fairlead tension, up-wave mooring line</w:t>
            </w:r>
          </w:p>
        </w:tc>
        <w:tc>
          <w:tcPr>
            <w:tcW w:w="2394" w:type="dxa"/>
          </w:tcPr>
          <w:p w14:paraId="015C4A4E" w14:textId="77777777" w:rsidR="000A2783" w:rsidRDefault="00000000">
            <w:pPr>
              <w:pStyle w:val="Compact"/>
            </w:pPr>
            <w:r>
              <w:t>N</w:t>
            </w:r>
          </w:p>
        </w:tc>
        <w:tc>
          <w:tcPr>
            <w:tcW w:w="2394" w:type="dxa"/>
          </w:tcPr>
          <w:p w14:paraId="4C9B546C" w14:textId="77777777" w:rsidR="000A2783" w:rsidRDefault="00000000">
            <w:pPr>
              <w:pStyle w:val="Compact"/>
            </w:pPr>
            <w:r>
              <w:t>Mooring response (target)</w:t>
            </w:r>
          </w:p>
        </w:tc>
      </w:tr>
      <w:tr w:rsidR="000A2783" w14:paraId="0F013F57" w14:textId="77777777" w:rsidTr="006E3FC9">
        <w:tc>
          <w:tcPr>
            <w:tcW w:w="1425" w:type="dxa"/>
          </w:tcPr>
          <w:p w14:paraId="441BA154" w14:textId="77777777" w:rsidR="000A2783" w:rsidRDefault="00000000">
            <w:pPr>
              <w:pStyle w:val="Compact"/>
            </w:pPr>
            <w:r>
              <w:rPr>
                <w:rStyle w:val="VerbatimChar"/>
              </w:rPr>
              <w:t>FAIRTEN2</w:t>
            </w:r>
          </w:p>
        </w:tc>
        <w:tc>
          <w:tcPr>
            <w:tcW w:w="2394" w:type="dxa"/>
          </w:tcPr>
          <w:p w14:paraId="7308FC7D" w14:textId="77777777" w:rsidR="000A2783" w:rsidRDefault="00000000">
            <w:pPr>
              <w:pStyle w:val="Compact"/>
            </w:pPr>
            <w:r>
              <w:t>Fairlead tension, down-wave mooring line</w:t>
            </w:r>
          </w:p>
        </w:tc>
        <w:tc>
          <w:tcPr>
            <w:tcW w:w="2394" w:type="dxa"/>
          </w:tcPr>
          <w:p w14:paraId="3ACB339B" w14:textId="77777777" w:rsidR="000A2783" w:rsidRDefault="00000000">
            <w:pPr>
              <w:pStyle w:val="Compact"/>
            </w:pPr>
            <w:r>
              <w:t>N</w:t>
            </w:r>
          </w:p>
        </w:tc>
        <w:tc>
          <w:tcPr>
            <w:tcW w:w="2394" w:type="dxa"/>
          </w:tcPr>
          <w:p w14:paraId="2087A63D" w14:textId="77777777" w:rsidR="000A2783" w:rsidRDefault="00000000">
            <w:pPr>
              <w:pStyle w:val="Compact"/>
            </w:pPr>
            <w:r>
              <w:t>Mooring response (target)</w:t>
            </w:r>
          </w:p>
        </w:tc>
      </w:tr>
      <w:tr w:rsidR="000A2783" w14:paraId="11E005B1" w14:textId="77777777" w:rsidTr="006E3FC9">
        <w:tc>
          <w:tcPr>
            <w:tcW w:w="1425" w:type="dxa"/>
          </w:tcPr>
          <w:p w14:paraId="3DE7A387" w14:textId="77777777" w:rsidR="000A2783" w:rsidRDefault="00000000">
            <w:pPr>
              <w:pStyle w:val="Compact"/>
            </w:pPr>
            <w:r>
              <w:rPr>
                <w:rStyle w:val="VerbatimChar"/>
              </w:rPr>
              <w:t>FAIRTEN3</w:t>
            </w:r>
          </w:p>
        </w:tc>
        <w:tc>
          <w:tcPr>
            <w:tcW w:w="2394" w:type="dxa"/>
          </w:tcPr>
          <w:p w14:paraId="7A795159" w14:textId="77777777" w:rsidR="000A2783" w:rsidRDefault="00000000">
            <w:pPr>
              <w:pStyle w:val="Compact"/>
            </w:pPr>
            <w:r>
              <w:t>Fairlead tension, down-wave mooring line</w:t>
            </w:r>
          </w:p>
        </w:tc>
        <w:tc>
          <w:tcPr>
            <w:tcW w:w="2394" w:type="dxa"/>
          </w:tcPr>
          <w:p w14:paraId="1B32C556" w14:textId="77777777" w:rsidR="000A2783" w:rsidRDefault="00000000">
            <w:pPr>
              <w:pStyle w:val="Compact"/>
            </w:pPr>
            <w:r>
              <w:t>N</w:t>
            </w:r>
          </w:p>
        </w:tc>
        <w:tc>
          <w:tcPr>
            <w:tcW w:w="2394" w:type="dxa"/>
          </w:tcPr>
          <w:p w14:paraId="05C92D6B" w14:textId="77777777" w:rsidR="000A2783" w:rsidRDefault="00000000">
            <w:pPr>
              <w:pStyle w:val="Compact"/>
            </w:pPr>
            <w:r>
              <w:t>Mooring response (target)</w:t>
            </w:r>
          </w:p>
        </w:tc>
      </w:tr>
      <w:tr w:rsidR="000A2783" w14:paraId="798154D2" w14:textId="77777777" w:rsidTr="006E3FC9">
        <w:tc>
          <w:tcPr>
            <w:tcW w:w="1425" w:type="dxa"/>
          </w:tcPr>
          <w:p w14:paraId="5A470408" w14:textId="77777777" w:rsidR="000A2783" w:rsidRDefault="00000000">
            <w:pPr>
              <w:pStyle w:val="Compact"/>
            </w:pPr>
            <w:r>
              <w:rPr>
                <w:rStyle w:val="VerbatimChar"/>
              </w:rPr>
              <w:t>RootMxc1</w:t>
            </w:r>
          </w:p>
        </w:tc>
        <w:tc>
          <w:tcPr>
            <w:tcW w:w="2394" w:type="dxa"/>
          </w:tcPr>
          <w:p w14:paraId="7172919A" w14:textId="77777777" w:rsidR="000A2783" w:rsidRDefault="00000000">
            <w:pPr>
              <w:pStyle w:val="Compact"/>
            </w:pPr>
            <w:r>
              <w:t>Blade-1 root edgewise (in-plane) moment</w:t>
            </w:r>
          </w:p>
        </w:tc>
        <w:tc>
          <w:tcPr>
            <w:tcW w:w="2394" w:type="dxa"/>
          </w:tcPr>
          <w:p w14:paraId="5348B3F6" w14:textId="77777777" w:rsidR="000A2783" w:rsidRDefault="00000000">
            <w:pPr>
              <w:pStyle w:val="Compact"/>
            </w:pPr>
            <w:r>
              <w:t>kN·m</w:t>
            </w:r>
          </w:p>
        </w:tc>
        <w:tc>
          <w:tcPr>
            <w:tcW w:w="2394" w:type="dxa"/>
          </w:tcPr>
          <w:p w14:paraId="272CB751" w14:textId="77777777" w:rsidR="000A2783" w:rsidRDefault="00000000">
            <w:pPr>
              <w:pStyle w:val="Compact"/>
            </w:pPr>
            <w:r>
              <w:t>Structural response (target)</w:t>
            </w:r>
          </w:p>
        </w:tc>
      </w:tr>
      <w:tr w:rsidR="000A2783" w14:paraId="1D63574F" w14:textId="77777777" w:rsidTr="006E3FC9">
        <w:tc>
          <w:tcPr>
            <w:tcW w:w="1425" w:type="dxa"/>
          </w:tcPr>
          <w:p w14:paraId="719FF78B" w14:textId="77777777" w:rsidR="000A2783" w:rsidRDefault="00000000">
            <w:pPr>
              <w:pStyle w:val="Compact"/>
            </w:pPr>
            <w:r>
              <w:rPr>
                <w:rStyle w:val="VerbatimChar"/>
              </w:rPr>
              <w:t>RootMyc1</w:t>
            </w:r>
          </w:p>
        </w:tc>
        <w:tc>
          <w:tcPr>
            <w:tcW w:w="2394" w:type="dxa"/>
          </w:tcPr>
          <w:p w14:paraId="20E8880F" w14:textId="77777777" w:rsidR="000A2783" w:rsidRDefault="00000000">
            <w:pPr>
              <w:pStyle w:val="Compact"/>
            </w:pPr>
            <w:r>
              <w:t>Blade-1 root flapwise (out-of-plane) moment</w:t>
            </w:r>
          </w:p>
        </w:tc>
        <w:tc>
          <w:tcPr>
            <w:tcW w:w="2394" w:type="dxa"/>
          </w:tcPr>
          <w:p w14:paraId="13B864F8" w14:textId="77777777" w:rsidR="000A2783" w:rsidRDefault="00000000">
            <w:pPr>
              <w:pStyle w:val="Compact"/>
            </w:pPr>
            <w:r>
              <w:t>kN·m</w:t>
            </w:r>
          </w:p>
        </w:tc>
        <w:tc>
          <w:tcPr>
            <w:tcW w:w="2394" w:type="dxa"/>
          </w:tcPr>
          <w:p w14:paraId="24063671" w14:textId="77777777" w:rsidR="000A2783" w:rsidRDefault="00000000">
            <w:pPr>
              <w:pStyle w:val="Compact"/>
            </w:pPr>
            <w:r>
              <w:t>Structural response (target)</w:t>
            </w:r>
          </w:p>
        </w:tc>
      </w:tr>
      <w:tr w:rsidR="000A2783" w14:paraId="11D3498C" w14:textId="77777777" w:rsidTr="006E3FC9">
        <w:tc>
          <w:tcPr>
            <w:tcW w:w="1425" w:type="dxa"/>
          </w:tcPr>
          <w:p w14:paraId="07192567" w14:textId="77777777" w:rsidR="000A2783" w:rsidRDefault="00000000">
            <w:pPr>
              <w:pStyle w:val="Compact"/>
            </w:pPr>
            <w:r>
              <w:rPr>
                <w:rStyle w:val="VerbatimChar"/>
              </w:rPr>
              <w:t>TwrBsMyt</w:t>
            </w:r>
          </w:p>
        </w:tc>
        <w:tc>
          <w:tcPr>
            <w:tcW w:w="2394" w:type="dxa"/>
          </w:tcPr>
          <w:p w14:paraId="6ABCA0A1" w14:textId="77777777" w:rsidR="000A2783" w:rsidRDefault="00000000">
            <w:pPr>
              <w:pStyle w:val="Compact"/>
            </w:pPr>
            <w:r>
              <w:t>Tower-base fore-aft (pitching) moment</w:t>
            </w:r>
          </w:p>
        </w:tc>
        <w:tc>
          <w:tcPr>
            <w:tcW w:w="2394" w:type="dxa"/>
          </w:tcPr>
          <w:p w14:paraId="616B33E0" w14:textId="77777777" w:rsidR="000A2783" w:rsidRDefault="00000000">
            <w:pPr>
              <w:pStyle w:val="Compact"/>
            </w:pPr>
            <w:r>
              <w:t>kN·m</w:t>
            </w:r>
          </w:p>
        </w:tc>
        <w:tc>
          <w:tcPr>
            <w:tcW w:w="2394" w:type="dxa"/>
          </w:tcPr>
          <w:p w14:paraId="68B20E16" w14:textId="77777777" w:rsidR="000A2783" w:rsidRDefault="00000000">
            <w:pPr>
              <w:pStyle w:val="Compact"/>
            </w:pPr>
            <w:r>
              <w:t>Structural response (target)</w:t>
            </w:r>
          </w:p>
        </w:tc>
      </w:tr>
      <w:tr w:rsidR="000A2783" w14:paraId="7EBA9912" w14:textId="77777777" w:rsidTr="006E3FC9">
        <w:tc>
          <w:tcPr>
            <w:tcW w:w="1425" w:type="dxa"/>
          </w:tcPr>
          <w:p w14:paraId="71B93462" w14:textId="77777777" w:rsidR="000A2783" w:rsidRDefault="00000000">
            <w:pPr>
              <w:pStyle w:val="Compact"/>
            </w:pPr>
            <w:r>
              <w:rPr>
                <w:rStyle w:val="VerbatimChar"/>
              </w:rPr>
              <w:t>BldPitch1</w:t>
            </w:r>
          </w:p>
        </w:tc>
        <w:tc>
          <w:tcPr>
            <w:tcW w:w="2394" w:type="dxa"/>
          </w:tcPr>
          <w:p w14:paraId="691B7A1A" w14:textId="77777777" w:rsidR="000A2783" w:rsidRDefault="00000000">
            <w:pPr>
              <w:pStyle w:val="Compact"/>
            </w:pPr>
            <w:r>
              <w:t>Blade-1 collective pitch angle</w:t>
            </w:r>
          </w:p>
        </w:tc>
        <w:tc>
          <w:tcPr>
            <w:tcW w:w="2394" w:type="dxa"/>
          </w:tcPr>
          <w:p w14:paraId="5E2823DD" w14:textId="77777777" w:rsidR="000A2783" w:rsidRDefault="00000000">
            <w:pPr>
              <w:pStyle w:val="Compact"/>
            </w:pPr>
            <w:r>
              <w:t>deg</w:t>
            </w:r>
          </w:p>
        </w:tc>
        <w:tc>
          <w:tcPr>
            <w:tcW w:w="2394" w:type="dxa"/>
          </w:tcPr>
          <w:p w14:paraId="44F4CF1E" w14:textId="77777777" w:rsidR="000A2783" w:rsidRDefault="00000000">
            <w:pPr>
              <w:pStyle w:val="Compact"/>
            </w:pPr>
            <w:r>
              <w:t>Control / intermediate</w:t>
            </w:r>
          </w:p>
        </w:tc>
      </w:tr>
      <w:tr w:rsidR="000A2783" w14:paraId="7D3EA452" w14:textId="77777777" w:rsidTr="006E3FC9">
        <w:tc>
          <w:tcPr>
            <w:tcW w:w="1425" w:type="dxa"/>
            <w:tcBorders>
              <w:bottom w:val="nil"/>
            </w:tcBorders>
          </w:tcPr>
          <w:p w14:paraId="578F4C50" w14:textId="77777777" w:rsidR="000A2783" w:rsidRDefault="00000000">
            <w:pPr>
              <w:pStyle w:val="Compact"/>
            </w:pPr>
            <w:r>
              <w:rPr>
                <w:rStyle w:val="VerbatimChar"/>
              </w:rPr>
              <w:t>RotThrust</w:t>
            </w:r>
          </w:p>
        </w:tc>
        <w:tc>
          <w:tcPr>
            <w:tcW w:w="2394" w:type="dxa"/>
            <w:tcBorders>
              <w:bottom w:val="nil"/>
            </w:tcBorders>
          </w:tcPr>
          <w:p w14:paraId="2F6F6DCF" w14:textId="77777777" w:rsidR="000A2783" w:rsidRDefault="00000000">
            <w:pPr>
              <w:pStyle w:val="Compact"/>
            </w:pPr>
            <w:r>
              <w:t>Rotor thrust</w:t>
            </w:r>
          </w:p>
        </w:tc>
        <w:tc>
          <w:tcPr>
            <w:tcW w:w="2394" w:type="dxa"/>
            <w:tcBorders>
              <w:bottom w:val="nil"/>
            </w:tcBorders>
          </w:tcPr>
          <w:p w14:paraId="60D46262" w14:textId="77777777" w:rsidR="000A2783" w:rsidRDefault="00000000">
            <w:pPr>
              <w:pStyle w:val="Compact"/>
            </w:pPr>
            <w:r>
              <w:t>kN</w:t>
            </w:r>
          </w:p>
        </w:tc>
        <w:tc>
          <w:tcPr>
            <w:tcW w:w="2394" w:type="dxa"/>
            <w:tcBorders>
              <w:bottom w:val="nil"/>
            </w:tcBorders>
          </w:tcPr>
          <w:p w14:paraId="4ECF2EAE" w14:textId="77777777" w:rsidR="000A2783" w:rsidRDefault="00000000">
            <w:pPr>
              <w:pStyle w:val="Compact"/>
            </w:pPr>
            <w:r>
              <w:t>Control / intermediate</w:t>
            </w:r>
          </w:p>
        </w:tc>
      </w:tr>
    </w:tbl>
    <w:p w14:paraId="6732D932" w14:textId="77777777" w:rsidR="000A2783" w:rsidRDefault="00000000" w:rsidP="002769C0">
      <w:pPr>
        <w:pStyle w:val="BodyText"/>
        <w:jc w:val="center"/>
      </w:pPr>
      <w:r>
        <w:rPr>
          <w:noProof/>
        </w:rPr>
        <w:lastRenderedPageBreak/>
        <w:drawing>
          <wp:inline distT="0" distB="0" distL="0" distR="0" wp14:anchorId="44588743" wp14:editId="1349DF39">
            <wp:extent cx="5334000" cy="2072669"/>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s/fig2-dlc-matrix.png"/>
                    <pic:cNvPicPr>
                      <a:picLocks noChangeAspect="1" noChangeArrowheads="1"/>
                    </pic:cNvPicPr>
                  </pic:nvPicPr>
                  <pic:blipFill>
                    <a:blip r:embed="rId8"/>
                    <a:stretch>
                      <a:fillRect/>
                    </a:stretch>
                  </pic:blipFill>
                  <pic:spPr bwMode="auto">
                    <a:xfrm>
                      <a:off x="0" y="0"/>
                      <a:ext cx="5334000" cy="2072669"/>
                    </a:xfrm>
                    <a:prstGeom prst="rect">
                      <a:avLst/>
                    </a:prstGeom>
                    <a:noFill/>
                    <a:ln w="9525">
                      <a:noFill/>
                      <a:headEnd/>
                      <a:tailEnd/>
                    </a:ln>
                  </pic:spPr>
                </pic:pic>
              </a:graphicData>
            </a:graphic>
          </wp:inline>
        </w:drawing>
      </w:r>
    </w:p>
    <w:p w14:paraId="24C3334D" w14:textId="77777777" w:rsidR="000A2783" w:rsidRDefault="00000000">
      <w:pPr>
        <w:pStyle w:val="BodyText"/>
      </w:pPr>
      <w:r>
        <w:rPr>
          <w:b/>
          <w:bCs/>
        </w:rPr>
        <w:t>Figure 3.</w:t>
      </w:r>
      <w:r>
        <w:t xml:space="preserve"> Simulation case matrix. Four wind speeds (8, 11, 15, 20 m/s) over six turbulence/wave seeds in two wave-realization variants (48 runs), plus a DLC 1.6 severe-sea-state set at 11 m/s over six seeds (6 runs) — 54 analyzed runs, below-rated through above-rated.</w:t>
      </w:r>
    </w:p>
    <w:p w14:paraId="6F93C62B" w14:textId="77777777" w:rsidR="000A2783" w:rsidRDefault="00000000">
      <w:pPr>
        <w:pStyle w:val="Heading3"/>
      </w:pPr>
      <w:bookmarkStart w:id="6" w:name="signal-conditioning"/>
      <w:bookmarkEnd w:id="5"/>
      <w:r>
        <w:t>2.3 Signal conditioning</w:t>
      </w:r>
    </w:p>
    <w:p w14:paraId="13265E7A" w14:textId="77777777" w:rsidR="000A2783" w:rsidRDefault="00000000">
      <w:pPr>
        <w:pStyle w:val="FirstParagraph"/>
      </w:pPr>
      <w:r>
        <w:t>All signals are decimated to a common 5 Hz analysis rate (</w:t>
      </w:r>
      <w:r>
        <w:rPr>
          <w:rStyle w:val="VerbatimChar"/>
        </w:rPr>
        <w:t>decimate_target_hz = 5.0</w:t>
      </w:r>
      <w:r>
        <w:t xml:space="preserve">). This band comfortably resolves the dynamics of interest: the VolturnUS-S platform-pitch eigenfrequency is ≈ 0.0345 Hz (period ≈ 29 s) and the wave-energy peaks sit at 0.077–0.111 Hz across the modeled sea states, both far below the Nyquist limit at 5 Hz. A small amplitude jitter (scale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is added to break degenerate ties for the nearest-neighbor estimator, following Kraskov et al. (2004, Section III.A). Analysis windows contain 15,001 samples (≈ 50 min) per run.</w:t>
      </w:r>
    </w:p>
    <w:p w14:paraId="420335BA" w14:textId="77777777" w:rsidR="000A2783" w:rsidRDefault="00000000">
      <w:pPr>
        <w:pStyle w:val="Heading3"/>
      </w:pPr>
      <w:bookmarkStart w:id="7" w:name="transfer-entropy-estimation"/>
      <w:bookmarkEnd w:id="6"/>
      <w:r>
        <w:t>2.4 Transfer-entropy estimation</w:t>
      </w:r>
    </w:p>
    <w:p w14:paraId="1030FE62" w14:textId="77777777" w:rsidR="000A2783" w:rsidRDefault="00000000">
      <w:pPr>
        <w:pStyle w:val="FirstParagraph"/>
        <w:rPr>
          <w:rtl/>
          <w:lang w:bidi="fa-IR"/>
        </w:rPr>
      </w:pPr>
      <w:r>
        <w:t xml:space="preserve">Transfer entropy is estimated with IDTxl’s </w:t>
      </w:r>
      <w:r>
        <w:rPr>
          <w:rStyle w:val="VerbatimChar"/>
        </w:rPr>
        <w:t>BivariateTE</w:t>
      </w:r>
      <w:r>
        <w:t xml:space="preserve"> using the KSG conditional-mutual-information backend (</w:t>
      </w:r>
      <w:r>
        <w:rPr>
          <w:rStyle w:val="VerbatimChar"/>
        </w:rPr>
        <w:t>JidtKraskovCMI</w:t>
      </w:r>
      <w:r>
        <w:t xml:space="preserve">) with </w:t>
      </w:r>
      <m:oMath>
        <m:r>
          <w:rPr>
            <w:rFonts w:ascii="Cambria Math" w:hAnsi="Cambria Math"/>
          </w:rPr>
          <m:t>k</m:t>
        </m:r>
        <m:r>
          <m:rPr>
            <m:sty m:val="p"/>
          </m:rPr>
          <w:rPr>
            <w:rFonts w:ascii="Cambria Math" w:hAnsi="Cambria Math"/>
          </w:rPr>
          <m:t>=</m:t>
        </m:r>
        <m:r>
          <w:rPr>
            <w:rFonts w:ascii="Cambria Math" w:hAnsi="Cambria Math"/>
          </w:rPr>
          <m:t>4</m:t>
        </m:r>
      </m:oMath>
      <w:r>
        <w:t xml:space="preserve"> nearest neighbors (Kraskov et al., 2004; Lizier, 2014; Wollstadt et al., 2019). IDTxl performs greedy, statistically guided selection of source and target history variables rather than fixing an embedding a priori.</w:t>
      </w:r>
    </w:p>
    <w:p w14:paraId="429BB8F6" w14:textId="77777777" w:rsidR="000A2783" w:rsidRDefault="00000000">
      <w:pPr>
        <w:pStyle w:val="BodyText"/>
      </w:pPr>
      <w:r>
        <w:t xml:space="preserve">The choice of a </w:t>
      </w:r>
      <m:oMath>
        <m:r>
          <w:rPr>
            <w:rFonts w:ascii="Cambria Math" w:hAnsi="Cambria Math"/>
          </w:rPr>
          <m:t>k</m:t>
        </m:r>
      </m:oMath>
      <w:r>
        <w:t xml:space="preserve">-nearest-neighbor estimator over a kernel-density one is deliberate, because estimating transfer entropy is ultimately estimating the joint and marginal probability distributions of the embedded source, target, and conditioning variables, and the two standard estimator families — kernel-density and </w:t>
      </w:r>
      <m:oMath>
        <m:r>
          <w:rPr>
            <w:rFonts w:ascii="Cambria Math" w:hAnsi="Cambria Math"/>
          </w:rPr>
          <m:t>k</m:t>
        </m:r>
      </m:oMath>
      <w:r>
        <w:t xml:space="preserve">-nearest-neighbor — handle those distributions differently. The KSG estimator (Kraskov et al., 2004), built on the Kozachenko–Leonenko entropy estimator (Kozachenko &amp; Leonenko, 1987) and its conditional extension (Frenzel &amp; Pompe, 2007), is distribution-free and locally adaptive: it infers density from nearest-neighbor distances rather than assuming a parametric form or requiring a bandwidth or bin width to be tuned. Two features of the present problem make this preferable to a kernel-density estimator. First, the FOWT signals are non-Gaussian — the controller saturates and gain-schedules — so an estimator that reduces to Granger causality only in the Gaussian limit (Barnett et al., 2009) avoids imposing a distributional form on the very couplings under test. Second, the analysis is multivariate — conditional TE and the six-variable SURD decomposition of Section 2.7 — and </w:t>
        <w:lastRenderedPageBreak/>
        <w:t xml:space="preserve">kernel-density estimators degrade rapidly with dimension, whereas the KSG family remains comparatively well-behaved and has been shown to outperform kernel methods on short, noisy records (Khan et al., 2007). The estimator’s one substantive requirement, continuous variables without repeated values, is met by the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amplitude jitter of Section 2.3 (Kraskov et al., 2004, Section III.A), which keeps neighbor counts well-defined on channels that can dwell at a bound such as a saturated or locked pitch actuator. The neighbor count </w:t>
      </w:r>
      <m:oMath>
        <m:r>
          <w:rPr>
            <w:rFonts w:ascii="Cambria Math" w:hAnsi="Cambria Math"/>
          </w:rPr>
          <m:t>k</m:t>
        </m:r>
        <m:r>
          <m:rPr>
            <m:sty m:val="p"/>
          </m:rPr>
          <w:rPr>
            <w:rFonts w:ascii="Cambria Math" w:hAnsi="Cambria Math"/>
          </w:rPr>
          <m:t>=</m:t>
        </m:r>
        <m:r>
          <w:rPr>
            <w:rFonts w:ascii="Cambria Math" w:hAnsi="Cambria Math"/>
          </w:rPr>
          <m:t>4</m:t>
        </m:r>
      </m:oMath>
      <w:r>
        <w:t xml:space="preserve"> follows the Kraskov et al. (2004) recommendation; the reported conclusions were confirmed not to be an artifact of it. Sweeping </w:t>
      </w:r>
      <m:oMath>
        <m:r>
          <w:rPr>
            <w:rFonts w:ascii="Cambria Math" w:hAnsi="Cambria Math"/>
          </w:rPr>
          <m:t>k</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on the wave→platform-heave and wind→platform-heave delay profiles leaves the selected coupling delay unchanged (2.7–2.9 s) and the wind→platform firewall intact — the wind ceiling stays </w:t>
      </w:r>
      <m:oMath>
        <m:r>
          <m:rPr>
            <m:sty m:val="p"/>
          </m:rPr>
          <w:rPr>
            <w:rFonts w:ascii="Cambria Math" w:hAnsi="Cambria Math"/>
          </w:rPr>
          <m:t>≤</m:t>
        </m:r>
        <m:r>
          <w:rPr>
            <w:rFonts w:ascii="Cambria Math" w:hAnsi="Cambria Math"/>
          </w:rPr>
          <m:t>0.03</m:t>
        </m:r>
      </m:oMath>
      <w:r>
        <w:t xml:space="preserve"> nats and the wave-to-wind peak ratio stays in the range 39–48× at every </w:t>
      </w:r>
      <m:oMath>
        <m:r>
          <w:rPr>
            <w:rFonts w:ascii="Cambria Math" w:hAnsi="Cambria Math"/>
          </w:rPr>
          <m:t>k</m:t>
        </m:r>
      </m:oMath>
      <w:r>
        <w:t xml:space="preserve">. The absolute transfer entropy scales mildly with </w:t>
      </w:r>
      <m:oMath>
        <m:r>
          <w:rPr>
            <w:rFonts w:ascii="Cambria Math" w:hAnsi="Cambria Math"/>
          </w:rPr>
          <m:t>k</m:t>
        </m:r>
      </m:oMath>
      <w:r>
        <w:t>, as expected for a nearest-neighbor estimator, but no result in this paper depends on that magnitude.</w:t>
      </w:r>
    </w:p>
    <w:p w14:paraId="6B139A85" w14:textId="77777777" w:rsidR="000A2783" w:rsidRDefault="00000000">
      <w:pPr>
        <w:pStyle w:val="BodyText"/>
      </w:pPr>
      <w:r>
        <w:t xml:space="preserve">The target self-embedding searches lags up to </w:t>
      </w:r>
      <w:r>
        <w:rPr>
          <w:rStyle w:val="VerbatimChar"/>
        </w:rPr>
        <w:t>max_lag = 150</w:t>
      </w:r>
      <w:r>
        <w:t xml:space="preserve"> samples (30 s at 5 Hz), long enough to capture the slow platform-pitch self-dynamics (~29 s period). The source-candidate window is decoupled and short (</w:t>
      </w:r>
      <w:r>
        <w:rPr>
          <w:rStyle w:val="VerbatimChar"/>
        </w:rPr>
        <w:t>max_lag_sources = 30</w:t>
      </w:r>
      <w:r>
        <w:t xml:space="preserve">, i.e. 6 s), reflecting that environmental coupling to the platform acts at short lag while the target’s own memory is long; decoupling the two windows keeps the greedy source search both sensitive and computationally tractable. The candidate-lag spacing is </w:t>
      </w:r>
      <w:r>
        <w:rPr>
          <w:rStyle w:val="VerbatimChar"/>
        </w:rPr>
        <w:t>tau = 1</w:t>
      </w:r>
      <w:r>
        <w:t xml:space="preserve"> (every lag considered) by default. For the slowest-drifting targets (</w:t>
      </w:r>
      <w:r>
        <w:rPr>
          <w:rStyle w:val="VerbatimChar"/>
        </w:rPr>
        <w:t>PtfmPitch</w:t>
      </w:r>
      <w:r>
        <w:t xml:space="preserve">, </w:t>
      </w:r>
      <w:r>
        <w:rPr>
          <w:rStyle w:val="VerbatimChar"/>
        </w:rPr>
        <w:t>PtfmHeave</w:t>
      </w:r>
      <w:r>
        <w:t xml:space="preserve">, and related channels) a per-target thinning </w:t>
      </w:r>
      <w:r>
        <w:rPr>
          <w:rStyle w:val="VerbatimChar"/>
        </w:rPr>
        <w:t>tau = 5</w:t>
      </w:r>
      <w:r>
        <w:t xml:space="preserve"> is used where the dense tau = 1 search over 150 candidate lags is computationally prohibitive; this preserves the 30 s window while reducing the candidate grid. All hyperparameters are reported here without modification.</w:t>
      </w:r>
    </w:p>
    <w:p w14:paraId="6A1BC265" w14:textId="77777777" w:rsidR="000A2783" w:rsidRDefault="00000000">
      <w:pPr>
        <w:pStyle w:val="BodyText"/>
      </w:pPr>
      <w:r>
        <w:t xml:space="preserve">Fault-detection applications of transfer entropy typically identify four quantities to optimize for the problem at hand: the sampling rate, the analysis-window width, and the source and target history (Markov) orders of the process (Chen et al., 2019). Three map directly onto the settings above and one differs in kind. The sampling rate is fixed at 5 Hz (Section 2.3) and the analysis window is the full ~50-min post-transient record per run. The two history orders, however, are </w:t>
      </w:r>
      <w:r>
        <w:rPr>
          <w:i/>
          <w:iCs/>
        </w:rPr>
        <w:t>not</w:t>
      </w:r>
      <w:r>
        <w:t xml:space="preserve"> fixed by hand: IDTxl’s greedy, statistically gated embedding selects them per channel pair from the data, within the search bounds given above — target history up to 150 samples (30 s) and source candidates up to 30 samples (6 s), at candidate spacing </w:t>
      </w:r>
      <w:r>
        <w:rPr>
          <w:rStyle w:val="VerbatimChar"/>
        </w:rPr>
        <w:t>tau = 1</w:t>
      </w:r>
      <w:r>
        <w:t xml:space="preserve"> (</w:t>
      </w:r>
      <w:r>
        <w:rPr>
          <w:rStyle w:val="VerbatimChar"/>
        </w:rPr>
        <w:t>tau = 5</w:t>
      </w:r>
      <w:r>
        <w:t xml:space="preserve"> for the slow-drift targets). Choosing the history orders from the data rather than pre-setting them removes the sensitivity to a hand-tuned embedding order that a fixed-order estimator carries, at the cost of the greedy search that these bounds and the </w:t>
      </w:r>
      <w:r>
        <w:rPr>
          <w:rStyle w:val="VerbatimChar"/>
        </w:rPr>
        <w:t>tau</w:t>
      </w:r>
      <w:r>
        <w:t xml:space="preserve"> thinning keep tractable.</w:t>
      </w:r>
    </w:p>
    <w:p w14:paraId="45FD940D" w14:textId="77777777" w:rsidR="000A2783" w:rsidRDefault="00000000">
      <w:pPr>
        <w:pStyle w:val="BodyText"/>
      </w:pPr>
      <w:r>
        <w:t>Because bivariate transfer entropy conditions only on the target’s own past, a statistical dependence between the two environmental drivers could in principle confound the wind→ and wave→structure estimates. This was verified not to occur. Hub-height wind (</w:t>
      </w:r>
      <w:r>
        <w:rPr>
          <w:rStyle w:val="VerbatimChar"/>
        </w:rPr>
        <w:t>Wind1VelX</w:t>
      </w:r>
      <w:r>
        <w:t>) and wave elevation (</w:t>
      </w:r>
      <w:r>
        <w:rPr>
          <w:rStyle w:val="VerbatimChar"/>
        </w:rPr>
        <w:t>Wave1Elev</w:t>
      </w:r>
      <w:r>
        <w:t xml:space="preserve">) are prescribed from independent TurbSim and JONSWAP realizations and are statistically independent within each run: across the analyzed runs the lag-0 Pearson correlation is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0.035</m:t>
        </m:r>
      </m:oMath>
      <w:r>
        <w:t xml:space="preserve"> and the cross-correlation does not exceed </w:t>
      </w:r>
      <m:oMath>
        <m:r>
          <w:rPr>
            <w:rFonts w:ascii="Cambria Math" w:hAnsi="Cambria Math"/>
          </w:rPr>
          <m:t>0.043</m:t>
        </m:r>
      </m:oMath>
      <w:r>
        <w:t xml:space="preserve"> at any lag within </w:t>
      </w:r>
      <m:oMath>
        <m:r>
          <m:rPr>
            <m:sty m:val="p"/>
          </m:rPr>
          <w:rPr>
            <w:rFonts w:ascii="Cambria Math" w:hAnsi="Cambria Math"/>
          </w:rPr>
          <m:t>±</m:t>
        </m:r>
        <m:r>
          <w:rPr>
            <w:rFonts w:ascii="Cambria Math" w:hAnsi="Cambria Math"/>
          </w:rPr>
          <m:t>30</m:t>
        </m:r>
      </m:oMath>
      <w:r>
        <w:t xml:space="preserve"> s, while the mutual information (</w:t>
      </w:r>
      <m:oMath>
        <m:r>
          <w:rPr>
            <w:rFonts w:ascii="Cambria Math" w:hAnsi="Cambria Math"/>
          </w:rPr>
          <m:t>0.033</m:t>
        </m:r>
      </m:oMath>
      <w:r>
        <w:t>–</w:t>
      </w:r>
      <m:oMath>
        <m:r>
          <w:rPr>
            <w:rFonts w:ascii="Cambria Math" w:hAnsi="Cambria Math"/>
          </w:rPr>
          <m:t>0.043</m:t>
        </m:r>
      </m:oMath>
      <w:r>
        <w:t xml:space="preserve"> nats) is statistically indistinguishable from an autocorrelation-preserving circular-shift surrogate (no case reaches </w:t>
      </w:r>
      <m:oMath>
        <m:r>
          <w:rPr>
            <w:rFonts w:ascii="Cambria Math" w:hAnsi="Cambria Math"/>
          </w:rPr>
          <m:t>p</m:t>
        </m:r>
        <m:r>
          <m:rPr>
            <m:sty m:val="p"/>
          </m:rPr>
          <w:rPr>
            <w:rFonts w:ascii="Cambria Math" w:hAnsi="Cambria Math"/>
          </w:rPr>
          <m:t>&lt;</m:t>
        </m:r>
        <m:r>
          <w:rPr>
            <w:rFonts w:ascii="Cambria Math" w:hAnsi="Cambria Math"/>
          </w:rPr>
          <m:t>0.05</m:t>
        </m:r>
      </m:oMath>
      <w:r>
        <w:t xml:space="preserve">) — that is, it sits at the estimator’s finite-sample bias floor. Conditional and bivariate transfer entropy therefore coincide for these sources, and the reported bivariate estimates are not inflated by </w:t>
        <w:lastRenderedPageBreak/>
        <w:t xml:space="preserve">driver correlation. The complementary concern of </w:t>
      </w:r>
      <w:r>
        <w:rPr>
          <w:i/>
          <w:iCs/>
        </w:rPr>
        <w:t>synergistic</w:t>
      </w:r>
      <w:r>
        <w:t xml:space="preserve"> wind information invisible to any pairwise estimator is addressed separately by the SURD decomposition (Section 2.7), whose synergistic atom would expose exactly that.</w:t>
      </w:r>
    </w:p>
    <w:p w14:paraId="2C259E20" w14:textId="77777777" w:rsidR="000A2783" w:rsidRDefault="00000000">
      <w:pPr>
        <w:pStyle w:val="Heading3"/>
      </w:pPr>
      <w:bookmarkStart w:id="8" w:name="effect-size-and-significance"/>
      <w:bookmarkEnd w:id="7"/>
      <w:r>
        <w:t>2.5 Effect size and significance</w:t>
      </w:r>
    </w:p>
    <w:p w14:paraId="3A2FFE94" w14:textId="77777777" w:rsidR="000A2783" w:rsidRDefault="00000000">
      <w:pPr>
        <w:pStyle w:val="FirstParagraph"/>
      </w:pPr>
      <w:r>
        <w:t xml:space="preserve">Raw TE in nats is difficult to compare across channels with different intrinsic predictability. A normalized effect size </w:t>
      </w:r>
      <w:r>
        <w:rPr>
          <w:rStyle w:val="VerbatimChar"/>
        </w:rPr>
        <w:t>te_frac = TE / AIS</w:t>
      </w:r>
      <w:r>
        <w:t xml:space="preserve"> is therefore reported alongside TE, where AIS is the active information storage of the target (Eq. 7),</w:t>
      </w:r>
    </w:p>
    <w:tbl>
      <w:tblPr>
        <w:tblStyle w:val="TableGrid"/>
        <w:tblW w:w="0" w:type="auto"/>
        <w:tblLook w:val="04A0" w:firstRow="1" w:lastRow="0" w:firstColumn="1" w:lastColumn="0" w:noHBand="0" w:noVBand="1"/>
      </w:tblPr>
      <w:tblGrid>
        <w:gridCol w:w="8658"/>
        <w:gridCol w:w="918"/>
      </w:tblGrid>
      <w:tr w:rsidR="00096640" w14:paraId="51E18A0C" w14:textId="77777777" w:rsidTr="00096640">
        <w:tc>
          <w:tcPr>
            <w:tcW w:w="8658" w:type="dxa"/>
            <w:vAlign w:val="center"/>
          </w:tcPr>
          <w:p w14:paraId="5E463C25" w14:textId="77777777" w:rsidR="00096640" w:rsidRDefault="00000000" w:rsidP="00096640">
            <w:pPr>
              <w:pStyle w:val="BodyText"/>
              <w:jc w:val="center"/>
            </w:pPr>
            <m:oMathPara>
              <m:oMath>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w:rPr>
                    <w:rFonts w:ascii="Cambria Math" w:hAnsi="Cambria Math"/>
                  </w:rPr>
                  <m:t> </m:t>
                </m:r>
                <m:r>
                  <m:rPr>
                    <m:sty m:val="p"/>
                  </m:rPr>
                  <w:rPr>
                    <w:rFonts w:ascii="Cambria Math" w:hAnsi="Cambria Math"/>
                  </w:rPr>
                  <m:t>log</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e>
                    </m:d>
                  </m:den>
                </m:f>
                <m:r>
                  <m:rPr>
                    <m:sty m:val="p"/>
                  </m:rPr>
                  <w:rPr>
                    <w:rFonts w:ascii="Cambria Math" w:hAnsi="Cambria Math"/>
                  </w:rPr>
                  <m:t>=</m:t>
                </m:r>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m:rPr>
                    <m:sty m:val="p"/>
                  </m:rPr>
                  <w:rPr>
                    <w:rFonts w:ascii="Cambria Math" w:hAnsi="Cambria Math"/>
                  </w:rPr>
                  <m:t>,</m:t>
                </m:r>
              </m:oMath>
            </m:oMathPara>
          </w:p>
        </w:tc>
        <w:tc>
          <w:tcPr>
            <w:tcW w:w="918" w:type="dxa"/>
            <w:vAlign w:val="center"/>
          </w:tcPr>
          <w:p w14:paraId="477E431D" w14:textId="77777777" w:rsidR="00096640" w:rsidRDefault="00096640" w:rsidP="00096640">
            <w:pPr>
              <w:pStyle w:val="BodyText"/>
              <w:jc w:val="center"/>
            </w:pPr>
            <w:r>
              <w:rPr>
                <w:rFonts w:asciiTheme="majorBidi" w:hAnsiTheme="majorBidi" w:cstheme="majorBidi"/>
              </w:rPr>
              <w:t>(</w:t>
              <w:fldChar w:fldCharType="begin"/>
              <w:instrText xml:space="preserve"> SEQ (1) \* ARABIC </w:instrText>
              <w:fldChar w:fldCharType="separate"/>
            </w:r>
            <w:r>
              <w:rPr>
                <w:rFonts w:asciiTheme="majorBidi" w:hAnsiTheme="majorBidi" w:cstheme="majorBidi"/>
                <w:noProof/>
              </w:rPr>
              <w:t>7</w:t>
            </w:r>
            <w:r>
              <w:rPr>
                <w:rFonts w:asciiTheme="majorBidi" w:hAnsiTheme="majorBidi" w:cstheme="majorBidi"/>
              </w:rPr>
              <w:fldChar w:fldCharType="end"/>
              <w:t>)</w:t>
            </w:r>
          </w:p>
        </w:tc>
      </w:tr>
    </w:tbl>
    <w:p w14:paraId="5479D862" w14:textId="77777777" w:rsidR="000A2783" w:rsidRDefault="00000000">
      <w:pPr>
        <w:pStyle w:val="FirstParagraph"/>
      </w:pPr>
      <w:r>
        <w:t xml:space="preserve">the mutual information (Eq. 3) between the target’s future and its own embedded past (Lizier, 2014), estimated with the same KSG backend (IDTxl </w:t>
      </w:r>
      <w:r>
        <w:rPr>
          <w:rStyle w:val="VerbatimChar"/>
        </w:rPr>
        <w:t>ActiveInformationStorage</w:t>
      </w:r>
      <w:r>
        <w:t xml:space="preserve">). AIS measures how much of the target’s future is already explained by its own history; dividing TE by AIS therefore expresses the source’s contribution as a fraction of the target’s self-predictability, so a </w:t>
      </w:r>
      <w:r>
        <w:rPr>
          <w:rStyle w:val="VerbatimChar"/>
        </w:rPr>
        <w:t>te_frac</w:t>
      </w:r>
      <w:r>
        <w:t xml:space="preserve"> of 0.10 means the source adds ten per cent on top of what the target’s own past already provides. This normalization matters for the firewall claim: a channel can have small absolute TE simply because the target is highly self-predictable, and </w:t>
      </w:r>
      <w:r>
        <w:rPr>
          <w:rStyle w:val="VerbatimChar"/>
        </w:rPr>
        <w:t>te_frac</w:t>
      </w:r>
      <w:r>
        <w:t xml:space="preserve"> guards against reading such a case as a genuine absence of coupling.</w:t>
      </w:r>
    </w:p>
    <w:p w14:paraId="616F0243" w14:textId="77777777" w:rsidR="000A2783" w:rsidRDefault="00000000">
      <w:pPr>
        <w:pStyle w:val="BodyText"/>
      </w:pPr>
      <w:r>
        <w:t>Statistical significance uses a non-parametric permutation test. IDTxl builds a null distribution for each candidate source by repeatedly shuffling the source realizations while preserving the target’s own history, re-estimating the (conditional) mutual information under the null, and comparing the observed statistic to that distribution (</w:t>
      </w:r>
      <w:r>
        <w:rPr>
          <w:rStyle w:val="VerbatimChar"/>
        </w:rPr>
        <w:t>n_perm = 200</w:t>
      </w:r>
      <w:r>
        <w:t xml:space="preserve"> surrogates, </w:t>
      </w:r>
      <m:oMath>
        <m:r>
          <w:rPr>
            <w:rFonts w:ascii="Cambria Math" w:hAnsi="Cambria Math"/>
          </w:rPr>
          <m:t>α</m:t>
        </m:r>
        <m:r>
          <m:rPr>
            <m:sty m:val="p"/>
          </m:rPr>
          <w:rPr>
            <w:rFonts w:ascii="Cambria Math" w:hAnsi="Cambria Math"/>
          </w:rPr>
          <m:t>=</m:t>
        </m:r>
        <m:r>
          <w:rPr>
            <w:rFonts w:ascii="Cambria Math" w:hAnsi="Cambria Math"/>
          </w:rPr>
          <m:t>0.05</m:t>
        </m:r>
      </m:oMath>
      <w:r>
        <w:t>). Two corrections make the test conservative: a maximum-statistic correction across candidate source lags controls the family-wise error introduced by the greedy search, and an omnibus test gates whether the target has any significant sources at all. A source variable is admitted to the model only if it survives these tests, so a non-significant channel returns TE = 0 exactly — no source variable is selected — rather than a small positive value. That exact zero is the numerical signature of the firewall, and it is why the wind→platform channel reports 0.0000 nats in the 8 m/s and 20 m/s regimes rather than a small residual. The channel means reported in Tables 2–4 apply this convention — non-significant cases contribute exactly zero — so that a reported mean averages only the significant edges and is never negative, even though the underlying nearest-neighbor estimates of individual non-significant cases can take small signed values.</w:t>
      </w:r>
    </w:p>
    <w:p w14:paraId="7AB6BC4C" w14:textId="77777777" w:rsidR="000A2783" w:rsidRDefault="00000000">
      <w:pPr>
        <w:pStyle w:val="Heading3"/>
      </w:pPr>
      <w:bookmarkStart w:id="9" w:name="coherence-baseline"/>
      <w:bookmarkEnd w:id="8"/>
      <w:r>
        <w:t>2.6 Coherence baseline</w:t>
      </w:r>
    </w:p>
    <w:p w14:paraId="4F62A865" w14:textId="77777777" w:rsidR="000A2783" w:rsidRDefault="00000000">
      <w:pPr>
        <w:pStyle w:val="FirstParagraph"/>
      </w:pPr>
      <w:r>
        <w:t xml:space="preserve">As a linear-method foil, the magnitude-squared coherence </w:t>
      </w:r>
      <m:oMath>
        <m:sSup>
          <m:sSupPr>
            <m:ctrlPr>
              <w:rPr>
                <w:rFonts w:ascii="Cambria Math" w:hAnsi="Cambria Math"/>
              </w:rPr>
            </m:ctrlPr>
          </m:sSupPr>
          <m:e>
            <m:r>
              <w:rPr>
                <w:rFonts w:ascii="Cambria Math" w:hAnsi="Cambria Math"/>
              </w:rPr>
              <m:t>γ</m:t>
            </m:r>
          </m:e>
          <m:sup>
            <m: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oMath>
      <w:r>
        <w:t xml:space="preserve"> between each source and target is computed by Welch’s method (segment length 4096 at 5 Hz, giving </w:t>
      </w:r>
      <m:oMath>
        <m:r>
          <m:rPr>
            <m:sty m:val="p"/>
          </m:rPr>
          <w:rPr>
            <w:rFonts w:ascii="Cambria Math" w:hAnsi="Cambria Math"/>
          </w:rPr>
          <m:t>Δ</m:t>
        </m:r>
        <m:r>
          <w:rPr>
            <w:rFonts w:ascii="Cambria Math" w:hAnsi="Cambria Math"/>
          </w:rPr>
          <m:t>f</m:t>
        </m:r>
        <m:r>
          <m:rPr>
            <m:sty m:val="p"/>
          </m:rPr>
          <w:rPr>
            <w:rFonts w:ascii="Cambria Math" w:hAnsi="Cambria Math"/>
          </w:rPr>
          <m:t>≈</m:t>
        </m:r>
        <m:r>
          <w:rPr>
            <w:rFonts w:ascii="Cambria Math" w:hAnsi="Cambria Math"/>
          </w:rPr>
          <m:t>0.0012</m:t>
        </m:r>
      </m:oMath>
      <w:r>
        <w:t xml:space="preserve"> Hz, sharp enough to separate the platform-pitch eigenfrequency at 0.0345 Hz from the wave peak). The 15,001-sample records give six 50%-overlapping Welch segments per channel pair; with </w:t>
      </w:r>
      <m:oMath>
        <m:r>
          <w:rPr>
            <w:rFonts w:ascii="Cambria Math" w:hAnsi="Cambria Math"/>
          </w:rPr>
          <m:t>K</m:t>
        </m:r>
        <m:r>
          <m:rPr>
            <m:sty m:val="p"/>
          </m:rPr>
          <w:rPr>
            <w:rFonts w:ascii="Cambria Math" w:hAnsi="Cambria Math"/>
          </w:rPr>
          <m:t>=</m:t>
        </m:r>
        <m:r>
          <w:rPr>
            <w:rFonts w:ascii="Cambria Math" w:hAnsi="Cambria Math"/>
          </w:rPr>
          <m:t>6</m:t>
        </m:r>
      </m:oMath>
      <w:r>
        <w:t xml:space="preserve"> averages the 95% significance level for zero coherence,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p>
        </m:sSup>
      </m:oMath>
      <w:r>
        <w:t xml:space="preserve">, is </w:t>
      </w:r>
      <m:oMath>
        <m:sSup>
          <m:sSupPr>
            <m:ctrlPr>
              <w:rPr>
                <w:rFonts w:ascii="Cambria Math" w:hAnsi="Cambria Math"/>
              </w:rPr>
            </m:ctrlPr>
          </m:sSupPr>
          <m:e>
            <m:r>
              <w:rPr>
                <w:rFonts w:ascii="Cambria Math" w:hAnsi="Cambria Math"/>
              </w:rPr>
              <m:t>γ</m:t>
            </m:r>
          </m:e>
          <m:sup>
            <m:r>
              <w:rPr>
                <w:rFonts w:ascii="Cambria Math" w:hAnsi="Cambria Math"/>
              </w:rPr>
              <m:t>2</m:t>
            </m:r>
          </m:sup>
        </m:sSup>
        <m:r>
          <m:rPr>
            <m:sty m:val="p"/>
          </m:rPr>
          <w:rPr>
            <w:rFonts w:ascii="Cambria Math" w:hAnsi="Cambria Math"/>
          </w:rPr>
          <m:t>≈</m:t>
        </m:r>
        <m:r>
          <w:rPr>
            <w:rFonts w:ascii="Cambria Math" w:hAnsi="Cambria Math"/>
          </w:rPr>
          <m:t>0.45</m:t>
        </m:r>
      </m:oMath>
      <w:r>
        <w:t xml:space="preserve">, and every peak coherence reported in Section 3.2 exceeds it — though with so few averages the absolute </w:t>
      </w:r>
      <m:oMath>
        <m:sSup>
          <m:sSupPr>
            <m:ctrlPr>
              <w:rPr>
                <w:rFonts w:ascii="Cambria Math" w:hAnsi="Cambria Math"/>
              </w:rPr>
            </m:ctrlPr>
          </m:sSupPr>
          <m:e>
            <m:r>
              <w:rPr>
                <w:rFonts w:ascii="Cambria Math" w:hAnsi="Cambria Math"/>
              </w:rPr>
              <m:t>γ</m:t>
            </m:r>
          </m:e>
          <m:sup>
            <m:r>
              <w:rPr>
                <w:rFonts w:ascii="Cambria Math" w:hAnsi="Cambria Math"/>
              </w:rPr>
              <m:t>2</m:t>
            </m:r>
          </m:sup>
        </m:sSup>
      </m:oMath>
      <w:r>
        <w:t xml:space="preserve"> values carry appreciable bias, so their ranking and their contrast with the TE result are interpreted, not their magnitudes. Each channel is summarized by its peak coherence, and a peak above a conventional threshold is treated as an apparent (undirected) link. The contrast between what coherence flags and what TE certifies is itself a result (Section 3.2).</w:t>
      </w:r>
    </w:p>
    <w:p w14:paraId="16E2FD0A" w14:textId="77777777" w:rsidR="000A2783" w:rsidRDefault="00000000">
      <w:pPr>
        <w:pStyle w:val="Heading3"/>
      </w:pPr>
      <w:bookmarkStart w:id="10" w:name="surd-attribution"/>
      <w:bookmarkEnd w:id="9"/>
      <w:r>
        <w:t>2.7 SURD attribution</w:t>
      </w:r>
    </w:p>
    <w:p w14:paraId="1D123403" w14:textId="77777777" w:rsidR="000A2783" w:rsidRDefault="00000000">
      <w:pPr>
        <w:pStyle w:val="FirstParagraph"/>
      </w:pPr>
      <w:r>
        <w:t xml:space="preserve">To test </w:t>
      </w:r>
      <w:r>
        <w:rPr>
          <w:i/>
          <w:iCs/>
        </w:rPr>
        <w:t>why</w:t>
      </w:r>
      <w:r>
        <w:t xml:space="preserve"> wind information does not reach the platform, SURD (Martínez-Sánchez et al., 2024) is applied to the multivariate system {wind, wave, blade pitch, rotor thrust, platform pitch and its rate}. Pairwise TE answers whether wind informs the platform, but not where the wind information goes when it does not; SURD does. For a target future </w:t>
      </w:r>
      <m:oMath>
        <m:r>
          <w:rPr>
            <w:rFonts w:ascii="Cambria Math" w:hAnsi="Cambria Math"/>
          </w:rPr>
          <m:t>Q</m:t>
        </m:r>
      </m:oMath>
      <w:r>
        <w:t xml:space="preserve"> and a set of source variables, SURD partitions the total information the sources carry about </w:t>
      </w:r>
      <m:oMath>
        <m:r>
          <w:rPr>
            <w:rFonts w:ascii="Cambria Math" w:hAnsi="Cambria Math"/>
          </w:rPr>
          <m:t>Q</m:t>
        </m:r>
      </m:oMath>
      <w:r>
        <w:t xml:space="preserve"> into non-negative redundant, unique, and synergistic atoms (Eq. 8):</w:t>
      </w:r>
    </w:p>
    <w:p w14:paraId="5E622696" w14:textId="77777777" w:rsidR="00FD7F8F" w:rsidRDefault="00FD7F8F" w:rsidP="00FD7F8F">
      <w:pPr>
        <w:pStyle w:val="BodyText"/>
      </w:pPr>
    </w:p>
    <w:p w14:paraId="766F3DFA" w14:textId="77777777" w:rsidR="00FD7F8F" w:rsidRDefault="00FD7F8F" w:rsidP="00FD7F8F">
      <w:pPr>
        <w:pStyle w:val="BodyText"/>
      </w:pPr>
    </w:p>
    <w:tbl>
      <w:tblPr>
        <w:tblStyle w:val="TableGrid"/>
        <w:tblW w:w="0" w:type="auto"/>
        <w:tblLook w:val="04A0" w:firstRow="1" w:lastRow="0" w:firstColumn="1" w:lastColumn="0" w:noHBand="0" w:noVBand="1"/>
      </w:tblPr>
      <w:tblGrid>
        <w:gridCol w:w="8478"/>
        <w:gridCol w:w="720"/>
      </w:tblGrid>
      <w:tr w:rsidR="00FD7F8F" w14:paraId="023CC9F5" w14:textId="77777777" w:rsidTr="00092EB5">
        <w:tc>
          <w:tcPr>
            <w:tcW w:w="8478" w:type="dxa"/>
            <w:vAlign w:val="center"/>
          </w:tcPr>
          <w:p w14:paraId="24A998D5" w14:textId="77777777" w:rsidR="00FD7F8F" w:rsidRPr="00092EB5" w:rsidRDefault="00FD7F8F" w:rsidP="00092EB5">
            <w:pPr>
              <w:pStyle w:val="BodyText"/>
              <w:jc w:val="center"/>
            </w:pPr>
            <m:oMathPara>
              <m:oMathParaPr>
                <m:jc m:val="center"/>
              </m:oMathParaPr>
              <m:oMath>
                <m:r>
                  <w:rPr>
                    <w:rFonts w:ascii="Cambria Math" w:hAnsi="Cambria Math"/>
                  </w:rPr>
                  <m:t>I​</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 </m:t>
                    </m:r>
                    <m:r>
                      <m:rPr>
                        <m:nor/>
                      </m:rPr>
                      <m:t>sources</m:t>
                    </m:r>
                  </m:e>
                </m:d>
                <m:r>
                  <m:rPr>
                    <m:sty m:val="p"/>
                  </m:rPr>
                  <w:rPr>
                    <w:rFonts w:ascii="Cambria Math" w:hAnsi="Cambria Math"/>
                  </w:rPr>
                  <m:t>=</m:t>
                </m:r>
                <m:nary>
                  <m:naryPr>
                    <m:chr m:val="∑"/>
                    <m:limLoc m:val="undOvr"/>
                    <m:supHide m:val="1"/>
                    <m:ctrlPr>
                      <w:rPr>
                        <w:rFonts w:ascii="Cambria Math" w:hAnsi="Cambria Math"/>
                      </w:rPr>
                    </m:ctrlPr>
                  </m:naryPr>
                  <m:sub>
                    <m:r>
                      <m:rPr>
                        <m:scr m:val="script"/>
                        <m:sty m:val="p"/>
                      </m:rPr>
                      <w:rPr>
                        <w:rFonts w:ascii="Cambria Math" w:hAnsi="Cambria Math"/>
                      </w:rPr>
                      <m:t>S</m:t>
                    </m:r>
                  </m:sub>
                  <m:sup>
                    <m:r>
                      <w:rPr>
                        <w:rFonts w:ascii="Cambria Math" w:hAnsi="Cambria Math"/>
                      </w:rPr>
                      <m:t>​</m:t>
                    </m:r>
                  </m:sup>
                  <m:e>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R</m:t>
                                </m:r>
                              </m:e>
                              <m:sub>
                                <m:r>
                                  <m:rPr>
                                    <m:scr m:val="script"/>
                                    <m:sty m:val="p"/>
                                  </m:rPr>
                                  <w:rPr>
                                    <w:rFonts w:ascii="Cambria Math" w:hAnsi="Cambria Math"/>
                                  </w:rPr>
                                  <m:t>S</m:t>
                                </m:r>
                              </m:sub>
                            </m:sSub>
                          </m:e>
                          <m:lim>
                            <m:r>
                              <m:rPr>
                                <m:sty m:val="p"/>
                              </m:rPr>
                              <w:rPr>
                                <w:rFonts w:ascii="Cambria Math" w:hAnsi="Cambria Math"/>
                              </w:rPr>
                              <m:t>⏟</m:t>
                            </m:r>
                          </m:lim>
                        </m:limLow>
                      </m:e>
                      <m:lim>
                        <m:r>
                          <m:rPr>
                            <m:nor/>
                          </m:rPr>
                          <m:t>redundant</m:t>
                        </m:r>
                      </m:lim>
                    </m:limLow>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U</m:t>
                                </m:r>
                              </m:e>
                              <m:sub>
                                <m:r>
                                  <w:rPr>
                                    <w:rFonts w:ascii="Cambria Math" w:hAnsi="Cambria Math"/>
                                  </w:rPr>
                                  <m:t>i</m:t>
                                </m:r>
                              </m:sub>
                            </m:sSub>
                          </m:e>
                          <m:lim>
                            <m:r>
                              <m:rPr>
                                <m:sty m:val="p"/>
                              </m:rPr>
                              <w:rPr>
                                <w:rFonts w:ascii="Cambria Math" w:hAnsi="Cambria Math"/>
                              </w:rPr>
                              <m:t>⏟</m:t>
                            </m:r>
                          </m:lim>
                        </m:limLow>
                      </m:e>
                      <m:lim>
                        <m:r>
                          <m:rPr>
                            <m:nor/>
                          </m:rPr>
                          <m:t>unique</m:t>
                        </m:r>
                      </m:lim>
                    </m:limLow>
                  </m:e>
                </m:nary>
                <m:r>
                  <m:rPr>
                    <m:sty m:val="p"/>
                  </m:rPr>
                  <w:rPr>
                    <w:rFonts w:ascii="Cambria Math" w:hAnsi="Cambria Math"/>
                  </w:rPr>
                  <m:t>+</m:t>
                </m:r>
                <m:nary>
                  <m:naryPr>
                    <m:chr m:val="∑"/>
                    <m:limLoc m:val="undOvr"/>
                    <m:supHide m:val="1"/>
                    <m:ctrlPr>
                      <w:rPr>
                        <w:rFonts w:ascii="Cambria Math" w:hAnsi="Cambria Math"/>
                      </w:rPr>
                    </m:ctrlPr>
                  </m:naryPr>
                  <m:sub>
                    <m:r>
                      <m:rPr>
                        <m:scr m:val="script"/>
                        <m:sty m:val="p"/>
                      </m:rPr>
                      <w:rPr>
                        <w:rFonts w:ascii="Cambria Math" w:hAnsi="Cambria Math"/>
                      </w:rPr>
                      <m:t>S</m:t>
                    </m:r>
                  </m:sub>
                  <m:sup>
                    <m:r>
                      <w:rPr>
                        <w:rFonts w:ascii="Cambria Math" w:hAnsi="Cambria Math"/>
                      </w:rPr>
                      <m:t>​</m:t>
                    </m:r>
                  </m:sup>
                  <m:e>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S</m:t>
                                </m:r>
                              </m:e>
                              <m:sub>
                                <m:r>
                                  <m:rPr>
                                    <m:scr m:val="script"/>
                                    <m:sty m:val="p"/>
                                  </m:rPr>
                                  <w:rPr>
                                    <w:rFonts w:ascii="Cambria Math" w:hAnsi="Cambria Math"/>
                                  </w:rPr>
                                  <m:t>S</m:t>
                                </m:r>
                              </m:sub>
                            </m:sSub>
                          </m:e>
                          <m:lim>
                            <m:r>
                              <m:rPr>
                                <m:sty m:val="p"/>
                              </m:rPr>
                              <w:rPr>
                                <w:rFonts w:ascii="Cambria Math" w:hAnsi="Cambria Math"/>
                              </w:rPr>
                              <m:t>⏟</m:t>
                            </m:r>
                          </m:lim>
                        </m:limLow>
                      </m:e>
                      <m:lim>
                        <m:r>
                          <m:rPr>
                            <m:nor/>
                          </m:rPr>
                          <m:t>synergistic</m:t>
                        </m:r>
                      </m:lim>
                    </m:limLow>
                  </m:e>
                </m:nary>
              </m:oMath>
            </m:oMathPara>
          </w:p>
        </w:tc>
        <w:tc>
          <w:tcPr>
            <w:tcW w:w="720" w:type="dxa"/>
            <w:vAlign w:val="center"/>
          </w:tcPr>
          <w:p w14:paraId="1958E458" w14:textId="77777777" w:rsidR="00FD7F8F" w:rsidRDefault="00FD7F8F" w:rsidP="00092EB5">
            <w:pPr>
              <w:pStyle w:val="BodyText"/>
              <w:jc w:val="center"/>
            </w:pPr>
            <w:r>
              <w:rPr>
                <w:rFonts w:asciiTheme="majorBidi" w:hAnsiTheme="majorBidi" w:cstheme="majorBidi"/>
              </w:rPr>
              <w:t>(</w:t>
              <w:fldChar w:fldCharType="begin"/>
              <w:instrText xml:space="preserve"> SEQ (1) \* ARABIC </w:instrText>
              <w:fldChar w:fldCharType="separate"/>
            </w:r>
            <w:r>
              <w:rPr>
                <w:rFonts w:asciiTheme="majorBidi" w:hAnsiTheme="majorBidi" w:cstheme="majorBidi"/>
                <w:noProof/>
              </w:rPr>
              <w:t>8</w:t>
            </w:r>
            <w:r>
              <w:rPr>
                <w:rFonts w:asciiTheme="majorBidi" w:hAnsiTheme="majorBidi" w:cstheme="majorBidi"/>
              </w:rPr>
              <w:fldChar w:fldCharType="end"/>
              <w:t>)</w:t>
            </w:r>
          </w:p>
        </w:tc>
      </w:tr>
    </w:tbl>
    <w:p w14:paraId="711C6224" w14:textId="77777777" w:rsidR="000A2783" w:rsidRDefault="00092EB5">
      <w:pPr>
        <w:pStyle w:val="FirstParagraph"/>
      </w:pPr>
      <w:r>
        <w:t>Atoms are classified as unique, redundant, or synergistic based on the information they provide about a source. A unique atom contains information only that source provides; a redundant atom shares information across a subset; and a synergistic atom offers information only available from their joint state. A residual “leak” term captures information about the source's future not explained by observed sources. Key atoms for attribution include the unique wind information in the blade-pitch command (U:Wind1VelX) and the redundant atoms (R:Wind1VelX+BldPitch1) combined in BldPitch1, along with aggregate terms wind_into_controllers and controller_drop_material, representing wind information in the control channel. If the firewall were dominated by wave effects, these terms would be near zero—absent of wind info; if by the controller, they are large. The decomposition applies over 0.2–5.0 s lags at 5 Hz, using a three-bin marginal quantization (nbins=3) to keep the joint state space manageable for reliable frequency estimates with 15,001 samples. All SURD quantities are expressed as normalized, dimensionless fractions: the atoms are ratios of maximum mutual information, and the leak (and its differences) are fractions of the target’s future entropy. This makes them comparable across channels, though they are not in nats and cannot be directly compared to the transfer-entropy values of Sections 3.1–3.2.</w:t>
      </w:r>
    </w:p>
    <w:p w14:paraId="68EDEA60" w14:textId="77777777" w:rsidR="000A2783" w:rsidRDefault="00000000">
      <w:pPr>
        <w:pStyle w:val="Heading3"/>
      </w:pPr>
      <w:bookmarkStart w:id="11" w:name="monitoring-signature-construction"/>
      <w:bookmarkEnd w:id="10"/>
      <w:r>
        <w:t>2.8 Monitoring-signature construction</w:t>
      </w:r>
    </w:p>
    <w:p w14:paraId="0A4559FE" w14:textId="77777777" w:rsidR="000A2783" w:rsidRDefault="00000000">
      <w:pPr>
        <w:pStyle w:val="FirstParagraph"/>
      </w:pPr>
      <w:r>
        <w:t>The monitoring signature collapses, per simulation, the firewall-relevant quantities into a single row: the wind→platform-pitch TE and its significance, the SURD wind-into-blade-pitch term, a blade-pitch “leak” measure, and a population label (</w:t>
      </w:r>
      <w:r>
        <w:rPr>
          <w:rStyle w:val="VerbatimChar"/>
        </w:rPr>
        <w:t>healthy (control active)</w:t>
      </w:r>
      <w:r>
        <w:t xml:space="preserve">, </w:t>
      </w:r>
      <w:r>
        <w:rPr>
          <w:rStyle w:val="VerbatimChar"/>
        </w:rPr>
        <w:t>idle (below rated)</w:t>
      </w:r>
      <w:r>
        <w:t xml:space="preserve">, or a fault population such as </w:t>
      </w:r>
      <w:r>
        <w:rPr>
          <w:rStyle w:val="VerbatimChar"/>
        </w:rPr>
        <w:t>broken (pitch lock)</w:t>
      </w:r>
      <w:r>
        <w:t xml:space="preserve">). The healthy population defines a baseline ceiling on TE(Wind → structure); the monitoring hypothesis is that fault populations exceed it. The fault side of this table was populated by the graded-fault pilot (Section</w:t>
        <w:lastRenderedPageBreak/>
        <w:t xml:space="preserve"> 3.4), which returned a null: the faulted populations do not exceed the healthy ceiling, so the signature establishes the healthy baseline and the monitoring claim is settled as a negative result.</w:t>
      </w:r>
    </w:p>
    <w:p w14:paraId="219A1514" w14:textId="77777777" w:rsidR="000A2783" w:rsidRDefault="00000000">
      <w:pPr>
        <w:pStyle w:val="Heading3"/>
      </w:pPr>
      <w:bookmarkStart w:id="12" w:name="delay-resolved-transfer-entropy"/>
      <w:bookmarkEnd w:id="11"/>
      <w:r>
        <w:t>2.9 Delay-resolved transfer entropy</w:t>
      </w:r>
    </w:p>
    <w:p w14:paraId="2F2775C3" w14:textId="77777777" w:rsidR="000A2783" w:rsidRDefault="00000000">
      <w:pPr>
        <w:pStyle w:val="FirstParagraph"/>
      </w:pPr>
      <w:r>
        <w:t xml:space="preserve">To report the physical delay at which each coupling acts, and to test whether the firewall depends on the lag chosen, a delay-resolved transfer entropy is computed alongside the greedy-embedding pipeline estimate. For a source </w:t>
      </w:r>
      <m:oMath>
        <m:r>
          <w:rPr>
            <w:rFonts w:ascii="Cambria Math" w:hAnsi="Cambria Math"/>
          </w:rPr>
          <m:t>X</m:t>
        </m:r>
      </m:oMath>
      <w:r>
        <w:t xml:space="preserve"> and target </w:t>
      </w:r>
      <m:oMath>
        <m:r>
          <w:rPr>
            <w:rFonts w:ascii="Cambria Math" w:hAnsi="Cambria Math"/>
          </w:rPr>
          <m:t>Y</m:t>
        </m:r>
      </m:oMath>
      <w:r>
        <w:t xml:space="preserve">, the delay-resolved transfer entropy evaluated at each candidate delay </w:t>
      </w:r>
      <m:oMath>
        <m:r>
          <w:rPr>
            <w:rFonts w:ascii="Cambria Math" w:hAnsi="Cambria Math"/>
          </w:rPr>
          <m:t>d</m:t>
        </m:r>
      </m:oMath>
      <w:r>
        <w:t xml:space="preserve"> is (Eq. 9):</w:t>
      </w:r>
    </w:p>
    <w:tbl>
      <w:tblPr>
        <w:tblStyle w:val="TableGrid"/>
        <w:tblW w:w="0" w:type="auto"/>
        <w:tblLook w:val="04A0" w:firstRow="1" w:lastRow="0" w:firstColumn="1" w:lastColumn="0" w:noHBand="0" w:noVBand="1"/>
      </w:tblPr>
      <w:tblGrid>
        <w:gridCol w:w="8658"/>
        <w:gridCol w:w="918"/>
      </w:tblGrid>
      <w:tr w:rsidR="00D96723" w14:paraId="424E8A5E" w14:textId="77777777" w:rsidTr="00D96723">
        <w:tc>
          <w:tcPr>
            <w:tcW w:w="8658" w:type="dxa"/>
            <w:vAlign w:val="center"/>
          </w:tcPr>
          <w:p w14:paraId="17DD76FC" w14:textId="77777777" w:rsidR="00D96723" w:rsidRDefault="00000000" w:rsidP="00D96723">
            <w:pPr>
              <w:pStyle w:val="BodyText"/>
              <w:jc w:val="center"/>
            </w:pPr>
            <m:oMathPara>
              <m:oMath>
                <m:sSub>
                  <m:sSubPr>
                    <m:ctrlPr>
                      <w:rPr>
                        <w:rFonts w:ascii="Cambria Math" w:hAnsi="Cambria Math"/>
                      </w:rPr>
                    </m:ctrlPr>
                  </m:sSubPr>
                  <m:e>
                    <m:r>
                      <m:rPr>
                        <m:sty m:val="p"/>
                      </m:rPr>
                      <w:rPr>
                        <w:rFonts w:ascii="Cambria Math" w:hAnsi="Cambria Math"/>
                      </w:rPr>
                      <m:t>TE</m:t>
                    </m:r>
                  </m:e>
                  <m:sub>
                    <m: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tc>
        <w:tc>
          <w:tcPr>
            <w:tcW w:w="918" w:type="dxa"/>
            <w:vAlign w:val="center"/>
          </w:tcPr>
          <w:p w14:paraId="262A5D6B" w14:textId="77777777" w:rsidR="00D96723" w:rsidRDefault="00D96723" w:rsidP="00D96723">
            <w:pPr>
              <w:pStyle w:val="BodyText"/>
              <w:jc w:val="center"/>
            </w:pPr>
            <w:r>
              <w:rPr>
                <w:rFonts w:asciiTheme="majorBidi" w:hAnsiTheme="majorBidi" w:cstheme="majorBidi"/>
              </w:rPr>
              <w:t>(</w:t>
              <w:fldChar w:fldCharType="begin"/>
              <w:instrText xml:space="preserve"> SEQ (1) \* ARABIC </w:instrText>
              <w:fldChar w:fldCharType="separate"/>
            </w:r>
            <w:r>
              <w:rPr>
                <w:rFonts w:asciiTheme="majorBidi" w:hAnsiTheme="majorBidi" w:cstheme="majorBidi"/>
                <w:noProof/>
              </w:rPr>
              <w:t>9</w:t>
            </w:r>
            <w:r>
              <w:rPr>
                <w:rFonts w:asciiTheme="majorBidi" w:hAnsiTheme="majorBidi" w:cstheme="majorBidi"/>
              </w:rPr>
              <w:fldChar w:fldCharType="end"/>
              <w:t>)</w:t>
            </w:r>
          </w:p>
        </w:tc>
      </w:tr>
    </w:tbl>
    <w:p w14:paraId="5A1F1056" w14:textId="77777777" w:rsidR="000A2783" w:rsidRDefault="00000000">
      <w:pPr>
        <w:pStyle w:val="FirstParagraph"/>
      </w:pPr>
      <w:r>
        <w:t xml:space="preserve">the information the source’s value </w:t>
      </w:r>
      <m:oMath>
        <m:r>
          <w:rPr>
            <w:rFonts w:ascii="Cambria Math" w:hAnsi="Cambria Math"/>
          </w:rPr>
          <m:t>d</m:t>
        </m:r>
      </m:oMath>
      <w:r>
        <w:t xml:space="preserve"> steps earlier carries about the target’s present, conditioned on the target’s immediate past, estimated with the same Kraskov–Stögbauer–Grassberger conditional-mutual-information estimator family (</w:t>
      </w:r>
      <m:oMath>
        <m:r>
          <w:rPr>
            <w:rFonts w:ascii="Cambria Math" w:hAnsi="Cambria Math"/>
          </w:rPr>
          <m:t>k</m:t>
        </m:r>
        <m:r>
          <m:rPr>
            <m:sty m:val="p"/>
          </m:rPr>
          <w:rPr>
            <w:rFonts w:ascii="Cambria Math" w:hAnsi="Cambria Math"/>
          </w:rPr>
          <m:t>=</m:t>
        </m:r>
        <m:r>
          <w:rPr>
            <w:rFonts w:ascii="Cambria Math" w:hAnsi="Cambria Math"/>
          </w:rPr>
          <m:t>4</m:t>
        </m:r>
      </m:oMath>
      <w:r>
        <w:t xml:space="preserve">, Chebyshev metric). Sweeping </w:t>
      </w:r>
      <m:oMath>
        <m:r>
          <w:rPr>
            <w:rFonts w:ascii="Cambria Math" w:hAnsi="Cambria Math"/>
          </w:rPr>
          <m:t>d</m:t>
        </m:r>
      </m:oMath>
      <w:r>
        <w:t xml:space="preserve"> over one full wave peak period (0.2–13 s at 5 Hz) gives the delay profile, and a circular-shift surrogate of the source gives a 95% chance level. Because the estimator is blind to the sign of the dependence, narrowband forcing produces alias peaks at half-period shifts of the true coupling; the selected coupling delay is therefore defined as the profile maximum within the first half wave period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6.5</m:t>
        </m:r>
      </m:oMath>
      <w:r>
        <w:t xml:space="preserve"> s), which excludes edge-of-window artifacts and, for channels responding in phase with the forcing, the half-period aliases; where the physical response is itself near-antiphase, the selected delay legitimately falls near the half-period boundary (platform surge, Section 3.5). This single-lag profile is a complement to, not a replacement for, the pipeline’s greedy multi-lag embedding: because it conditions on only one target lag it returns larger absolute values than the reported bivariate TE, so only the </w:t>
      </w:r>
      <w:r>
        <w:rPr>
          <w:i/>
          <w:iCs/>
        </w:rPr>
        <w:t>location</w:t>
      </w:r>
      <w:r>
        <w:t xml:space="preserve"> of the peak and the source-to-source contrast are interpreted, never the profile’s absolute magnitude. It preprocesses signals identically to the main pipeline.</w:t>
      </w:r>
    </w:p>
    <w:p w14:paraId="74C2AB6D" w14:textId="77777777" w:rsidR="000A2783" w:rsidRDefault="00000000">
      <w:r>
        <w:pict w14:anchorId="14055065">
          <v:rect id="_x0000_i1027" style="width:0;height:1.5pt" o:hralign="center" o:hrstd="t" o:hr="t"/>
        </w:pict>
      </w:r>
    </w:p>
    <w:p w14:paraId="6B375BEC" w14:textId="77777777" w:rsidR="000A2783" w:rsidRDefault="00000000">
      <w:pPr>
        <w:pStyle w:val="Heading2"/>
      </w:pPr>
      <w:bookmarkStart w:id="13" w:name="results"/>
      <w:bookmarkEnd w:id="3"/>
      <w:bookmarkEnd w:id="12"/>
      <w:r>
        <w:t>3. Results</w:t>
      </w:r>
    </w:p>
    <w:p w14:paraId="45CE5928" w14:textId="77777777" w:rsidR="000A2783" w:rsidRDefault="00000000">
      <w:pPr>
        <w:pStyle w:val="FirstParagraph"/>
      </w:pPr>
      <w:r>
        <w:t xml:space="preserve">The results are presented in the order of the argument. Section 3.1 establishes the firewall itself — the near-total absence of wind information in the platform and mooring channels against a dominant wave contribution — and shows its target-specificity and regime structure. Section 3.2 contrasts this with a linear coherence analysis of the same signals, which reaches the opposite conclusion and thereby motivates the directed approach. Section 3.3 attributes the firewall to the controller through SURD redirection and the open-loop twin. Section 3.4 turns the firewall into a monitoring proposal and states honestly how far the present data support it. Section 3.5 reports the physical delays at which the couplings act and shows the firewall is robust to the lag chosen. All transfer-entropy values are in nats; significance is at </w:t>
      </w:r>
      <m:oMath>
        <m:r>
          <w:rPr>
            <w:rFonts w:ascii="Cambria Math" w:hAnsi="Cambria Math"/>
          </w:rPr>
          <m:t>α</m:t>
        </m:r>
        <m:r>
          <m:rPr>
            <m:sty m:val="p"/>
          </m:rPr>
          <w:rPr>
            <w:rFonts w:ascii="Cambria Math" w:hAnsi="Cambria Math"/>
          </w:rPr>
          <m:t>=</m:t>
        </m:r>
        <m:r>
          <w:rPr>
            <w:rFonts w:ascii="Cambria Math" w:hAnsi="Cambria Math"/>
          </w:rPr>
          <m:t>0.05</m:t>
        </m:r>
      </m:oMath>
      <w:r>
        <w:t xml:space="preserve"> with 200 permutation surrogates.</w:t>
      </w:r>
    </w:p>
    <w:p w14:paraId="183F2714" w14:textId="77777777" w:rsidR="000A2783" w:rsidRDefault="00000000">
      <w:pPr>
        <w:pStyle w:val="Heading3"/>
      </w:pPr>
      <w:bookmarkStart w:id="14" w:name="Xcd12dcbbf68bfb9b8d8e45db9a11096ecc47354"/>
      <w:r>
        <w:lastRenderedPageBreak/>
        <w:t>3.1 The firewall: wind carries no information into platform motion</w:t>
      </w:r>
    </w:p>
    <w:p w14:paraId="49CAF20C" w14:textId="77777777" w:rsidR="000A2783" w:rsidRDefault="00000000">
      <w:pPr>
        <w:pStyle w:val="FirstParagraph"/>
      </w:pPr>
      <w:r>
        <w:t>The central result is a stark asymmetry between the two environmental drivers. Table 2 and Figure 4 report transfer entropy from each driver into the platform-pitch response across all 54 simulations.</w:t>
      </w:r>
    </w:p>
    <w:p w14:paraId="09B490A7" w14:textId="77777777" w:rsidR="000A2783" w:rsidRDefault="00000000">
      <w:pPr>
        <w:pStyle w:val="BodyText"/>
      </w:pPr>
      <w:r>
        <w:rPr>
          <w:b/>
          <w:bCs/>
        </w:rPr>
        <w:t>Table 2.</w:t>
      </w:r>
      <w:r>
        <w:t xml:space="preserve"> Transfer entropy (KSG) from environmental drivers to platform pitch, 54 simulations.</w:t>
      </w:r>
    </w:p>
    <w:tbl>
      <w:tblPr>
        <w:tblStyle w:val="Table"/>
        <w:tblW w:w="5000" w:type="pct"/>
        <w:jc w:val="center"/>
        <w:tblLayout w:type="fixed"/>
        <w:tblLook w:val="0020" w:firstRow="1" w:lastRow="0" w:firstColumn="0" w:lastColumn="0" w:noHBand="0" w:noVBand="0"/>
      </w:tblPr>
      <w:tblGrid>
        <w:gridCol w:w="2394"/>
        <w:gridCol w:w="2394"/>
        <w:gridCol w:w="2394"/>
        <w:gridCol w:w="2394"/>
      </w:tblGrid>
      <w:tr w:rsidR="000A2783" w14:paraId="09C3C36C" w14:textId="77777777" w:rsidTr="00116C18">
        <w:trPr>
          <w:cnfStyle w:val="100000000000" w:firstRow="1" w:lastRow="0" w:firstColumn="0" w:lastColumn="0" w:oddVBand="0" w:evenVBand="0" w:oddHBand="0" w:evenHBand="0" w:firstRowFirstColumn="0" w:firstRowLastColumn="0" w:lastRowFirstColumn="0" w:lastRowLastColumn="0"/>
          <w:tblHeader/>
          <w:jc w:val="center"/>
        </w:trPr>
        <w:tc>
          <w:tcPr>
            <w:tcW w:w="1980" w:type="dxa"/>
            <w:vAlign w:val="center"/>
          </w:tcPr>
          <w:p w14:paraId="6F1E056C" w14:textId="77777777" w:rsidR="000A2783" w:rsidRDefault="00000000" w:rsidP="00116C18">
            <w:pPr>
              <w:pStyle w:val="Compact"/>
              <w:jc w:val="center"/>
            </w:pPr>
            <w:r>
              <w:t>Source → target</w:t>
            </w:r>
          </w:p>
        </w:tc>
        <w:tc>
          <w:tcPr>
            <w:tcW w:w="1980" w:type="dxa"/>
            <w:vAlign w:val="center"/>
          </w:tcPr>
          <w:p w14:paraId="6DC2E742" w14:textId="77777777" w:rsidR="000A2783" w:rsidRDefault="00000000" w:rsidP="00116C18">
            <w:pPr>
              <w:pStyle w:val="Compact"/>
              <w:jc w:val="center"/>
            </w:pPr>
            <w:r>
              <w:t>Mean TE (nats)</w:t>
            </w:r>
          </w:p>
        </w:tc>
        <w:tc>
          <w:tcPr>
            <w:tcW w:w="1980" w:type="dxa"/>
            <w:vAlign w:val="center"/>
          </w:tcPr>
          <w:p w14:paraId="692EC5E3" w14:textId="77777777" w:rsidR="000A2783" w:rsidRDefault="00000000" w:rsidP="00116C18">
            <w:pPr>
              <w:pStyle w:val="Compact"/>
              <w:jc w:val="center"/>
            </w:pPr>
            <w:r>
              <w:t>Max TE (nats)</w:t>
            </w:r>
          </w:p>
        </w:tc>
        <w:tc>
          <w:tcPr>
            <w:tcW w:w="1980" w:type="dxa"/>
            <w:vAlign w:val="center"/>
          </w:tcPr>
          <w:p w14:paraId="426A797F" w14:textId="77777777" w:rsidR="000A2783" w:rsidRDefault="00000000" w:rsidP="00116C18">
            <w:pPr>
              <w:pStyle w:val="Compact"/>
              <w:jc w:val="center"/>
            </w:pPr>
            <w:r>
              <w:t>Fraction significant</w:t>
            </w:r>
          </w:p>
        </w:tc>
      </w:tr>
      <w:tr w:rsidR="000A2783" w14:paraId="01363BBE" w14:textId="77777777" w:rsidTr="00116C18">
        <w:trPr>
          <w:jc w:val="center"/>
        </w:trPr>
        <w:tc>
          <w:tcPr>
            <w:tcW w:w="1980" w:type="dxa"/>
            <w:vAlign w:val="center"/>
          </w:tcPr>
          <w:p w14:paraId="362CC83F" w14:textId="77777777" w:rsidR="000A2783" w:rsidRDefault="00000000" w:rsidP="00116C18">
            <w:pPr>
              <w:pStyle w:val="Compact"/>
              <w:jc w:val="center"/>
            </w:pPr>
            <w:r>
              <w:t>Wind → PtfmPitch</w:t>
            </w:r>
          </w:p>
        </w:tc>
        <w:tc>
          <w:tcPr>
            <w:tcW w:w="1980" w:type="dxa"/>
            <w:vAlign w:val="center"/>
          </w:tcPr>
          <w:p w14:paraId="6F0AF3B2" w14:textId="77777777" w:rsidR="000A2783" w:rsidRDefault="00000000" w:rsidP="00116C18">
            <w:pPr>
              <w:pStyle w:val="Compact"/>
              <w:jc w:val="center"/>
            </w:pPr>
            <w:r>
              <w:t>0.0009</w:t>
            </w:r>
          </w:p>
        </w:tc>
        <w:tc>
          <w:tcPr>
            <w:tcW w:w="1980" w:type="dxa"/>
            <w:vAlign w:val="center"/>
          </w:tcPr>
          <w:p w14:paraId="1233F990" w14:textId="77777777" w:rsidR="000A2783" w:rsidRDefault="00000000" w:rsidP="00116C18">
            <w:pPr>
              <w:pStyle w:val="Compact"/>
              <w:jc w:val="center"/>
            </w:pPr>
            <w:r>
              <w:t>0.0293</w:t>
            </w:r>
          </w:p>
        </w:tc>
        <w:tc>
          <w:tcPr>
            <w:tcW w:w="1980" w:type="dxa"/>
            <w:vAlign w:val="center"/>
          </w:tcPr>
          <w:p w14:paraId="6EF9D390" w14:textId="77777777" w:rsidR="000A2783" w:rsidRDefault="00000000" w:rsidP="00116C18">
            <w:pPr>
              <w:pStyle w:val="Compact"/>
              <w:jc w:val="center"/>
            </w:pPr>
            <w:r>
              <w:t>3.7%</w:t>
            </w:r>
          </w:p>
        </w:tc>
      </w:tr>
      <w:tr w:rsidR="000A2783" w14:paraId="4DAAF3D8" w14:textId="77777777" w:rsidTr="00116C18">
        <w:trPr>
          <w:jc w:val="center"/>
        </w:trPr>
        <w:tc>
          <w:tcPr>
            <w:tcW w:w="1980" w:type="dxa"/>
            <w:vAlign w:val="center"/>
          </w:tcPr>
          <w:p w14:paraId="189EA864" w14:textId="77777777" w:rsidR="000A2783" w:rsidRDefault="00000000" w:rsidP="00116C18">
            <w:pPr>
              <w:pStyle w:val="Compact"/>
              <w:jc w:val="center"/>
            </w:pPr>
            <w:r>
              <w:t>Wave → PtfmPitch</w:t>
            </w:r>
          </w:p>
        </w:tc>
        <w:tc>
          <w:tcPr>
            <w:tcW w:w="1980" w:type="dxa"/>
            <w:vAlign w:val="center"/>
          </w:tcPr>
          <w:p w14:paraId="19AEB8EE" w14:textId="77777777" w:rsidR="000A2783" w:rsidRDefault="00000000" w:rsidP="00116C18">
            <w:pPr>
              <w:pStyle w:val="Compact"/>
              <w:jc w:val="center"/>
            </w:pPr>
            <w:r>
              <w:t>0.1214</w:t>
            </w:r>
          </w:p>
        </w:tc>
        <w:tc>
          <w:tcPr>
            <w:tcW w:w="1980" w:type="dxa"/>
            <w:vAlign w:val="center"/>
          </w:tcPr>
          <w:p w14:paraId="5EF95511" w14:textId="77777777" w:rsidR="000A2783" w:rsidRDefault="00000000" w:rsidP="00116C18">
            <w:pPr>
              <w:pStyle w:val="Compact"/>
              <w:jc w:val="center"/>
            </w:pPr>
            <w:r>
              <w:t>0.2658</w:t>
            </w:r>
          </w:p>
        </w:tc>
        <w:tc>
          <w:tcPr>
            <w:tcW w:w="1980" w:type="dxa"/>
            <w:vAlign w:val="center"/>
          </w:tcPr>
          <w:p w14:paraId="1E416420" w14:textId="77777777" w:rsidR="000A2783" w:rsidRDefault="00000000" w:rsidP="00116C18">
            <w:pPr>
              <w:pStyle w:val="Compact"/>
              <w:jc w:val="center"/>
            </w:pPr>
            <w:r>
              <w:t>100%</w:t>
            </w:r>
          </w:p>
        </w:tc>
      </w:tr>
      <w:tr w:rsidR="000A2783" w14:paraId="63C4B230" w14:textId="77777777" w:rsidTr="00116C18">
        <w:trPr>
          <w:jc w:val="center"/>
        </w:trPr>
        <w:tc>
          <w:tcPr>
            <w:tcW w:w="1980" w:type="dxa"/>
            <w:vAlign w:val="center"/>
          </w:tcPr>
          <w:p w14:paraId="3259859A" w14:textId="77777777" w:rsidR="000A2783" w:rsidRDefault="00000000" w:rsidP="00116C18">
            <w:pPr>
              <w:pStyle w:val="Compact"/>
              <w:jc w:val="center"/>
            </w:pPr>
            <w:r>
              <w:t>Wind → PtfmSurge</w:t>
            </w:r>
          </w:p>
        </w:tc>
        <w:tc>
          <w:tcPr>
            <w:tcW w:w="1980" w:type="dxa"/>
            <w:vAlign w:val="center"/>
          </w:tcPr>
          <w:p w14:paraId="2F674082" w14:textId="77777777" w:rsidR="000A2783" w:rsidRDefault="00000000" w:rsidP="00116C18">
            <w:pPr>
              <w:pStyle w:val="Compact"/>
              <w:jc w:val="center"/>
            </w:pPr>
            <w:r>
              <w:t>0.0013</w:t>
            </w:r>
          </w:p>
        </w:tc>
        <w:tc>
          <w:tcPr>
            <w:tcW w:w="1980" w:type="dxa"/>
            <w:vAlign w:val="center"/>
          </w:tcPr>
          <w:p w14:paraId="272293B8" w14:textId="77777777" w:rsidR="000A2783" w:rsidRDefault="00000000" w:rsidP="00116C18">
            <w:pPr>
              <w:pStyle w:val="Compact"/>
              <w:jc w:val="center"/>
            </w:pPr>
            <w:r>
              <w:t>0.0239</w:t>
            </w:r>
          </w:p>
        </w:tc>
        <w:tc>
          <w:tcPr>
            <w:tcW w:w="1980" w:type="dxa"/>
            <w:vAlign w:val="center"/>
          </w:tcPr>
          <w:p w14:paraId="7489C12C" w14:textId="77777777" w:rsidR="000A2783" w:rsidRDefault="00000000" w:rsidP="00116C18">
            <w:pPr>
              <w:pStyle w:val="Compact"/>
              <w:jc w:val="center"/>
            </w:pPr>
            <w:r>
              <w:t>11.1%</w:t>
            </w:r>
          </w:p>
        </w:tc>
      </w:tr>
      <w:tr w:rsidR="000A2783" w14:paraId="3CCD558E" w14:textId="77777777" w:rsidTr="00116C18">
        <w:trPr>
          <w:jc w:val="center"/>
        </w:trPr>
        <w:tc>
          <w:tcPr>
            <w:tcW w:w="1980" w:type="dxa"/>
            <w:vAlign w:val="center"/>
          </w:tcPr>
          <w:p w14:paraId="0BF4C95C" w14:textId="77777777" w:rsidR="000A2783" w:rsidRDefault="00000000" w:rsidP="00116C18">
            <w:pPr>
              <w:pStyle w:val="Compact"/>
              <w:jc w:val="center"/>
            </w:pPr>
            <w:r>
              <w:t>Wave → PtfmSurge</w:t>
            </w:r>
          </w:p>
        </w:tc>
        <w:tc>
          <w:tcPr>
            <w:tcW w:w="1980" w:type="dxa"/>
            <w:vAlign w:val="center"/>
          </w:tcPr>
          <w:p w14:paraId="48DD93CE" w14:textId="77777777" w:rsidR="000A2783" w:rsidRDefault="00000000" w:rsidP="00116C18">
            <w:pPr>
              <w:pStyle w:val="Compact"/>
              <w:jc w:val="center"/>
            </w:pPr>
            <w:r>
              <w:t>0.1069</w:t>
            </w:r>
          </w:p>
        </w:tc>
        <w:tc>
          <w:tcPr>
            <w:tcW w:w="1980" w:type="dxa"/>
            <w:vAlign w:val="center"/>
          </w:tcPr>
          <w:p w14:paraId="777C2751" w14:textId="77777777" w:rsidR="000A2783" w:rsidRDefault="00000000" w:rsidP="00116C18">
            <w:pPr>
              <w:pStyle w:val="Compact"/>
              <w:jc w:val="center"/>
            </w:pPr>
            <w:r>
              <w:t>0.2796</w:t>
            </w:r>
          </w:p>
        </w:tc>
        <w:tc>
          <w:tcPr>
            <w:tcW w:w="1980" w:type="dxa"/>
            <w:vAlign w:val="center"/>
          </w:tcPr>
          <w:p w14:paraId="70FD3453" w14:textId="77777777" w:rsidR="000A2783" w:rsidRDefault="00000000" w:rsidP="00116C18">
            <w:pPr>
              <w:pStyle w:val="Compact"/>
              <w:jc w:val="center"/>
            </w:pPr>
            <w:r>
              <w:t>92.6%</w:t>
            </w:r>
          </w:p>
        </w:tc>
      </w:tr>
    </w:tbl>
    <w:p w14:paraId="2C57F6BD" w14:textId="77777777" w:rsidR="000A2783" w:rsidRDefault="00000000">
      <w:pPr>
        <w:pStyle w:val="BodyText"/>
      </w:pPr>
      <w:r>
        <w:t>Wave elevation transfers a large, consistently significant quantity of information into platform pitch (0.121 nats, significant in every case). Hub-height wind transfers almost none: a mean of 0.0009 nats, a maximum of 0.029, and statistical significance in only two of 54 cases (3.7%). A percentile bootstrap over the 54 cases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resamples) places the wind→pitch mean at 0.0009 nats with a 95% confidence interval of [0.0000, 0.0024] — an interval whose lower bound is zero — against [0.1051, 0.1384] nats for wave→pitch, an order of magnitude higher and bounded well away from zero. The same pattern holds for platform surge (wind 95% CI [0.0003, 0.0025] versus wave [0.0884, 0.1259] nats). Aggregated across all nine structural targets, wave elevation produces 341 significant directed edges out of 486 (70%), while wind produces 69 of 486 (14%).</w:t>
      </w:r>
    </w:p>
    <w:p w14:paraId="45A17572" w14:textId="77777777" w:rsidR="000A2783" w:rsidRDefault="00000000">
      <w:pPr>
        <w:pStyle w:val="BodyText"/>
      </w:pPr>
      <w:r>
        <w:t>Two observations reinforce that the wind→platform result is a genuine zero rather than a small-but-real effect. First, in normalized terms the wind information adds only 0.04% to the platform’s own self-predictability (</w:t>
      </w:r>
      <w:r>
        <w:rPr>
          <w:rStyle w:val="VerbatimChar"/>
        </w:rPr>
        <w:t>te_frac</w:t>
      </w:r>
      <w:r>
        <w:t xml:space="preserve"> mean 0.0004, maximum 0.012), against 4.3% for wave (</w:t>
      </w:r>
      <w:r>
        <w:rPr>
          <w:rStyle w:val="VerbatimChar"/>
        </w:rPr>
        <w:t>te_frac</w:t>
      </w:r>
      <w:r>
        <w:t xml:space="preserve"> mean 0.043) — two orders of magnitude apart, so the near-zero raw TE is not an artifact of a highly self-predictable target. Second, the wind→platform-pitch significance rate sits </w:t>
      </w:r>
      <w:r>
        <w:rPr>
          <w:i/>
          <w:iCs/>
        </w:rPr>
        <w:t>at the chance floor</w:t>
      </w:r>
      <w:r>
        <w:t>: with a permutation test at α = 0.05 one expects about 2.7 of 54 cases to test significant by chance, and exactly two do. Wind is therefore selected as a source no more often than pure noise would produce, which is the strongest possible statement of a firewall short of an exact zero — but it also means, as the monitoring discussion below notes, that those two “significant” cases are consistent with chance and cannot themselves be read as evidence of anything.</w:t>
      </w:r>
    </w:p>
    <w:p w14:paraId="5E236683" w14:textId="77777777" w:rsidR="000A2783" w:rsidRDefault="00000000">
      <w:pPr>
        <w:pStyle w:val="BodyText"/>
      </w:pPr>
      <w:r>
        <w:t xml:space="preserve">Table 3 extends the comparison to all nine structural targets and exposes an important refinement. The firewall is specific to the </w:t>
      </w:r>
      <w:r>
        <w:rPr>
          <w:i/>
          <w:iCs/>
        </w:rPr>
        <w:t>platform and mooring</w:t>
      </w:r>
      <w:r>
        <w:t xml:space="preserve"> channels — the floating body’s rigid-body response and the loads it transmits to the moorings. On platform surge, heave, and pitch and on the fairlead tensions, wave information dominates (means of 0.11–0.12 nats, near-universal significance) while wind information is negligible (means below 0.003 nats, significance at or below 11%). The one departure tracks the mooring geometry: fairleads 2 and 3 terminate the symmetric down-wave line pair and behave identically (both 100% wave-significant, means ≈ 0.11 nats), whereas fairlead 1 terminates the single up-wave line lying in the co-directional wind–wave plane and couples to the wave an order of magnitude more weakly (0.0195 nats, 53.7% </w:t>
        <w:lastRenderedPageBreak/>
        <w:t xml:space="preserve">significant) — an asymmetry that shows no simple trend with operating point and is reported as an observation without asserting a mechanism. The wind edges that </w:t>
      </w:r>
      <w:r>
        <w:rPr>
          <w:i/>
          <w:iCs/>
        </w:rPr>
        <w:t>do</w:t>
      </w:r>
      <w:r>
        <w:t xml:space="preserve"> survive concentrate on the aerodynamically direct channels: the blade-root moments and the tower-base moment, where wind reaches the structure through the rotor before any platform motion is involved. Wind→RootMxc1 is significant in 39% of cases and wind→TwrBsMyt in 28%, an order of magnitude more often than wind→PtfmPitch (3.7%). This is exactly what the mechanism predicts: wind fluctuations reach the </w:t>
      </w:r>
      <w:r>
        <w:rPr>
          <w:i/>
          <w:iCs/>
        </w:rPr>
        <w:t>blades</w:t>
      </w:r>
      <w:r>
        <w:t xml:space="preserve"> — they must, since that is where aerodynamic force is generated — but they do not propagate onward into </w:t>
      </w:r>
      <w:r>
        <w:rPr>
          <w:i/>
          <w:iCs/>
        </w:rPr>
        <w:t>platform</w:t>
      </w:r>
      <w:r>
        <w:t xml:space="preserve"> motion. These aerodynamically direct edges also serve as a positive control on the estimator: the same KSG/IDTxl configuration, applied to the same runs, readily certifies wind→structure information where the physics places it, so the near-zero on the platform channels reflects an absent pathway rather than an insensitive estimator. As a further check that the firewall is not an artifact of a particular estimator implementation, transfer entropy was re-estimated over the entire 54-case campaign on an independent GPU (OpenCL–Kraskov) backend: the wind→platform null reproduces and, if anything, tightens — the wind→platform-surge significance rate falls from 11% to 0% and the maximum wind→platform transfer entropy over all cases drops below 0.005 nats, remaining at or beneath the α = 0.05 chance floor in every case. This re-estimation is cited as a wind-side robustness check only, and the first-pass magnitudes are retained in Tables 3–4: the full-campaign run used a shorter source-lag search window (≈ 4 s), which is appropriate for the near-instantaneous wind→platform channel but truncates the 6.3 s wave→surge coupling delay (Section 3.5), so it systematically underestimates the wave→platform magnitudes and is not the better instrument for those.</w:t>
      </w:r>
    </w:p>
    <w:p w14:paraId="0F20901A" w14:textId="77777777" w:rsidR="000A2783" w:rsidRDefault="00000000">
      <w:pPr>
        <w:pStyle w:val="BodyText"/>
      </w:pPr>
      <w:r>
        <w:rPr>
          <w:b/>
          <w:bCs/>
        </w:rPr>
        <w:t>Table 3.</w:t>
      </w:r>
      <w:r>
        <w:t xml:space="preserve"> Transfer entropy from wind and wave to all nine structural targets (mean over 54 simulations; fraction of cases statistically significant). Platform and mooring channels are firewalled against wind; the aerodynamically direct blade/tower channels are not.</w:t>
      </w:r>
    </w:p>
    <w:tbl>
      <w:tblPr>
        <w:tblStyle w:val="Table"/>
        <w:tblW w:w="0" w:type="auto"/>
        <w:jc w:val="center"/>
        <w:tblLook w:val="0020" w:firstRow="1" w:lastRow="0" w:firstColumn="0" w:lastColumn="0" w:noHBand="0" w:noVBand="0"/>
      </w:tblPr>
      <w:tblGrid>
        <w:gridCol w:w="1350"/>
        <w:gridCol w:w="1936"/>
        <w:gridCol w:w="1150"/>
        <w:gridCol w:w="1962"/>
        <w:gridCol w:w="1176"/>
      </w:tblGrid>
      <w:tr w:rsidR="000A2783" w14:paraId="749F4223" w14:textId="77777777" w:rsidTr="00116C18">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F44E71F" w14:textId="77777777" w:rsidR="000A2783" w:rsidRDefault="00000000">
            <w:pPr>
              <w:pStyle w:val="Compact"/>
            </w:pPr>
            <w:r>
              <w:t>Target</w:t>
            </w:r>
          </w:p>
        </w:tc>
        <w:tc>
          <w:tcPr>
            <w:tcW w:w="0" w:type="auto"/>
          </w:tcPr>
          <w:p w14:paraId="41637A83" w14:textId="77777777" w:rsidR="000A2783" w:rsidRDefault="00000000">
            <w:pPr>
              <w:pStyle w:val="Compact"/>
            </w:pPr>
            <w:r>
              <w:t>Wind mean (nats)</w:t>
            </w:r>
          </w:p>
        </w:tc>
        <w:tc>
          <w:tcPr>
            <w:tcW w:w="0" w:type="auto"/>
          </w:tcPr>
          <w:p w14:paraId="205FBCF2" w14:textId="77777777" w:rsidR="000A2783" w:rsidRDefault="00000000">
            <w:pPr>
              <w:pStyle w:val="Compact"/>
            </w:pPr>
            <w:r>
              <w:t>Wind sig.</w:t>
            </w:r>
          </w:p>
        </w:tc>
        <w:tc>
          <w:tcPr>
            <w:tcW w:w="0" w:type="auto"/>
          </w:tcPr>
          <w:p w14:paraId="13E06316" w14:textId="77777777" w:rsidR="000A2783" w:rsidRDefault="00000000">
            <w:pPr>
              <w:pStyle w:val="Compact"/>
            </w:pPr>
            <w:r>
              <w:t>Wave mean (nats)</w:t>
            </w:r>
          </w:p>
        </w:tc>
        <w:tc>
          <w:tcPr>
            <w:tcW w:w="0" w:type="auto"/>
          </w:tcPr>
          <w:p w14:paraId="22460E4C" w14:textId="77777777" w:rsidR="000A2783" w:rsidRDefault="00000000">
            <w:pPr>
              <w:pStyle w:val="Compact"/>
            </w:pPr>
            <w:r>
              <w:t>Wave sig.</w:t>
            </w:r>
          </w:p>
        </w:tc>
      </w:tr>
      <w:tr w:rsidR="000A2783" w14:paraId="78D6122A" w14:textId="77777777" w:rsidTr="00116C18">
        <w:trPr>
          <w:jc w:val="center"/>
        </w:trPr>
        <w:tc>
          <w:tcPr>
            <w:tcW w:w="0" w:type="auto"/>
          </w:tcPr>
          <w:p w14:paraId="1CB93253" w14:textId="77777777" w:rsidR="000A2783" w:rsidRDefault="00000000">
            <w:pPr>
              <w:pStyle w:val="Compact"/>
            </w:pPr>
            <w:r>
              <w:t>PtfmSurge</w:t>
            </w:r>
          </w:p>
        </w:tc>
        <w:tc>
          <w:tcPr>
            <w:tcW w:w="0" w:type="auto"/>
          </w:tcPr>
          <w:p w14:paraId="07CC6C81" w14:textId="77777777" w:rsidR="000A2783" w:rsidRDefault="00000000">
            <w:pPr>
              <w:pStyle w:val="Compact"/>
            </w:pPr>
            <w:r>
              <w:t>0.0013</w:t>
            </w:r>
          </w:p>
        </w:tc>
        <w:tc>
          <w:tcPr>
            <w:tcW w:w="0" w:type="auto"/>
          </w:tcPr>
          <w:p w14:paraId="486B35E1" w14:textId="77777777" w:rsidR="000A2783" w:rsidRDefault="00000000">
            <w:pPr>
              <w:pStyle w:val="Compact"/>
            </w:pPr>
            <w:r>
              <w:t>11.1%</w:t>
            </w:r>
          </w:p>
        </w:tc>
        <w:tc>
          <w:tcPr>
            <w:tcW w:w="0" w:type="auto"/>
          </w:tcPr>
          <w:p w14:paraId="53FEC83C" w14:textId="77777777" w:rsidR="000A2783" w:rsidRDefault="00000000">
            <w:pPr>
              <w:pStyle w:val="Compact"/>
            </w:pPr>
            <w:r>
              <w:t>0.1069</w:t>
            </w:r>
          </w:p>
        </w:tc>
        <w:tc>
          <w:tcPr>
            <w:tcW w:w="0" w:type="auto"/>
          </w:tcPr>
          <w:p w14:paraId="70549B48" w14:textId="77777777" w:rsidR="000A2783" w:rsidRDefault="00000000">
            <w:pPr>
              <w:pStyle w:val="Compact"/>
            </w:pPr>
            <w:r>
              <w:t>92.6%</w:t>
            </w:r>
          </w:p>
        </w:tc>
      </w:tr>
      <w:tr w:rsidR="000A2783" w14:paraId="11614DAE" w14:textId="77777777" w:rsidTr="00116C18">
        <w:trPr>
          <w:jc w:val="center"/>
        </w:trPr>
        <w:tc>
          <w:tcPr>
            <w:tcW w:w="0" w:type="auto"/>
          </w:tcPr>
          <w:p w14:paraId="4783BC95" w14:textId="77777777" w:rsidR="000A2783" w:rsidRDefault="00000000">
            <w:pPr>
              <w:pStyle w:val="Compact"/>
            </w:pPr>
            <w:r>
              <w:t>PtfmHeave</w:t>
            </w:r>
          </w:p>
        </w:tc>
        <w:tc>
          <w:tcPr>
            <w:tcW w:w="0" w:type="auto"/>
          </w:tcPr>
          <w:p w14:paraId="23E68C8D" w14:textId="77777777" w:rsidR="000A2783" w:rsidRDefault="00000000">
            <w:pPr>
              <w:pStyle w:val="Compact"/>
            </w:pPr>
            <w:r>
              <w:t>0.0001</w:t>
            </w:r>
          </w:p>
        </w:tc>
        <w:tc>
          <w:tcPr>
            <w:tcW w:w="0" w:type="auto"/>
          </w:tcPr>
          <w:p w14:paraId="5EAAD0B1" w14:textId="77777777" w:rsidR="000A2783" w:rsidRDefault="00000000">
            <w:pPr>
              <w:pStyle w:val="Compact"/>
            </w:pPr>
            <w:r>
              <w:t>5.6%</w:t>
            </w:r>
          </w:p>
        </w:tc>
        <w:tc>
          <w:tcPr>
            <w:tcW w:w="0" w:type="auto"/>
          </w:tcPr>
          <w:p w14:paraId="5A14FD7A" w14:textId="77777777" w:rsidR="000A2783" w:rsidRDefault="00000000">
            <w:pPr>
              <w:pStyle w:val="Compact"/>
            </w:pPr>
            <w:r>
              <w:t>0.1139</w:t>
            </w:r>
          </w:p>
        </w:tc>
        <w:tc>
          <w:tcPr>
            <w:tcW w:w="0" w:type="auto"/>
          </w:tcPr>
          <w:p w14:paraId="724D0FBA" w14:textId="77777777" w:rsidR="000A2783" w:rsidRDefault="00000000">
            <w:pPr>
              <w:pStyle w:val="Compact"/>
            </w:pPr>
            <w:r>
              <w:t>87.0%</w:t>
            </w:r>
          </w:p>
        </w:tc>
      </w:tr>
      <w:tr w:rsidR="000A2783" w14:paraId="515635FC" w14:textId="77777777" w:rsidTr="00116C18">
        <w:trPr>
          <w:jc w:val="center"/>
        </w:trPr>
        <w:tc>
          <w:tcPr>
            <w:tcW w:w="0" w:type="auto"/>
          </w:tcPr>
          <w:p w14:paraId="5CEDD078" w14:textId="77777777" w:rsidR="000A2783" w:rsidRDefault="00000000">
            <w:pPr>
              <w:pStyle w:val="Compact"/>
            </w:pPr>
            <w:r>
              <w:t>PtfmPitch</w:t>
            </w:r>
          </w:p>
        </w:tc>
        <w:tc>
          <w:tcPr>
            <w:tcW w:w="0" w:type="auto"/>
          </w:tcPr>
          <w:p w14:paraId="2A6377A4" w14:textId="77777777" w:rsidR="000A2783" w:rsidRDefault="00000000">
            <w:pPr>
              <w:pStyle w:val="Compact"/>
            </w:pPr>
            <w:r>
              <w:t>0.0009</w:t>
            </w:r>
          </w:p>
        </w:tc>
        <w:tc>
          <w:tcPr>
            <w:tcW w:w="0" w:type="auto"/>
          </w:tcPr>
          <w:p w14:paraId="44F1A592" w14:textId="77777777" w:rsidR="000A2783" w:rsidRDefault="00000000">
            <w:pPr>
              <w:pStyle w:val="Compact"/>
            </w:pPr>
            <w:r>
              <w:t>3.7%</w:t>
            </w:r>
          </w:p>
        </w:tc>
        <w:tc>
          <w:tcPr>
            <w:tcW w:w="0" w:type="auto"/>
          </w:tcPr>
          <w:p w14:paraId="0569A776" w14:textId="77777777" w:rsidR="000A2783" w:rsidRDefault="00000000">
            <w:pPr>
              <w:pStyle w:val="Compact"/>
            </w:pPr>
            <w:r>
              <w:t>0.1214</w:t>
            </w:r>
          </w:p>
        </w:tc>
        <w:tc>
          <w:tcPr>
            <w:tcW w:w="0" w:type="auto"/>
          </w:tcPr>
          <w:p w14:paraId="414A100A" w14:textId="77777777" w:rsidR="000A2783" w:rsidRDefault="00000000">
            <w:pPr>
              <w:pStyle w:val="Compact"/>
            </w:pPr>
            <w:r>
              <w:t>100%</w:t>
            </w:r>
          </w:p>
        </w:tc>
      </w:tr>
      <w:tr w:rsidR="000A2783" w14:paraId="6155BEDB" w14:textId="77777777" w:rsidTr="00116C18">
        <w:trPr>
          <w:jc w:val="center"/>
        </w:trPr>
        <w:tc>
          <w:tcPr>
            <w:tcW w:w="0" w:type="auto"/>
          </w:tcPr>
          <w:p w14:paraId="7361E307" w14:textId="77777777" w:rsidR="000A2783" w:rsidRDefault="00000000">
            <w:pPr>
              <w:pStyle w:val="Compact"/>
            </w:pPr>
            <w:r>
              <w:t>FAIRTEN1</w:t>
            </w:r>
          </w:p>
        </w:tc>
        <w:tc>
          <w:tcPr>
            <w:tcW w:w="0" w:type="auto"/>
          </w:tcPr>
          <w:p w14:paraId="0D4F859F" w14:textId="77777777" w:rsidR="000A2783" w:rsidRDefault="00000000">
            <w:pPr>
              <w:pStyle w:val="Compact"/>
            </w:pPr>
            <w:r>
              <w:t>0.0024</w:t>
            </w:r>
          </w:p>
        </w:tc>
        <w:tc>
          <w:tcPr>
            <w:tcW w:w="0" w:type="auto"/>
          </w:tcPr>
          <w:p w14:paraId="3EC5E4D3" w14:textId="77777777" w:rsidR="000A2783" w:rsidRDefault="00000000">
            <w:pPr>
              <w:pStyle w:val="Compact"/>
            </w:pPr>
            <w:r>
              <w:t>9.3%</w:t>
            </w:r>
          </w:p>
        </w:tc>
        <w:tc>
          <w:tcPr>
            <w:tcW w:w="0" w:type="auto"/>
          </w:tcPr>
          <w:p w14:paraId="48E8581B" w14:textId="77777777" w:rsidR="000A2783" w:rsidRDefault="00000000">
            <w:pPr>
              <w:pStyle w:val="Compact"/>
            </w:pPr>
            <w:r>
              <w:t>0.0195</w:t>
            </w:r>
          </w:p>
        </w:tc>
        <w:tc>
          <w:tcPr>
            <w:tcW w:w="0" w:type="auto"/>
          </w:tcPr>
          <w:p w14:paraId="1488DB67" w14:textId="77777777" w:rsidR="000A2783" w:rsidRDefault="00000000">
            <w:pPr>
              <w:pStyle w:val="Compact"/>
            </w:pPr>
            <w:r>
              <w:t>53.7%</w:t>
            </w:r>
          </w:p>
        </w:tc>
      </w:tr>
      <w:tr w:rsidR="000A2783" w14:paraId="62BA5254" w14:textId="77777777" w:rsidTr="00116C18">
        <w:trPr>
          <w:jc w:val="center"/>
        </w:trPr>
        <w:tc>
          <w:tcPr>
            <w:tcW w:w="0" w:type="auto"/>
          </w:tcPr>
          <w:p w14:paraId="3187B97E" w14:textId="77777777" w:rsidR="000A2783" w:rsidRDefault="00000000">
            <w:pPr>
              <w:pStyle w:val="Compact"/>
            </w:pPr>
            <w:r>
              <w:t>FAIRTEN2</w:t>
            </w:r>
          </w:p>
        </w:tc>
        <w:tc>
          <w:tcPr>
            <w:tcW w:w="0" w:type="auto"/>
          </w:tcPr>
          <w:p w14:paraId="3EE3D9C2" w14:textId="77777777" w:rsidR="000A2783" w:rsidRDefault="00000000">
            <w:pPr>
              <w:pStyle w:val="Compact"/>
            </w:pPr>
            <w:r>
              <w:t>0.0012</w:t>
            </w:r>
          </w:p>
        </w:tc>
        <w:tc>
          <w:tcPr>
            <w:tcW w:w="0" w:type="auto"/>
          </w:tcPr>
          <w:p w14:paraId="4625D027" w14:textId="77777777" w:rsidR="000A2783" w:rsidRDefault="00000000">
            <w:pPr>
              <w:pStyle w:val="Compact"/>
            </w:pPr>
            <w:r>
              <w:t>5.6%</w:t>
            </w:r>
          </w:p>
        </w:tc>
        <w:tc>
          <w:tcPr>
            <w:tcW w:w="0" w:type="auto"/>
          </w:tcPr>
          <w:p w14:paraId="33AF387E" w14:textId="77777777" w:rsidR="000A2783" w:rsidRDefault="00000000">
            <w:pPr>
              <w:pStyle w:val="Compact"/>
            </w:pPr>
            <w:r>
              <w:t>0.1113</w:t>
            </w:r>
          </w:p>
        </w:tc>
        <w:tc>
          <w:tcPr>
            <w:tcW w:w="0" w:type="auto"/>
          </w:tcPr>
          <w:p w14:paraId="641708D2" w14:textId="77777777" w:rsidR="000A2783" w:rsidRDefault="00000000">
            <w:pPr>
              <w:pStyle w:val="Compact"/>
            </w:pPr>
            <w:r>
              <w:t>100%</w:t>
            </w:r>
          </w:p>
        </w:tc>
      </w:tr>
      <w:tr w:rsidR="000A2783" w14:paraId="57D76166" w14:textId="77777777" w:rsidTr="00116C18">
        <w:trPr>
          <w:jc w:val="center"/>
        </w:trPr>
        <w:tc>
          <w:tcPr>
            <w:tcW w:w="0" w:type="auto"/>
          </w:tcPr>
          <w:p w14:paraId="20F54BE4" w14:textId="77777777" w:rsidR="000A2783" w:rsidRDefault="00000000">
            <w:pPr>
              <w:pStyle w:val="Compact"/>
            </w:pPr>
            <w:r>
              <w:t>FAIRTEN3</w:t>
            </w:r>
          </w:p>
        </w:tc>
        <w:tc>
          <w:tcPr>
            <w:tcW w:w="0" w:type="auto"/>
          </w:tcPr>
          <w:p w14:paraId="7D6D2877" w14:textId="77777777" w:rsidR="000A2783" w:rsidRDefault="00000000">
            <w:pPr>
              <w:pStyle w:val="Compact"/>
            </w:pPr>
            <w:r>
              <w:t>0.0018</w:t>
            </w:r>
          </w:p>
        </w:tc>
        <w:tc>
          <w:tcPr>
            <w:tcW w:w="0" w:type="auto"/>
          </w:tcPr>
          <w:p w14:paraId="5FB657BD" w14:textId="77777777" w:rsidR="000A2783" w:rsidRDefault="00000000">
            <w:pPr>
              <w:pStyle w:val="Compact"/>
            </w:pPr>
            <w:r>
              <w:t>9.3%</w:t>
            </w:r>
          </w:p>
        </w:tc>
        <w:tc>
          <w:tcPr>
            <w:tcW w:w="0" w:type="auto"/>
          </w:tcPr>
          <w:p w14:paraId="7150C6E6" w14:textId="77777777" w:rsidR="000A2783" w:rsidRDefault="00000000">
            <w:pPr>
              <w:pStyle w:val="Compact"/>
            </w:pPr>
            <w:r>
              <w:t>0.1101</w:t>
            </w:r>
          </w:p>
        </w:tc>
        <w:tc>
          <w:tcPr>
            <w:tcW w:w="0" w:type="auto"/>
          </w:tcPr>
          <w:p w14:paraId="42EB4C35" w14:textId="77777777" w:rsidR="000A2783" w:rsidRDefault="00000000">
            <w:pPr>
              <w:pStyle w:val="Compact"/>
            </w:pPr>
            <w:r>
              <w:t>100%</w:t>
            </w:r>
          </w:p>
        </w:tc>
      </w:tr>
      <w:tr w:rsidR="000A2783" w14:paraId="5A8427D0" w14:textId="77777777" w:rsidTr="00116C18">
        <w:trPr>
          <w:jc w:val="center"/>
        </w:trPr>
        <w:tc>
          <w:tcPr>
            <w:tcW w:w="0" w:type="auto"/>
          </w:tcPr>
          <w:p w14:paraId="7CC05F37" w14:textId="77777777" w:rsidR="000A2783" w:rsidRDefault="00000000">
            <w:pPr>
              <w:pStyle w:val="Compact"/>
            </w:pPr>
            <w:r>
              <w:t>RootMxc1</w:t>
            </w:r>
          </w:p>
        </w:tc>
        <w:tc>
          <w:tcPr>
            <w:tcW w:w="0" w:type="auto"/>
          </w:tcPr>
          <w:p w14:paraId="7B11C706" w14:textId="77777777" w:rsidR="000A2783" w:rsidRDefault="00000000">
            <w:pPr>
              <w:pStyle w:val="Compact"/>
            </w:pPr>
            <w:r>
              <w:t>0.0019</w:t>
            </w:r>
          </w:p>
        </w:tc>
        <w:tc>
          <w:tcPr>
            <w:tcW w:w="0" w:type="auto"/>
          </w:tcPr>
          <w:p w14:paraId="740D2FBB" w14:textId="77777777" w:rsidR="000A2783" w:rsidRDefault="00000000">
            <w:pPr>
              <w:pStyle w:val="Compact"/>
            </w:pPr>
            <w:r>
              <w:rPr>
                <w:b/>
                <w:bCs/>
              </w:rPr>
              <w:t>38.9%</w:t>
            </w:r>
          </w:p>
        </w:tc>
        <w:tc>
          <w:tcPr>
            <w:tcW w:w="0" w:type="auto"/>
          </w:tcPr>
          <w:p w14:paraId="38ED1132" w14:textId="77777777" w:rsidR="000A2783" w:rsidRDefault="00000000">
            <w:pPr>
              <w:pStyle w:val="Compact"/>
            </w:pPr>
            <w:r>
              <w:t>0.0008</w:t>
            </w:r>
          </w:p>
        </w:tc>
        <w:tc>
          <w:tcPr>
            <w:tcW w:w="0" w:type="auto"/>
          </w:tcPr>
          <w:p w14:paraId="79B9732B" w14:textId="77777777" w:rsidR="000A2783" w:rsidRDefault="00000000">
            <w:pPr>
              <w:pStyle w:val="Compact"/>
            </w:pPr>
            <w:r>
              <w:t>18.5%</w:t>
            </w:r>
          </w:p>
        </w:tc>
      </w:tr>
      <w:tr w:rsidR="000A2783" w14:paraId="7720A1C9" w14:textId="77777777" w:rsidTr="00116C18">
        <w:trPr>
          <w:jc w:val="center"/>
        </w:trPr>
        <w:tc>
          <w:tcPr>
            <w:tcW w:w="0" w:type="auto"/>
          </w:tcPr>
          <w:p w14:paraId="1AF845AF" w14:textId="77777777" w:rsidR="000A2783" w:rsidRDefault="00000000">
            <w:pPr>
              <w:pStyle w:val="Compact"/>
            </w:pPr>
            <w:r>
              <w:t>RootMyc1</w:t>
            </w:r>
          </w:p>
        </w:tc>
        <w:tc>
          <w:tcPr>
            <w:tcW w:w="0" w:type="auto"/>
          </w:tcPr>
          <w:p w14:paraId="41960C5D" w14:textId="77777777" w:rsidR="000A2783" w:rsidRDefault="00000000">
            <w:pPr>
              <w:pStyle w:val="Compact"/>
            </w:pPr>
            <w:r>
              <w:t>0.0029</w:t>
            </w:r>
          </w:p>
        </w:tc>
        <w:tc>
          <w:tcPr>
            <w:tcW w:w="0" w:type="auto"/>
          </w:tcPr>
          <w:p w14:paraId="346511B2" w14:textId="77777777" w:rsidR="000A2783" w:rsidRDefault="00000000">
            <w:pPr>
              <w:pStyle w:val="Compact"/>
            </w:pPr>
            <w:r>
              <w:t>16.7%</w:t>
            </w:r>
          </w:p>
        </w:tc>
        <w:tc>
          <w:tcPr>
            <w:tcW w:w="0" w:type="auto"/>
          </w:tcPr>
          <w:p w14:paraId="24649F33" w14:textId="77777777" w:rsidR="000A2783" w:rsidRDefault="00000000">
            <w:pPr>
              <w:pStyle w:val="Compact"/>
            </w:pPr>
            <w:r>
              <w:t>0.0042</w:t>
            </w:r>
          </w:p>
        </w:tc>
        <w:tc>
          <w:tcPr>
            <w:tcW w:w="0" w:type="auto"/>
          </w:tcPr>
          <w:p w14:paraId="433C3095" w14:textId="77777777" w:rsidR="000A2783" w:rsidRDefault="00000000">
            <w:pPr>
              <w:pStyle w:val="Compact"/>
            </w:pPr>
            <w:r>
              <w:t>18.5%</w:t>
            </w:r>
          </w:p>
        </w:tc>
      </w:tr>
      <w:tr w:rsidR="000A2783" w14:paraId="0BF714B7" w14:textId="77777777" w:rsidTr="00116C18">
        <w:trPr>
          <w:jc w:val="center"/>
        </w:trPr>
        <w:tc>
          <w:tcPr>
            <w:tcW w:w="0" w:type="auto"/>
          </w:tcPr>
          <w:p w14:paraId="39EB9E2C" w14:textId="77777777" w:rsidR="000A2783" w:rsidRDefault="00000000">
            <w:pPr>
              <w:pStyle w:val="Compact"/>
            </w:pPr>
            <w:r>
              <w:t>TwrBsMyt</w:t>
            </w:r>
          </w:p>
        </w:tc>
        <w:tc>
          <w:tcPr>
            <w:tcW w:w="0" w:type="auto"/>
          </w:tcPr>
          <w:p w14:paraId="1F1FC518" w14:textId="77777777" w:rsidR="000A2783" w:rsidRDefault="00000000">
            <w:pPr>
              <w:pStyle w:val="Compact"/>
            </w:pPr>
            <w:r>
              <w:t>0.0058</w:t>
            </w:r>
          </w:p>
        </w:tc>
        <w:tc>
          <w:tcPr>
            <w:tcW w:w="0" w:type="auto"/>
          </w:tcPr>
          <w:p w14:paraId="20D8EBA8" w14:textId="77777777" w:rsidR="000A2783" w:rsidRDefault="00000000">
            <w:pPr>
              <w:pStyle w:val="Compact"/>
            </w:pPr>
            <w:r>
              <w:rPr>
                <w:b/>
                <w:bCs/>
              </w:rPr>
              <w:t>27.8%</w:t>
            </w:r>
          </w:p>
        </w:tc>
        <w:tc>
          <w:tcPr>
            <w:tcW w:w="0" w:type="auto"/>
          </w:tcPr>
          <w:p w14:paraId="3CD55FE0" w14:textId="77777777" w:rsidR="000A2783" w:rsidRDefault="00000000">
            <w:pPr>
              <w:pStyle w:val="Compact"/>
            </w:pPr>
            <w:r>
              <w:t>0.0230</w:t>
            </w:r>
          </w:p>
        </w:tc>
        <w:tc>
          <w:tcPr>
            <w:tcW w:w="0" w:type="auto"/>
          </w:tcPr>
          <w:p w14:paraId="60CBF807" w14:textId="77777777" w:rsidR="000A2783" w:rsidRDefault="00000000">
            <w:pPr>
              <w:pStyle w:val="Compact"/>
            </w:pPr>
            <w:r>
              <w:t>61.1%</w:t>
            </w:r>
          </w:p>
        </w:tc>
      </w:tr>
    </w:tbl>
    <w:p w14:paraId="20E260BD" w14:textId="77777777" w:rsidR="000A2783" w:rsidRDefault="00000000">
      <w:pPr>
        <w:pStyle w:val="BodyText"/>
      </w:pPr>
      <w:r>
        <w:t xml:space="preserve">The firewall also has a regime structure worth stating precisely, because it bears on how a monitoring threshold would be set. Table 4 breaks wind→platform-pitch TE down by wind speed. Below rated (8 m/s) and well above rated (20 m/s) the transfer entropy is identically zero in every seed: no wind source variable is ever selected. The only place any wind leakage appears at all is near rated (11–15 m/s), where it remains marginal (means ≤ 0.0018 nats, maxima ≤ 0.029) and rarely significant (≤ 8.3% of cases). Near rated is the most demanding region for the </w:t>
        <w:lastRenderedPageBreak/>
        <w:t>controller — the handover from generator-torque control to collective-pitch control, with the steepest thrust sensitivity and the most active gain scheduling — so a small residual leak there is physically reasonable and is the exception that proves the rule. Wave→platform-pitch TE, by contrast, is large and 100% significant in every regime (0.084–0.160 nats).</w:t>
      </w:r>
    </w:p>
    <w:p w14:paraId="27A5E53D" w14:textId="77777777" w:rsidR="000A2783" w:rsidRDefault="00000000">
      <w:pPr>
        <w:pStyle w:val="BodyText"/>
      </w:pPr>
      <w:r>
        <w:rPr>
          <w:b/>
          <w:bCs/>
        </w:rPr>
        <w:t>Table 4.</w:t>
      </w:r>
      <w:r>
        <w:t xml:space="preserve"> Wind→platform-pitch transfer entropy by operating region. The firewall is complete below and well above rated; marginal leakage appears only near rated.</w:t>
      </w:r>
    </w:p>
    <w:tbl>
      <w:tblPr>
        <w:tblStyle w:val="Table"/>
        <w:tblW w:w="5000" w:type="pct"/>
        <w:tblLayout w:type="fixed"/>
        <w:tblLook w:val="0020" w:firstRow="1" w:lastRow="0" w:firstColumn="0" w:lastColumn="0" w:noHBand="0" w:noVBand="0"/>
      </w:tblPr>
      <w:tblGrid>
        <w:gridCol w:w="2808"/>
        <w:gridCol w:w="630"/>
        <w:gridCol w:w="1980"/>
        <w:gridCol w:w="1260"/>
        <w:gridCol w:w="1302"/>
        <w:gridCol w:w="1596"/>
      </w:tblGrid>
      <w:tr w:rsidR="000A2783" w14:paraId="7454C032" w14:textId="77777777" w:rsidTr="006E3FC9">
        <w:trPr>
          <w:cnfStyle w:val="100000000000" w:firstRow="1" w:lastRow="0" w:firstColumn="0" w:lastColumn="0" w:oddVBand="0" w:evenVBand="0" w:oddHBand="0" w:evenHBand="0" w:firstRowFirstColumn="0" w:firstRowLastColumn="0" w:lastRowFirstColumn="0" w:lastRowLastColumn="0"/>
          <w:tblHeader/>
        </w:trPr>
        <w:tc>
          <w:tcPr>
            <w:tcW w:w="2808" w:type="dxa"/>
          </w:tcPr>
          <w:p w14:paraId="22581FF1" w14:textId="77777777" w:rsidR="000A2783" w:rsidRDefault="00000000">
            <w:pPr>
              <w:pStyle w:val="Compact"/>
            </w:pPr>
            <w:r>
              <w:t>Wind speed</w:t>
            </w:r>
          </w:p>
        </w:tc>
        <w:tc>
          <w:tcPr>
            <w:tcW w:w="630" w:type="dxa"/>
          </w:tcPr>
          <w:p w14:paraId="29CE1EAB" w14:textId="77777777" w:rsidR="000A2783" w:rsidRDefault="00000000">
            <w:pPr>
              <w:pStyle w:val="Compact"/>
            </w:pPr>
            <w:r>
              <w:t>n</w:t>
            </w:r>
          </w:p>
        </w:tc>
        <w:tc>
          <w:tcPr>
            <w:tcW w:w="1980" w:type="dxa"/>
          </w:tcPr>
          <w:p w14:paraId="637B4FD9" w14:textId="77777777" w:rsidR="000A2783" w:rsidRDefault="00000000">
            <w:pPr>
              <w:pStyle w:val="Compact"/>
            </w:pPr>
            <w:r>
              <w:t>Wind→PtfmPitch mean (nats)</w:t>
            </w:r>
          </w:p>
        </w:tc>
        <w:tc>
          <w:tcPr>
            <w:tcW w:w="1260" w:type="dxa"/>
          </w:tcPr>
          <w:p w14:paraId="0CB32DD9" w14:textId="77777777" w:rsidR="000A2783" w:rsidRDefault="00000000">
            <w:pPr>
              <w:pStyle w:val="Compact"/>
            </w:pPr>
            <w:r>
              <w:t>Max</w:t>
            </w:r>
          </w:p>
        </w:tc>
        <w:tc>
          <w:tcPr>
            <w:tcW w:w="1302" w:type="dxa"/>
          </w:tcPr>
          <w:p w14:paraId="50F29487" w14:textId="77777777" w:rsidR="000A2783" w:rsidRDefault="00000000">
            <w:pPr>
              <w:pStyle w:val="Compact"/>
            </w:pPr>
            <w:r>
              <w:t>Sig.</w:t>
            </w:r>
          </w:p>
        </w:tc>
        <w:tc>
          <w:tcPr>
            <w:tcW w:w="1596" w:type="dxa"/>
          </w:tcPr>
          <w:p w14:paraId="0538EFD0" w14:textId="77777777" w:rsidR="000A2783" w:rsidRDefault="00000000">
            <w:pPr>
              <w:pStyle w:val="Compact"/>
            </w:pPr>
            <w:r>
              <w:t>Wave→PtfmPitch sig.</w:t>
            </w:r>
          </w:p>
        </w:tc>
      </w:tr>
      <w:tr w:rsidR="000A2783" w14:paraId="3CFA76C0" w14:textId="77777777" w:rsidTr="006E3FC9">
        <w:tc>
          <w:tcPr>
            <w:tcW w:w="2808" w:type="dxa"/>
          </w:tcPr>
          <w:p w14:paraId="725E42DC" w14:textId="77777777" w:rsidR="000A2783" w:rsidRDefault="00000000">
            <w:pPr>
              <w:pStyle w:val="Compact"/>
            </w:pPr>
            <w:r>
              <w:t>8 m/s (below rated)</w:t>
            </w:r>
          </w:p>
        </w:tc>
        <w:tc>
          <w:tcPr>
            <w:tcW w:w="630" w:type="dxa"/>
          </w:tcPr>
          <w:p w14:paraId="2537E623" w14:textId="77777777" w:rsidR="000A2783" w:rsidRDefault="00000000">
            <w:pPr>
              <w:pStyle w:val="Compact"/>
            </w:pPr>
            <w:r>
              <w:t>12</w:t>
            </w:r>
          </w:p>
        </w:tc>
        <w:tc>
          <w:tcPr>
            <w:tcW w:w="1980" w:type="dxa"/>
          </w:tcPr>
          <w:p w14:paraId="6C849C10" w14:textId="77777777" w:rsidR="000A2783" w:rsidRDefault="00000000">
            <w:pPr>
              <w:pStyle w:val="Compact"/>
            </w:pPr>
            <w:r>
              <w:t>0.0000</w:t>
            </w:r>
          </w:p>
        </w:tc>
        <w:tc>
          <w:tcPr>
            <w:tcW w:w="1260" w:type="dxa"/>
          </w:tcPr>
          <w:p w14:paraId="3663F95D" w14:textId="77777777" w:rsidR="000A2783" w:rsidRDefault="00000000">
            <w:pPr>
              <w:pStyle w:val="Compact"/>
            </w:pPr>
            <w:r>
              <w:t>0.0000</w:t>
            </w:r>
          </w:p>
        </w:tc>
        <w:tc>
          <w:tcPr>
            <w:tcW w:w="1302" w:type="dxa"/>
          </w:tcPr>
          <w:p w14:paraId="34623FD3" w14:textId="77777777" w:rsidR="000A2783" w:rsidRDefault="00000000">
            <w:pPr>
              <w:pStyle w:val="Compact"/>
            </w:pPr>
            <w:r>
              <w:t>0%</w:t>
            </w:r>
          </w:p>
        </w:tc>
        <w:tc>
          <w:tcPr>
            <w:tcW w:w="1596" w:type="dxa"/>
          </w:tcPr>
          <w:p w14:paraId="38374FBA" w14:textId="77777777" w:rsidR="000A2783" w:rsidRDefault="00000000">
            <w:pPr>
              <w:pStyle w:val="Compact"/>
            </w:pPr>
            <w:r>
              <w:t>100%</w:t>
            </w:r>
          </w:p>
        </w:tc>
      </w:tr>
      <w:tr w:rsidR="000A2783" w14:paraId="27CFD7FB" w14:textId="77777777" w:rsidTr="006E3FC9">
        <w:tc>
          <w:tcPr>
            <w:tcW w:w="2808" w:type="dxa"/>
          </w:tcPr>
          <w:p w14:paraId="6FAA77F8" w14:textId="77777777" w:rsidR="000A2783" w:rsidRDefault="00000000">
            <w:pPr>
              <w:pStyle w:val="Compact"/>
            </w:pPr>
            <w:r>
              <w:t>11 m/s (near rated)</w:t>
            </w:r>
          </w:p>
        </w:tc>
        <w:tc>
          <w:tcPr>
            <w:tcW w:w="630" w:type="dxa"/>
          </w:tcPr>
          <w:p w14:paraId="79C94539" w14:textId="77777777" w:rsidR="000A2783" w:rsidRDefault="00000000">
            <w:pPr>
              <w:pStyle w:val="Compact"/>
            </w:pPr>
            <w:r>
              <w:t>18</w:t>
            </w:r>
          </w:p>
        </w:tc>
        <w:tc>
          <w:tcPr>
            <w:tcW w:w="1980" w:type="dxa"/>
          </w:tcPr>
          <w:p w14:paraId="39719DB5" w14:textId="77777777" w:rsidR="000A2783" w:rsidRDefault="00000000">
            <w:pPr>
              <w:pStyle w:val="Compact"/>
            </w:pPr>
            <w:r>
              <w:t>0.0016</w:t>
            </w:r>
          </w:p>
        </w:tc>
        <w:tc>
          <w:tcPr>
            <w:tcW w:w="1260" w:type="dxa"/>
          </w:tcPr>
          <w:p w14:paraId="56BC0849" w14:textId="77777777" w:rsidR="000A2783" w:rsidRDefault="00000000">
            <w:pPr>
              <w:pStyle w:val="Compact"/>
            </w:pPr>
            <w:r>
              <w:t>0.0293</w:t>
            </w:r>
          </w:p>
        </w:tc>
        <w:tc>
          <w:tcPr>
            <w:tcW w:w="1302" w:type="dxa"/>
          </w:tcPr>
          <w:p w14:paraId="0696C911" w14:textId="77777777" w:rsidR="000A2783" w:rsidRDefault="00000000">
            <w:pPr>
              <w:pStyle w:val="Compact"/>
            </w:pPr>
            <w:r>
              <w:t>5.6%</w:t>
            </w:r>
          </w:p>
        </w:tc>
        <w:tc>
          <w:tcPr>
            <w:tcW w:w="1596" w:type="dxa"/>
          </w:tcPr>
          <w:p w14:paraId="61AC3DE8" w14:textId="77777777" w:rsidR="000A2783" w:rsidRDefault="00000000">
            <w:pPr>
              <w:pStyle w:val="Compact"/>
            </w:pPr>
            <w:r>
              <w:t>100%</w:t>
            </w:r>
          </w:p>
        </w:tc>
      </w:tr>
      <w:tr w:rsidR="000A2783" w14:paraId="48F6BE63" w14:textId="77777777" w:rsidTr="006E3FC9">
        <w:tc>
          <w:tcPr>
            <w:tcW w:w="2808" w:type="dxa"/>
          </w:tcPr>
          <w:p w14:paraId="6B9D84D5" w14:textId="77777777" w:rsidR="000A2783" w:rsidRDefault="00000000">
            <w:pPr>
              <w:pStyle w:val="Compact"/>
            </w:pPr>
            <w:r>
              <w:t>15 m/s (above rated)</w:t>
            </w:r>
          </w:p>
        </w:tc>
        <w:tc>
          <w:tcPr>
            <w:tcW w:w="630" w:type="dxa"/>
          </w:tcPr>
          <w:p w14:paraId="14FDD89E" w14:textId="77777777" w:rsidR="000A2783" w:rsidRDefault="00000000">
            <w:pPr>
              <w:pStyle w:val="Compact"/>
            </w:pPr>
            <w:r>
              <w:t>12</w:t>
            </w:r>
          </w:p>
        </w:tc>
        <w:tc>
          <w:tcPr>
            <w:tcW w:w="1980" w:type="dxa"/>
          </w:tcPr>
          <w:p w14:paraId="696BD4FA" w14:textId="77777777" w:rsidR="000A2783" w:rsidRDefault="00000000">
            <w:pPr>
              <w:pStyle w:val="Compact"/>
            </w:pPr>
            <w:r>
              <w:t>0.0018</w:t>
            </w:r>
          </w:p>
        </w:tc>
        <w:tc>
          <w:tcPr>
            <w:tcW w:w="1260" w:type="dxa"/>
          </w:tcPr>
          <w:p w14:paraId="68D661C5" w14:textId="77777777" w:rsidR="000A2783" w:rsidRDefault="00000000">
            <w:pPr>
              <w:pStyle w:val="Compact"/>
            </w:pPr>
            <w:r>
              <w:t>0.0218</w:t>
            </w:r>
          </w:p>
        </w:tc>
        <w:tc>
          <w:tcPr>
            <w:tcW w:w="1302" w:type="dxa"/>
          </w:tcPr>
          <w:p w14:paraId="0371B270" w14:textId="77777777" w:rsidR="000A2783" w:rsidRDefault="00000000">
            <w:pPr>
              <w:pStyle w:val="Compact"/>
            </w:pPr>
            <w:r>
              <w:t>8.3%</w:t>
            </w:r>
          </w:p>
        </w:tc>
        <w:tc>
          <w:tcPr>
            <w:tcW w:w="1596" w:type="dxa"/>
          </w:tcPr>
          <w:p w14:paraId="3BD72D6F" w14:textId="77777777" w:rsidR="000A2783" w:rsidRDefault="00000000">
            <w:pPr>
              <w:pStyle w:val="Compact"/>
            </w:pPr>
            <w:r>
              <w:t>100%</w:t>
            </w:r>
          </w:p>
        </w:tc>
      </w:tr>
      <w:tr w:rsidR="000A2783" w14:paraId="2E5A473B" w14:textId="77777777" w:rsidTr="006E3FC9">
        <w:tc>
          <w:tcPr>
            <w:tcW w:w="2808" w:type="dxa"/>
          </w:tcPr>
          <w:p w14:paraId="3CF2A53F" w14:textId="77777777" w:rsidR="000A2783" w:rsidRDefault="00000000">
            <w:pPr>
              <w:pStyle w:val="Compact"/>
            </w:pPr>
            <w:r>
              <w:t>20 m/s (well above rated)</w:t>
            </w:r>
          </w:p>
        </w:tc>
        <w:tc>
          <w:tcPr>
            <w:tcW w:w="630" w:type="dxa"/>
          </w:tcPr>
          <w:p w14:paraId="43BA2E17" w14:textId="77777777" w:rsidR="000A2783" w:rsidRDefault="00000000">
            <w:pPr>
              <w:pStyle w:val="Compact"/>
            </w:pPr>
            <w:r>
              <w:t>12</w:t>
            </w:r>
          </w:p>
        </w:tc>
        <w:tc>
          <w:tcPr>
            <w:tcW w:w="1980" w:type="dxa"/>
          </w:tcPr>
          <w:p w14:paraId="5886F7C7" w14:textId="77777777" w:rsidR="000A2783" w:rsidRDefault="00000000">
            <w:pPr>
              <w:pStyle w:val="Compact"/>
            </w:pPr>
            <w:r>
              <w:t>0.0000</w:t>
            </w:r>
          </w:p>
        </w:tc>
        <w:tc>
          <w:tcPr>
            <w:tcW w:w="1260" w:type="dxa"/>
          </w:tcPr>
          <w:p w14:paraId="4CDC7BD0" w14:textId="77777777" w:rsidR="000A2783" w:rsidRDefault="00000000">
            <w:pPr>
              <w:pStyle w:val="Compact"/>
            </w:pPr>
            <w:r>
              <w:t>0.0000</w:t>
            </w:r>
          </w:p>
        </w:tc>
        <w:tc>
          <w:tcPr>
            <w:tcW w:w="1302" w:type="dxa"/>
          </w:tcPr>
          <w:p w14:paraId="4186B154" w14:textId="77777777" w:rsidR="000A2783" w:rsidRDefault="00000000">
            <w:pPr>
              <w:pStyle w:val="Compact"/>
            </w:pPr>
            <w:r>
              <w:t>0%</w:t>
            </w:r>
          </w:p>
        </w:tc>
        <w:tc>
          <w:tcPr>
            <w:tcW w:w="1596" w:type="dxa"/>
          </w:tcPr>
          <w:p w14:paraId="674DCA64" w14:textId="77777777" w:rsidR="000A2783" w:rsidRDefault="00000000">
            <w:pPr>
              <w:pStyle w:val="Compact"/>
            </w:pPr>
            <w:r>
              <w:t>100%</w:t>
            </w:r>
          </w:p>
        </w:tc>
      </w:tr>
    </w:tbl>
    <w:p w14:paraId="586B614C" w14:textId="77777777" w:rsidR="000A2783" w:rsidRDefault="00000000">
      <w:pPr>
        <w:pStyle w:val="BodyText"/>
      </w:pPr>
      <w:r>
        <w:t>Figure 4 renders the overall pattern as a directed network: a dense wave→platform→mooring web beside an almost empty wind→platform channel. Wave forcing (solid edges, width proportional to the normalized transfer entropy) is significant in the majority of cases and propagates through platform motion into the mooring and structural loads, whereas wind forcing (dashed edges) reaches only the blade-root and tower-base load channels, and then only intermittently — the edge labels give the fraction of cases in which each wind edge is significant. Wind carries no significant information into the platform rigid-body motions: the information firewall.</w:t>
      </w:r>
    </w:p>
    <w:p w14:paraId="2A8089A9" w14:textId="77777777" w:rsidR="000A2783" w:rsidRDefault="00000000">
      <w:pPr>
        <w:pStyle w:val="BodyText"/>
      </w:pPr>
      <w:r>
        <w:rPr>
          <w:noProof/>
        </w:rPr>
        <w:drawing>
          <wp:inline distT="0" distB="0" distL="0" distR="0" wp14:anchorId="2AE9FF7F" wp14:editId="6DFB6594">
            <wp:extent cx="5334000" cy="3674845"/>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s/fig3-te-network.png"/>
                    <pic:cNvPicPr>
                      <a:picLocks noChangeAspect="1" noChangeArrowheads="1"/>
                    </pic:cNvPicPr>
                  </pic:nvPicPr>
                  <pic:blipFill>
                    <a:blip r:embed="rId9"/>
                    <a:stretch>
                      <a:fillRect/>
                    </a:stretch>
                  </pic:blipFill>
                  <pic:spPr bwMode="auto">
                    <a:xfrm>
                      <a:off x="0" y="0"/>
                      <a:ext cx="5334000" cy="3674845"/>
                    </a:xfrm>
                    <a:prstGeom prst="rect">
                      <a:avLst/>
                    </a:prstGeom>
                    <a:noFill/>
                    <a:ln w="9525">
                      <a:noFill/>
                      <a:headEnd/>
                      <a:tailEnd/>
                    </a:ln>
                  </pic:spPr>
                </pic:pic>
              </a:graphicData>
            </a:graphic>
          </wp:inline>
        </w:drawing>
      </w:r>
    </w:p>
    <w:p w14:paraId="202DE533" w14:textId="77777777" w:rsidR="000A2783" w:rsidRDefault="00000000">
      <w:pPr>
        <w:pStyle w:val="BodyText"/>
      </w:pPr>
      <w:r>
        <w:rPr>
          <w:b/>
          <w:bCs/>
        </w:rPr>
        <w:lastRenderedPageBreak/>
        <w:t>Figure 4.</w:t>
      </w:r>
      <w:r>
        <w:t xml:space="preserve"> Directed transfer-entropy network across the FOWT. Edge weight is the mean </w:t>
      </w:r>
      <m:oMath>
        <m:r>
          <w:rPr>
            <w:rFonts w:ascii="Cambria Math" w:hAnsi="Cambria Math"/>
          </w:rPr>
          <m:t>T</m:t>
        </m:r>
        <m:sSub>
          <m:sSubPr>
            <m:ctrlPr>
              <w:rPr>
                <w:rFonts w:ascii="Cambria Math" w:hAnsi="Cambria Math"/>
              </w:rPr>
            </m:ctrlPr>
          </m:sSubPr>
          <m:e>
            <m:r>
              <w:rPr>
                <w:rFonts w:ascii="Cambria Math" w:hAnsi="Cambria Math"/>
              </w:rPr>
              <m:t>E</m:t>
            </m:r>
          </m:e>
          <m:sub>
            <m:r>
              <m:rPr>
                <m:sty m:val="p"/>
              </m:rPr>
              <w:rPr>
                <w:rFonts w:ascii="Cambria Math" w:hAnsi="Cambria Math"/>
              </w:rPr>
              <m:t>frac</m:t>
            </m:r>
          </m:sub>
        </m:sSub>
      </m:oMath>
      <w:r>
        <w:t xml:space="preserve"> over the 54 cases.</w:t>
      </w:r>
    </w:p>
    <w:p w14:paraId="1BBE8FF9" w14:textId="77777777" w:rsidR="000A2783" w:rsidRDefault="00000000">
      <w:pPr>
        <w:pStyle w:val="BodyText"/>
      </w:pPr>
      <w:r>
        <w:t xml:space="preserve">The interpretation is not that wind is dynamically unimportant — at these wind speeds the rotor is producing large aerodynamic thrust — but that the </w:t>
      </w:r>
      <w:r>
        <w:rPr>
          <w:i/>
          <w:iCs/>
        </w:rPr>
        <w:t>fluctuating information</w:t>
      </w:r>
      <w:r>
        <w:t xml:space="preserve"> in the wind is not reaching the platform. Something is intercepting it. Sections 3.2 and 3.3 show what.</w:t>
      </w:r>
    </w:p>
    <w:p w14:paraId="78A61101" w14:textId="77777777" w:rsidR="000A2783" w:rsidRDefault="00000000">
      <w:pPr>
        <w:pStyle w:val="Heading3"/>
      </w:pPr>
      <w:bookmarkStart w:id="15" w:name="X329645ea136a336337399132154270a0c3d9b0d"/>
      <w:bookmarkEnd w:id="14"/>
      <w:r>
        <w:t>3.2 Why coherence is insufficient: shared power is not directed influence</w:t>
      </w:r>
    </w:p>
    <w:p w14:paraId="15E7537E" w14:textId="77777777" w:rsidR="000A2783" w:rsidRDefault="00000000">
      <w:pPr>
        <w:pStyle w:val="FirstParagraph"/>
      </w:pPr>
      <w:r>
        <w:t xml:space="preserve">A reader trained on spectral methods would reasonably expect wind and platform pitch to be strongly related, and a linear analysis says exactly that. Magnitude-squared coherence between wind and platform pitch peaks at </w:t>
      </w:r>
      <m:oMath>
        <m:sSup>
          <m:sSupPr>
            <m:ctrlPr>
              <w:rPr>
                <w:rFonts w:ascii="Cambria Math" w:hAnsi="Cambria Math"/>
              </w:rPr>
            </m:ctrlPr>
          </m:sSupPr>
          <m:e>
            <m:r>
              <w:rPr>
                <w:rFonts w:ascii="Cambria Math" w:hAnsi="Cambria Math"/>
              </w:rPr>
              <m:t>γ</m:t>
            </m:r>
          </m:e>
          <m:sup>
            <m:r>
              <w:rPr>
                <w:rFonts w:ascii="Cambria Math" w:hAnsi="Cambria Math"/>
              </w:rPr>
              <m:t>2</m:t>
            </m:r>
          </m:sup>
        </m:sSup>
        <m:r>
          <m:rPr>
            <m:sty m:val="p"/>
          </m:rPr>
          <w:rPr>
            <w:rFonts w:ascii="Cambria Math" w:hAnsi="Cambria Math"/>
          </w:rPr>
          <m:t>≈</m:t>
        </m:r>
        <m:r>
          <w:rPr>
            <w:rFonts w:ascii="Cambria Math" w:hAnsi="Cambria Math"/>
          </w:rPr>
          <m:t>0.72</m:t>
        </m:r>
      </m:oMath>
      <w:r>
        <w:t xml:space="preserve">, and wind–response coherence exceeds 0.63 for every structural channel (Table 5). On the strength of coherence alone one would conclude that wind strongly drives the platform — the opposite of the TE result. Coherence is not </w:t>
      </w:r>
      <w:r>
        <w:rPr>
          <w:i/>
          <w:iCs/>
        </w:rPr>
        <w:t>wrong</w:t>
      </w:r>
      <w:r>
        <w:t xml:space="preserve"> here; it faithfully reports that wind and platform pitch share spectral power. The error is only in the interpretation a coherence value invites — that shared power implies influence — and it is precisely that interpretation the firewall violates.</w:t>
      </w:r>
    </w:p>
    <w:p w14:paraId="667AD3A0" w14:textId="77777777" w:rsidR="000A2783" w:rsidRDefault="00000000">
      <w:pPr>
        <w:pStyle w:val="BodyText"/>
      </w:pPr>
      <w:r>
        <w:rPr>
          <w:b/>
          <w:bCs/>
        </w:rPr>
        <w:t>Table 5.</w:t>
      </w:r>
      <w:r>
        <w:t xml:space="preserve"> Peak wind–response magnitude-squared coherence </w:t>
      </w:r>
      <m:oMath>
        <m:sSup>
          <m:sSupPr>
            <m:ctrlPr>
              <w:rPr>
                <w:rFonts w:ascii="Cambria Math" w:hAnsi="Cambria Math"/>
              </w:rPr>
            </m:ctrlPr>
          </m:sSupPr>
          <m:e>
            <m:r>
              <w:rPr>
                <w:rFonts w:ascii="Cambria Math" w:hAnsi="Cambria Math"/>
              </w:rPr>
              <m:t>γ</m:t>
            </m:r>
          </m:e>
          <m:sup>
            <m:r>
              <w:rPr>
                <w:rFonts w:ascii="Cambria Math" w:hAnsi="Cambria Math"/>
              </w:rPr>
              <m:t>2</m:t>
            </m:r>
          </m:sup>
        </m:sSup>
      </m:oMath>
      <w:r>
        <w:t xml:space="preserve"> (mean over 54 simulations), contrasted with the wind→target TE significance rate.</w:t>
      </w:r>
    </w:p>
    <w:tbl>
      <w:tblPr>
        <w:tblStyle w:val="Table"/>
        <w:tblW w:w="0" w:type="auto"/>
        <w:jc w:val="center"/>
        <w:tblLook w:val="0020" w:firstRow="1" w:lastRow="0" w:firstColumn="0" w:lastColumn="0" w:noHBand="0" w:noVBand="0"/>
      </w:tblPr>
      <w:tblGrid>
        <w:gridCol w:w="1296"/>
        <w:gridCol w:w="1687"/>
        <w:gridCol w:w="2962"/>
      </w:tblGrid>
      <w:tr w:rsidR="000A2783" w14:paraId="684C3A13" w14:textId="77777777" w:rsidTr="003F2F30">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1158C93" w14:textId="77777777" w:rsidR="000A2783" w:rsidRDefault="00000000">
            <w:pPr>
              <w:pStyle w:val="Compact"/>
            </w:pPr>
            <w:r>
              <w:t>Target</w:t>
            </w:r>
          </w:p>
        </w:tc>
        <w:tc>
          <w:tcPr>
            <w:tcW w:w="0" w:type="auto"/>
          </w:tcPr>
          <w:p w14:paraId="02BEA904" w14:textId="77777777" w:rsidR="000A2783" w:rsidRDefault="00000000">
            <w:pPr>
              <w:pStyle w:val="Compact"/>
            </w:pPr>
            <w:r>
              <w:t>Peak γ² (linear)</w:t>
            </w:r>
          </w:p>
        </w:tc>
        <w:tc>
          <w:tcPr>
            <w:tcW w:w="0" w:type="auto"/>
          </w:tcPr>
          <w:p w14:paraId="6766A81C" w14:textId="77777777" w:rsidR="000A2783" w:rsidRDefault="00000000">
            <w:pPr>
              <w:pStyle w:val="Compact"/>
            </w:pPr>
            <w:r>
              <w:t>Wind→target TE significant</w:t>
            </w:r>
          </w:p>
        </w:tc>
      </w:tr>
      <w:tr w:rsidR="000A2783" w14:paraId="480D67D9" w14:textId="77777777" w:rsidTr="003F2F30">
        <w:trPr>
          <w:jc w:val="center"/>
        </w:trPr>
        <w:tc>
          <w:tcPr>
            <w:tcW w:w="0" w:type="auto"/>
          </w:tcPr>
          <w:p w14:paraId="4F5CDE11" w14:textId="77777777" w:rsidR="000A2783" w:rsidRDefault="00000000">
            <w:pPr>
              <w:pStyle w:val="Compact"/>
            </w:pPr>
            <w:r>
              <w:t>PtfmPitch</w:t>
            </w:r>
          </w:p>
        </w:tc>
        <w:tc>
          <w:tcPr>
            <w:tcW w:w="0" w:type="auto"/>
          </w:tcPr>
          <w:p w14:paraId="38C012FC" w14:textId="77777777" w:rsidR="000A2783" w:rsidRDefault="00000000">
            <w:pPr>
              <w:pStyle w:val="Compact"/>
            </w:pPr>
            <w:r>
              <w:t>0.72</w:t>
            </w:r>
          </w:p>
        </w:tc>
        <w:tc>
          <w:tcPr>
            <w:tcW w:w="0" w:type="auto"/>
          </w:tcPr>
          <w:p w14:paraId="3BA51B19" w14:textId="77777777" w:rsidR="000A2783" w:rsidRDefault="00000000">
            <w:pPr>
              <w:pStyle w:val="Compact"/>
            </w:pPr>
            <w:r>
              <w:t>3.7%</w:t>
            </w:r>
          </w:p>
        </w:tc>
      </w:tr>
      <w:tr w:rsidR="000A2783" w14:paraId="64F54300" w14:textId="77777777" w:rsidTr="003F2F30">
        <w:trPr>
          <w:jc w:val="center"/>
        </w:trPr>
        <w:tc>
          <w:tcPr>
            <w:tcW w:w="0" w:type="auto"/>
          </w:tcPr>
          <w:p w14:paraId="4555BA89" w14:textId="77777777" w:rsidR="000A2783" w:rsidRDefault="00000000">
            <w:pPr>
              <w:pStyle w:val="Compact"/>
            </w:pPr>
            <w:r>
              <w:t>PtfmSurge</w:t>
            </w:r>
          </w:p>
        </w:tc>
        <w:tc>
          <w:tcPr>
            <w:tcW w:w="0" w:type="auto"/>
          </w:tcPr>
          <w:p w14:paraId="04E1F749" w14:textId="77777777" w:rsidR="000A2783" w:rsidRDefault="00000000">
            <w:pPr>
              <w:pStyle w:val="Compact"/>
            </w:pPr>
            <w:r>
              <w:t>0.68</w:t>
            </w:r>
          </w:p>
        </w:tc>
        <w:tc>
          <w:tcPr>
            <w:tcW w:w="0" w:type="auto"/>
          </w:tcPr>
          <w:p w14:paraId="6BD85301" w14:textId="77777777" w:rsidR="000A2783" w:rsidRDefault="00000000">
            <w:pPr>
              <w:pStyle w:val="Compact"/>
            </w:pPr>
            <w:r>
              <w:t>11.1%</w:t>
            </w:r>
          </w:p>
        </w:tc>
      </w:tr>
      <w:tr w:rsidR="000A2783" w14:paraId="316FFA75" w14:textId="77777777" w:rsidTr="003F2F30">
        <w:trPr>
          <w:jc w:val="center"/>
        </w:trPr>
        <w:tc>
          <w:tcPr>
            <w:tcW w:w="0" w:type="auto"/>
          </w:tcPr>
          <w:p w14:paraId="301837BC" w14:textId="77777777" w:rsidR="000A2783" w:rsidRDefault="00000000">
            <w:pPr>
              <w:pStyle w:val="Compact"/>
            </w:pPr>
            <w:r>
              <w:t>PtfmHeave</w:t>
            </w:r>
          </w:p>
        </w:tc>
        <w:tc>
          <w:tcPr>
            <w:tcW w:w="0" w:type="auto"/>
          </w:tcPr>
          <w:p w14:paraId="2C1EEDE2" w14:textId="77777777" w:rsidR="000A2783" w:rsidRDefault="00000000">
            <w:pPr>
              <w:pStyle w:val="Compact"/>
            </w:pPr>
            <w:r>
              <w:t>0.63</w:t>
            </w:r>
          </w:p>
        </w:tc>
        <w:tc>
          <w:tcPr>
            <w:tcW w:w="0" w:type="auto"/>
          </w:tcPr>
          <w:p w14:paraId="3998AEA0" w14:textId="77777777" w:rsidR="000A2783" w:rsidRDefault="00000000">
            <w:pPr>
              <w:pStyle w:val="Compact"/>
            </w:pPr>
            <w:r>
              <w:t>5.6%</w:t>
            </w:r>
          </w:p>
        </w:tc>
      </w:tr>
      <w:tr w:rsidR="000A2783" w14:paraId="1720AD0C" w14:textId="77777777" w:rsidTr="003F2F30">
        <w:trPr>
          <w:jc w:val="center"/>
        </w:trPr>
        <w:tc>
          <w:tcPr>
            <w:tcW w:w="0" w:type="auto"/>
          </w:tcPr>
          <w:p w14:paraId="2FE8152D" w14:textId="77777777" w:rsidR="000A2783" w:rsidRDefault="00000000">
            <w:pPr>
              <w:pStyle w:val="Compact"/>
            </w:pPr>
            <w:r>
              <w:t>RootMyc1</w:t>
            </w:r>
          </w:p>
        </w:tc>
        <w:tc>
          <w:tcPr>
            <w:tcW w:w="0" w:type="auto"/>
          </w:tcPr>
          <w:p w14:paraId="75811B70" w14:textId="77777777" w:rsidR="000A2783" w:rsidRDefault="00000000">
            <w:pPr>
              <w:pStyle w:val="Compact"/>
            </w:pPr>
            <w:r>
              <w:t>0.72</w:t>
            </w:r>
          </w:p>
        </w:tc>
        <w:tc>
          <w:tcPr>
            <w:tcW w:w="0" w:type="auto"/>
          </w:tcPr>
          <w:p w14:paraId="75068B73" w14:textId="77777777" w:rsidR="000A2783" w:rsidRDefault="00000000">
            <w:pPr>
              <w:pStyle w:val="Compact"/>
            </w:pPr>
            <w:r>
              <w:t>16.7%</w:t>
            </w:r>
          </w:p>
        </w:tc>
      </w:tr>
      <w:tr w:rsidR="000A2783" w14:paraId="4497C843" w14:textId="77777777" w:rsidTr="003F2F30">
        <w:trPr>
          <w:jc w:val="center"/>
        </w:trPr>
        <w:tc>
          <w:tcPr>
            <w:tcW w:w="0" w:type="auto"/>
          </w:tcPr>
          <w:p w14:paraId="5B9B58FC" w14:textId="77777777" w:rsidR="000A2783" w:rsidRDefault="00000000">
            <w:pPr>
              <w:pStyle w:val="Compact"/>
            </w:pPr>
            <w:r>
              <w:t>TwrBsMyt</w:t>
            </w:r>
          </w:p>
        </w:tc>
        <w:tc>
          <w:tcPr>
            <w:tcW w:w="0" w:type="auto"/>
          </w:tcPr>
          <w:p w14:paraId="71B19B27" w14:textId="77777777" w:rsidR="000A2783" w:rsidRDefault="00000000">
            <w:pPr>
              <w:pStyle w:val="Compact"/>
            </w:pPr>
            <w:r>
              <w:t>0.71</w:t>
            </w:r>
          </w:p>
        </w:tc>
        <w:tc>
          <w:tcPr>
            <w:tcW w:w="0" w:type="auto"/>
          </w:tcPr>
          <w:p w14:paraId="459A1EAE" w14:textId="77777777" w:rsidR="000A2783" w:rsidRDefault="00000000">
            <w:pPr>
              <w:pStyle w:val="Compact"/>
            </w:pPr>
            <w:r>
              <w:t>27.8%</w:t>
            </w:r>
          </w:p>
        </w:tc>
      </w:tr>
    </w:tbl>
    <w:p w14:paraId="0DEA7E05" w14:textId="77777777" w:rsidR="000A2783" w:rsidRDefault="00000000">
      <w:pPr>
        <w:pStyle w:val="BodyText"/>
      </w:pPr>
      <w:r>
        <w:t>The discrepancy is diagnostic of a feedback loop. Coherence is symmetric and linear: it registers shared spectral power regardless of direction or mechanism. Wind and platform pitch share power because both are shaped by the same controller acting at the same frequencies, not because wind’s fluctuations propagate into the platform. Transfer entropy, being directed and conditioned on the platform’s own past, correctly finds that knowing the wind history adds nothing to the prediction of platform motion once the platform’s own dynamics are accounted for. This is a concrete demonstration of why closed-loop systems require directed, model-free causal measures: the most natural linear tool, read the natural way, would register a strong wind–platform link where the directed measure certifies none.</w:t>
      </w:r>
    </w:p>
    <w:p w14:paraId="77F14AD3" w14:textId="77777777" w:rsidR="000A2783" w:rsidRDefault="00000000">
      <w:pPr>
        <w:pStyle w:val="Heading3"/>
      </w:pPr>
      <w:bookmarkStart w:id="16" w:name="Xcc4ebbf68ba2fc398a850dd152d287cb0633c7f"/>
      <w:bookmarkEnd w:id="15"/>
      <w:r>
        <w:t>3.3 Attribution: the controller shapes the platform response; the firewall is structural</w:t>
      </w:r>
    </w:p>
    <w:p w14:paraId="7ED065A7" w14:textId="77777777" w:rsidR="000A2783" w:rsidRDefault="00000000">
      <w:pPr>
        <w:pStyle w:val="FirstParagraph"/>
      </w:pPr>
      <w:r>
        <w:t>Two further lines of evidence locate the controller’s role in the platform’s dynamics. They should not be over-read: the wind→platform barrier itself is structural — it survives a faulted controller (Section 3.4) — so what follows characterizes how the controller shapes the platform’s response, not a mechanism by which active control erects the firewall.</w:t>
      </w:r>
    </w:p>
    <w:p w14:paraId="1BD8B22E" w14:textId="77777777" w:rsidR="000A2783" w:rsidRDefault="00000000">
      <w:pPr>
        <w:pStyle w:val="BodyText"/>
      </w:pPr>
      <w:r>
        <w:rPr>
          <w:b/>
          <w:bCs/>
        </w:rPr>
        <w:t>SURD redirection.</w:t>
      </w:r>
      <w:r>
        <w:t xml:space="preserve"> If wave dominance were the cause, the wind information would simply be absent from the system. Instead, SURD locates it: the wind’s unique information is captured by the blade-pitch command. Across the healthy population the SURD wind-into-blade-pitch term (</w:t>
      </w:r>
      <w:r>
        <w:rPr>
          <w:rStyle w:val="VerbatimChar"/>
        </w:rPr>
        <w:t>surd_wind_into_bldpitch</w:t>
      </w:r>
      <w:r>
        <w:t xml:space="preserve">) averages ≈ 0.4 in the normalized units of Section 2.7 — about 40% </w:t>
        <w:lastRenderedPageBreak/>
        <w:t xml:space="preserve">of the available source–target information — and the aggregate </w:t>
      </w:r>
      <w:r>
        <w:rPr>
          <w:rStyle w:val="VerbatimChar"/>
        </w:rPr>
        <w:t>wind_into_controllers</w:t>
      </w:r>
      <w:r>
        <w:t xml:space="preserve"> / </w:t>
      </w:r>
      <w:r>
        <w:rPr>
          <w:rStyle w:val="VerbatimChar"/>
        </w:rPr>
        <w:t>controller_drop_material</w:t>
      </w:r>
      <w:r>
        <w:t xml:space="preserve"> atoms confirm that the information the platform never receives is being consumed by the control loop. This capture is not uniform across the operating envelope: the controller leak-drop — bias-corrected by subtracting its value under a circular-shift surrogate of the source — rises from a below-rated median of 0.023, with the pitch loop idle, to a median roughly 2.8× larger at and above rated (per-regime medians 0.042–0.066), where collective pitch is actively regulating thrust, and is positive in every one of the 54 closed-loop cases (Figure 5a). The same 54 cases underpin the two-method comparison of Figure 5b, drawn from the first-pass KSG TE table: pairwise TE(Wind → platform pitch) is non-zero in only two of them — so where TE registers nothing, the positive SURD leak-drop still resolves the mediated path. Two cautions attach to this reading. It is computed with the point-wind source of Section 3.1; because a hub anemometer is spatially decorrelated from the rotor-averaged inflow, the wind-into-pitch term has been re-examined with rotor-averaged wind, which confirms and strengthens it (Section 4.3). And it does not, on its own, make the firewall control-erected: the barrier persists when the controller is seized or detuned (Section 3.4), so SURD is best read as the controller participating in the platform’s wind response, not as control gating wind’s access to the platform.</w:t>
      </w:r>
    </w:p>
    <w:p w14:paraId="63384196" w14:textId="77777777" w:rsidR="000A2783" w:rsidRDefault="00000000">
      <w:pPr>
        <w:pStyle w:val="BodyText"/>
      </w:pPr>
      <w:r>
        <w:rPr>
          <w:noProof/>
        </w:rPr>
        <w:drawing>
          <wp:inline distT="0" distB="0" distL="0" distR="0" wp14:anchorId="6074D2AE" wp14:editId="7CC3370C">
            <wp:extent cx="5334000" cy="3027405"/>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s/surd-dose-response.png"/>
                    <pic:cNvPicPr>
                      <a:picLocks noChangeAspect="1" noChangeArrowheads="1"/>
                    </pic:cNvPicPr>
                  </pic:nvPicPr>
                  <pic:blipFill>
                    <a:blip r:embed="rId10"/>
                    <a:stretch>
                      <a:fillRect/>
                    </a:stretch>
                  </pic:blipFill>
                  <pic:spPr bwMode="auto">
                    <a:xfrm>
                      <a:off x="0" y="0"/>
                      <a:ext cx="5334000" cy="3027405"/>
                    </a:xfrm>
                    <a:prstGeom prst="rect">
                      <a:avLst/>
                    </a:prstGeom>
                    <a:noFill/>
                    <a:ln w="9525">
                      <a:noFill/>
                      <a:headEnd/>
                      <a:tailEnd/>
                    </a:ln>
                  </pic:spPr>
                </pic:pic>
              </a:graphicData>
            </a:graphic>
          </wp:inline>
        </w:drawing>
      </w:r>
    </w:p>
    <w:p w14:paraId="0038FE26" w14:textId="77777777" w:rsidR="000A2783" w:rsidRDefault="00000000">
      <w:pPr>
        <w:pStyle w:val="BodyText"/>
      </w:pPr>
      <w:r>
        <w:rPr>
          <w:b/>
          <w:bCs/>
        </w:rPr>
        <w:t>Figure 5a.</w:t>
      </w:r>
      <w:r>
        <w:t xml:space="preserve"> SURD firewall dose–response. The controller’s capture of wind information (and hence firewall strength) scales with operating region, strengthening at and above rated (10.59 m/s) where collective pitch is actively regulating thrust.</w:t>
      </w:r>
    </w:p>
    <w:p w14:paraId="257AA570" w14:textId="77777777" w:rsidR="000A2783" w:rsidRDefault="00000000">
      <w:pPr>
        <w:pStyle w:val="BodyText"/>
      </w:pPr>
      <w:r>
        <w:rPr>
          <w:noProof/>
        </w:rPr>
        <w:lastRenderedPageBreak/>
        <w:drawing>
          <wp:inline distT="0" distB="0" distL="0" distR="0" wp14:anchorId="6823BF64" wp14:editId="3E725F3B">
            <wp:extent cx="5334000" cy="3171567"/>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s/surd-vs-te.png"/>
                    <pic:cNvPicPr>
                      <a:picLocks noChangeAspect="1" noChangeArrowheads="1"/>
                    </pic:cNvPicPr>
                  </pic:nvPicPr>
                  <pic:blipFill>
                    <a:blip r:embed="rId11"/>
                    <a:stretch>
                      <a:fillRect/>
                    </a:stretch>
                  </pic:blipFill>
                  <pic:spPr bwMode="auto">
                    <a:xfrm>
                      <a:off x="0" y="0"/>
                      <a:ext cx="5334000" cy="3171567"/>
                    </a:xfrm>
                    <a:prstGeom prst="rect">
                      <a:avLst/>
                    </a:prstGeom>
                    <a:noFill/>
                    <a:ln w="9525">
                      <a:noFill/>
                      <a:headEnd/>
                      <a:tailEnd/>
                    </a:ln>
                  </pic:spPr>
                </pic:pic>
              </a:graphicData>
            </a:graphic>
          </wp:inline>
        </w:drawing>
      </w:r>
    </w:p>
    <w:p w14:paraId="6D2984EA" w14:textId="77777777" w:rsidR="000A2783" w:rsidRDefault="00000000">
      <w:pPr>
        <w:pStyle w:val="BodyText"/>
      </w:pPr>
      <w:r>
        <w:rPr>
          <w:b/>
          <w:bCs/>
        </w:rPr>
        <w:t>Figure 5b.</w:t>
      </w:r>
      <w:r>
        <w:t xml:space="preserve"> SURD versus pairwise TE. Where pairwise TE(Wind→platform) reads zero, SURD shows the corresponding wind information residing in the blade-pitch channel — the firewall is redirection, not absence.</w:t>
      </w:r>
    </w:p>
    <w:p w14:paraId="6CDCFB51" w14:textId="1E19DF31" w:rsidR="000A2783" w:rsidRDefault="00000000">
      <w:pPr>
        <w:pStyle w:val="BodyText"/>
      </w:pPr>
      <w:r>
        <w:rPr>
          <w:b/>
          <w:bCs/>
        </w:rPr>
        <w:t>Open-loop twin.</w:t>
      </w:r>
      <w:r>
        <w:t xml:space="preserve"> The firewall should be a property of </w:t>
      </w:r>
      <w:r>
        <w:rPr>
          <w:i/>
          <w:iCs/>
        </w:rPr>
        <w:t>active</w:t>
      </w:r>
      <w:r>
        <w:t xml:space="preserve"> pitch control, so disabling the loop should change how the controller organizes the platform response. This is tested with an open-loop twin of a single near-rated realization (one 11 m/s seed), in which the blade pitch is prescribed rather than fed back. In the healthy closed loop the blade-pitch command carries unique information about platform pitch (SURD </w:t>
      </w:r>
      <w:r>
        <w:rPr>
          <w:rStyle w:val="VerbatimChar"/>
        </w:rPr>
        <w:t>U:BldPitch1 → PtfmPitch</w:t>
      </w:r>
      <w:r>
        <w:t xml:space="preserve"> = 0.167 in the normalized units of Section 2.7, summed over lags); in the open-loop twin, this unique control contribution collapses to exactly zero, and the control-attributable information drop falls from 0.0612 to 0.0265 (−57%, normalized units). In other words, the platform’s pitch dynamics in the healthy case are actively organized by the controller, and that organization disappears when the loop is opened. This is direct evidence that the barrier is a property of the closed loop rather than of the platform’s passive dynamics.</w:t>
      </w:r>
    </w:p>
    <w:p w14:paraId="74A24B6F" w14:textId="77777777" w:rsidR="000A2783" w:rsidRDefault="00000000">
      <w:pPr>
        <w:pStyle w:val="BodyText"/>
      </w:pPr>
      <w:r>
        <w:t xml:space="preserve">Care is needed about what this twin does and does not show. It demonstrates that the controller actively shapes the platform response, through the same variable (blade pitch) that SURD identifies as the sink for wind information. The test most likely to be decisive — whether the pairwise TE(Wind → platform) itself </w:t>
      </w:r>
      <w:r>
        <w:rPr>
          <w:i/>
          <w:iCs/>
        </w:rPr>
        <w:t>rises</w:t>
      </w:r>
      <w:r>
        <w:t xml:space="preserve"> when the loop is opened — was also computed for this same single realization, and it does not: with the loop opened, transfer entropy from wind to platform pitch, surge, and heave all remain at zero, below the ≈ 0.03-nats healthy ceiling and indistinguishable from the healthy baseline. The null is not an estimator artifact — in the same open-loop run the estimator still recovers a significant control-channel edge (conditional Wave1Elev → FAIRTEN3, TE ≈ 0.055 nats, </w:t>
      </w:r>
      <w:r>
        <w:rPr>
          <w:i/>
          <w:iCs/>
        </w:rPr>
        <w:t>p</w:t>
      </w:r>
      <w:r>
        <w:t xml:space="preserve"> = 0.005) — so where directed information exists the method finds it; none flows from wind to the platform. This is read cautiously rather than as a refutation. It is one realization (a single 11 m/s seed), and disabling the loop with prescribed </w:t>
        <w:lastRenderedPageBreak/>
        <w:t xml:space="preserve">pitch is not a pitch fault, so this twin is a robustness probe of the attribution </w:t>
      </w:r>
      <w:r>
        <w:rPr>
          <w:i/>
          <w:iCs/>
        </w:rPr>
        <w:t>mechanism</w:t>
      </w:r>
      <w:r>
        <w:t>, not the monitoring test of Section 3.4, which a graded injected-fault campaign has since carried out. The reading consistent with the null — and since confirmed by that fault campaign (Section 3.4) and by the rotor-averaged-wind check (Section 3.1) — is that the firewall is structural rather than control-erected: the 240-m rotor spatially filters the small-scale wind fluctuations, so the platform never receives that information whether or not the loop is closed (Section 4.1). What the twin adds is not the firewall itself but the controller’s organizing role in the platform’s response. The controller’s demonstrated role therefore rests on the two SURD-based lines the twin directly supports — the redirection of wind information into the pitch command, and the collapse of the pitch command’s unique organization of platform motion when the loop is opened — and not on the TE-converse, which this single open-loop realization did not exhibit. The idle/below-rated population is consistent with this reading — with the collective-pitch loop inactive at 8 m/s, TE(Wind → platform) is identically zero — but it is not leaned on, because below rated the wind forcing is also weaker, so a zero there is confounded between low forcing and inactive control. Both SURD lines are computed with the same estimator under the coarse three-bin quantization of Section 2.7, so they are complementary rather than statistically independent. These SURD lines use the point-wind source; the population-level redirection has since been re-confirmed on rotor-averaged wind (Section 4.3), but this single-seed open-loop collapse was not recomputed, so its −57% figure is a point-wind magnitude.</w:t>
      </w:r>
    </w:p>
    <w:p w14:paraId="1134C8A7" w14:textId="77777777" w:rsidR="000A2783" w:rsidRDefault="00000000">
      <w:pPr>
        <w:pStyle w:val="BodyText"/>
      </w:pPr>
      <w:r>
        <w:rPr>
          <w:noProof/>
        </w:rPr>
        <w:drawing>
          <wp:inline distT="0" distB="0" distL="0" distR="0" wp14:anchorId="44BC3698" wp14:editId="03874F19">
            <wp:extent cx="5334000" cy="2594918"/>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s/surd-openloop.png"/>
                    <pic:cNvPicPr>
                      <a:picLocks noChangeAspect="1" noChangeArrowheads="1"/>
                    </pic:cNvPicPr>
                  </pic:nvPicPr>
                  <pic:blipFill>
                    <a:blip r:embed="rId12"/>
                    <a:stretch>
                      <a:fillRect/>
                    </a:stretch>
                  </pic:blipFill>
                  <pic:spPr bwMode="auto">
                    <a:xfrm>
                      <a:off x="0" y="0"/>
                      <a:ext cx="5334000" cy="2594918"/>
                    </a:xfrm>
                    <a:prstGeom prst="rect">
                      <a:avLst/>
                    </a:prstGeom>
                    <a:noFill/>
                    <a:ln w="9525">
                      <a:noFill/>
                      <a:headEnd/>
                      <a:tailEnd/>
                    </a:ln>
                  </pic:spPr>
                </pic:pic>
              </a:graphicData>
            </a:graphic>
          </wp:inline>
        </w:drawing>
      </w:r>
    </w:p>
    <w:p w14:paraId="310274BA" w14:textId="77777777" w:rsidR="000A2783" w:rsidRDefault="00000000">
      <w:pPr>
        <w:pStyle w:val="BodyText"/>
      </w:pPr>
      <w:r>
        <w:rPr>
          <w:b/>
          <w:bCs/>
        </w:rPr>
        <w:t>Figure 5c.</w:t>
      </w:r>
      <w:r>
        <w:t xml:space="preserve"> Open-loop twin (11 m/s; seed s00, five sibling seeds shown as context). In the healthy closed loop the blade-pitch command uniquely informs platform pitch (</w:t>
      </w:r>
      <w:r>
        <w:rPr>
          <w:rStyle w:val="VerbatimChar"/>
        </w:rPr>
        <w:t>U:BldPitch1 → PtfmPitch</w:t>
      </w:r>
      <w:r>
        <w:t xml:space="preserve"> = 0.167, normalized units); with the loop opened, that unique contribution collapses to zero, confirming the controller actively organises the platform response.</w:t>
      </w:r>
    </w:p>
    <w:p w14:paraId="4644D70A" w14:textId="77777777" w:rsidR="000A2783" w:rsidRDefault="00000000">
      <w:pPr>
        <w:pStyle w:val="BodyText"/>
      </w:pPr>
      <w:r>
        <w:t>Figure 6 assembles the full picture: the significant wave-driven causal web, the wind information routed into and held by the controller, and the empty wind→platform channel that defines the healthy signature.</w:t>
      </w:r>
    </w:p>
    <w:p w14:paraId="59FA81CF" w14:textId="77777777" w:rsidR="000A2783" w:rsidRDefault="00000000">
      <w:pPr>
        <w:pStyle w:val="BodyText"/>
      </w:pPr>
      <w:r>
        <w:rPr>
          <w:noProof/>
        </w:rPr>
        <w:lastRenderedPageBreak/>
        <w:drawing>
          <wp:inline distT="0" distB="0" distL="0" distR="0" wp14:anchorId="78F21871" wp14:editId="7AA0A740">
            <wp:extent cx="5334000" cy="3564094"/>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s/fig5-combined-graph.png"/>
                    <pic:cNvPicPr>
                      <a:picLocks noChangeAspect="1" noChangeArrowheads="1"/>
                    </pic:cNvPicPr>
                  </pic:nvPicPr>
                  <pic:blipFill>
                    <a:blip r:embed="rId13"/>
                    <a:stretch>
                      <a:fillRect/>
                    </a:stretch>
                  </pic:blipFill>
                  <pic:spPr bwMode="auto">
                    <a:xfrm>
                      <a:off x="0" y="0"/>
                      <a:ext cx="5334000" cy="3564094"/>
                    </a:xfrm>
                    <a:prstGeom prst="rect">
                      <a:avLst/>
                    </a:prstGeom>
                    <a:noFill/>
                    <a:ln w="9525">
                      <a:noFill/>
                      <a:headEnd/>
                      <a:tailEnd/>
                    </a:ln>
                  </pic:spPr>
                </pic:pic>
              </a:graphicData>
            </a:graphic>
          </wp:inline>
        </w:drawing>
      </w:r>
    </w:p>
    <w:p w14:paraId="7A52C09B" w14:textId="77777777" w:rsidR="000A2783" w:rsidRDefault="00000000">
      <w:pPr>
        <w:pStyle w:val="BodyText"/>
      </w:pPr>
      <w:r>
        <w:rPr>
          <w:b/>
          <w:bCs/>
        </w:rPr>
        <w:t>Figure 6.</w:t>
      </w:r>
      <w:r>
        <w:t xml:space="preserve"> Combined causal graph. Directed TE edges from wave elevation (blue) reach the platform, and the rotor-averaged wind reaches the blade loads (green); the wind→platform edge is empty — the firewall. The barrier is structural, not control-erected: it persists when the blade-pitch controller is seized or detuned.</w:t>
      </w:r>
    </w:p>
    <w:p w14:paraId="53B3F56A" w14:textId="77777777" w:rsidR="000A2783" w:rsidRDefault="00000000">
      <w:pPr>
        <w:pStyle w:val="Heading3"/>
      </w:pPr>
      <w:bookmarkStart w:id="17" w:name="a-monitoring-hypothesis-not-yet-tested"/>
      <w:bookmarkEnd w:id="16"/>
      <w:r>
        <w:t>3.4 The monitoring hypothesis, tested: the firewall is structural</w:t>
      </w:r>
    </w:p>
    <w:p w14:paraId="39DACE22" w14:textId="77777777" w:rsidR="000A2783" w:rsidRDefault="00000000">
      <w:pPr>
        <w:pStyle w:val="FirstParagraph"/>
      </w:pPr>
      <w:r>
        <w:t>The firewall suggests a diagnostic, and this study puts it to a direct test. The hypothesis: because a healthy controller holds wind→platform-pitch TE at a near-zero baseline — with a ceiling of ≈ 0.03 nats across the 42 control-active healthy simulations — a fault that degrades thrust regulation should re-admit wind information into the structure and lift TE above that ceiling. (The healthy population is the 42 control-active simulations, distinct from the 54-run full campaign used for the firewall statistics of Section 3.1, which additionally includes the 12 idle below-rated runs; the chance-floor argument holds on either population — 0.05 × 42 ≈ 2.1 expected significant, two observed.) A pitch-lock fault, in which the blade pitch is frozen and the controller can no longer regulate thrust, is the natural extreme case in which to look for such a breach; a proportional–integral gain reduction, which leaves pitch moving but detunes regulation, is a graded companion.</w:t>
      </w:r>
    </w:p>
    <w:p w14:paraId="1A22B40A" w14:textId="77777777" w:rsidR="000A2783" w:rsidRDefault="00000000">
      <w:pPr>
        <w:pStyle w:val="BodyText"/>
      </w:pPr>
      <w:r>
        <w:t xml:space="preserve">We put the hypothesis to a direct test with the graded pitch-fault campaign specified in Section 4.3: blade pitch seized at its healthy operating point and, as a graded companion, the pitch-controller gains sharply reduced, injected into otherwise identical above-rated simulations across several turbulence seeds — nine faulted runs in all — with wind→platform TE recomputed for each. The result is a null. The firewall does not breach: wind→platform TE stays within the healthy, near-zero band in every faulted case, with both the point and the rotor-averaged wind as source, even though the faults are severe and their mechanical signature is unmistakable — rotor-speed variance rises by roughly 1.6–3.5× relative to the healthy sibling, so regulation is genuinely degraded. The null is not an estimator failure: the same faulted runs still recover the wind→blade-load edge (the positive control of Section 3.1), so the estimator would have registered wind reaching the platform had any arrived. The reading is that the firewall is </w:t>
      </w:r>
      <w:r>
        <w:rPr>
          <w:i/>
          <w:iCs/>
        </w:rPr>
        <w:t>structural</w:t>
      </w:r>
      <w:r>
        <w:t xml:space="preserve"> rather than actively maintained — the platform is decoupled from the wind-driven rotor loads by the plant itself, not by the moment-to-moment action of the controller — so degrading the controller does not reconnect the severed pathway. For health monitoring this is a </w:t>
      </w:r>
      <w:r>
        <w:rPr>
          <w:i/>
          <w:iCs/>
        </w:rPr>
        <w:t>negative result</w:t>
      </w:r>
      <w:r>
        <w:t xml:space="preserve">: a wind→platform TE signature cannot detect blade-pitch faults, because the quantity it watches does not move when the controller fails. The fault is not thereby invisible — it perturbs the controller’s own regulation channels (rotor-speed and blade-load variability), where conventional condition-monitoring signals already register it — but it does bound the firewall concept to what it is: a structural, directional characterization of disturbance propagation, not a fault detector on the wind→platform edge. Section 4.2 develops the monitoring implications of this negative result, and Section 4.3 specifies the fuller fault campaign that would map its boundary across the operating envelope.</w:t>
      </w:r>
    </w:p>
    <w:p w14:paraId="40619443" w14:textId="77777777" w:rsidR="000A2783" w:rsidRDefault="00000000">
      <w:r>
        <w:pict w14:anchorId="003D3A5D">
          <v:rect id="_x0000_i1028" style="width:0;height:1.5pt" o:hralign="center" o:hrstd="t" o:hr="t"/>
        </w:pict>
      </w:r>
    </w:p>
    <w:p w14:paraId="7A81A3C1" w14:textId="77777777" w:rsidR="000A2783" w:rsidRDefault="00000000">
      <w:pPr>
        <w:pStyle w:val="Heading3"/>
      </w:pPr>
      <w:bookmarkStart w:id="18" w:name="X8e688a56a85a0f5bd90d94aa268c5f43d640f3b"/>
      <w:bookmarkEnd w:id="17"/>
      <w:r>
        <w:t>3.5 Coupling delays and the delay-robustness of the firewall</w:t>
      </w:r>
    </w:p>
    <w:p w14:paraId="5A742603" w14:textId="77777777" w:rsidR="000A2783" w:rsidRDefault="00000000">
      <w:pPr>
        <w:pStyle w:val="FirstParagraph"/>
      </w:pPr>
      <w:r>
        <w:t xml:space="preserve">Transfer entropy carries information the undirected methods do not: the </w:t>
      </w:r>
      <w:r>
        <w:rPr>
          <w:i/>
          <w:iCs/>
        </w:rPr>
        <w:t>delay</w:t>
      </w:r>
      <w:r>
        <w:t xml:space="preserve"> at which a source acts on a target. Table 6 reports the selected coupling delay — the lag maximizing the delay-resolved TE within the first half wave period (Section 2.9) — for the significant wave-driven edges, averaged over the three analyzed severe-sea 11 m/s seeds (the DLC 1.6 set of Section 2.2, Tp = 12.95 s; the delays scale with the sea state and are reported for it specifically). The delays are physically sensible and channel-specific. Platform pitch responds to wave forcing almost immediately (≈ 0.3 s), consistent with a near-instantaneous overturning moment; heave (≈ 2.7 s) and the fairlead mooring tension (≈ 3.9 s) lag progressively, tracking the heave-restoring and mooring-mediated response. Surge is the instructive exception: its delay profile is bimodal (peaks near 1.1 s and, globally, at 6.3 s ≈ half the wave peak period), which is not a transport delay but a </w:t>
      </w:r>
      <w:r>
        <w:rPr>
          <w:i/>
          <w:iCs/>
        </w:rPr>
        <w:t>phase</w:t>
      </w:r>
      <w:r>
        <w:t xml:space="preserve"> signature — wave-frequency surge is inertia-dominated and responds in near-antiphase with the forcing, and a sign-blind information measure maps an antiphase response onto a half-period delay. These timescales and phase relationships are recoverable only because the method is directed and lag-resolved; a coherence peak carries no such information.</w:t>
      </w:r>
    </w:p>
    <w:p w14:paraId="34E32785" w14:textId="77777777" w:rsidR="000A2783" w:rsidRDefault="00000000">
      <w:pPr>
        <w:pStyle w:val="BodyText"/>
      </w:pPr>
      <w:r>
        <w:rPr>
          <w:b/>
          <w:bCs/>
        </w:rPr>
        <w:t>Table 6.</w:t>
      </w:r>
      <w:r>
        <w:t xml:space="preserve"> Selected wave-coupling delay (the lag maximizing the delay-resolved TE within the first half wave period, Section 2.9) for the significant wave edges, mean over the three severe-sea (DLC 1.6) 11 m/s seeds.</w:t>
      </w:r>
    </w:p>
    <w:tbl>
      <w:tblPr>
        <w:tblStyle w:val="Table"/>
        <w:tblW w:w="5000" w:type="pct"/>
        <w:tblLayout w:type="fixed"/>
        <w:tblLook w:val="0020" w:firstRow="1" w:lastRow="0" w:firstColumn="0" w:lastColumn="0" w:noHBand="0" w:noVBand="0"/>
      </w:tblPr>
      <w:tblGrid>
        <w:gridCol w:w="3192"/>
        <w:gridCol w:w="3192"/>
        <w:gridCol w:w="3192"/>
      </w:tblGrid>
      <w:tr w:rsidR="000A2783" w14:paraId="2BE062FF" w14:textId="77777777" w:rsidTr="000A2783">
        <w:trPr>
          <w:cnfStyle w:val="100000000000" w:firstRow="1" w:lastRow="0" w:firstColumn="0" w:lastColumn="0" w:oddVBand="0" w:evenVBand="0" w:oddHBand="0" w:evenHBand="0" w:firstRowFirstColumn="0" w:firstRowLastColumn="0" w:lastRowFirstColumn="0" w:lastRowLastColumn="0"/>
          <w:tblHeader/>
        </w:trPr>
        <w:tc>
          <w:tcPr>
            <w:tcW w:w="2640" w:type="dxa"/>
          </w:tcPr>
          <w:p w14:paraId="096FD869" w14:textId="77777777" w:rsidR="000A2783" w:rsidRDefault="00000000">
            <w:pPr>
              <w:pStyle w:val="Compact"/>
            </w:pPr>
            <w:r>
              <w:t>Edge</w:t>
            </w:r>
          </w:p>
        </w:tc>
        <w:tc>
          <w:tcPr>
            <w:tcW w:w="2640" w:type="dxa"/>
          </w:tcPr>
          <w:p w14:paraId="22CDE560" w14:textId="77777777" w:rsidR="000A2783" w:rsidRDefault="00000000">
            <w:pPr>
              <w:pStyle w:val="Compact"/>
            </w:pPr>
            <w:r>
              <w:t>Selected delay (s)</w:t>
            </w:r>
          </w:p>
        </w:tc>
        <w:tc>
          <w:tcPr>
            <w:tcW w:w="2640" w:type="dxa"/>
          </w:tcPr>
          <w:p w14:paraId="4FE55450" w14:textId="77777777" w:rsidR="000A2783" w:rsidRDefault="00000000">
            <w:pPr>
              <w:pStyle w:val="Compact"/>
            </w:pPr>
            <w:r>
              <w:t>Reading</w:t>
            </w:r>
          </w:p>
        </w:tc>
      </w:tr>
      <w:tr w:rsidR="000A2783" w14:paraId="7B4C5223" w14:textId="77777777">
        <w:tc>
          <w:tcPr>
            <w:tcW w:w="2640" w:type="dxa"/>
          </w:tcPr>
          <w:p w14:paraId="5A42939F" w14:textId="77777777" w:rsidR="000A2783" w:rsidRDefault="00000000">
            <w:pPr>
              <w:pStyle w:val="Compact"/>
            </w:pPr>
            <w:r>
              <w:t>Wave → PtfmPitch</w:t>
            </w:r>
          </w:p>
        </w:tc>
        <w:tc>
          <w:tcPr>
            <w:tcW w:w="2640" w:type="dxa"/>
          </w:tcPr>
          <w:p w14:paraId="47262370" w14:textId="77777777" w:rsidR="000A2783" w:rsidRDefault="00000000">
            <w:pPr>
              <w:pStyle w:val="Compact"/>
            </w:pPr>
            <w:r>
              <w:t>0.3</w:t>
            </w:r>
          </w:p>
        </w:tc>
        <w:tc>
          <w:tcPr>
            <w:tcW w:w="2640" w:type="dxa"/>
          </w:tcPr>
          <w:p w14:paraId="1D2A5003" w14:textId="77777777" w:rsidR="000A2783" w:rsidRDefault="00000000">
            <w:pPr>
              <w:pStyle w:val="Compact"/>
            </w:pPr>
            <w:r>
              <w:t>near-instantaneous overturning moment</w:t>
            </w:r>
          </w:p>
        </w:tc>
      </w:tr>
      <w:tr w:rsidR="000A2783" w14:paraId="09E39DCD" w14:textId="77777777">
        <w:tc>
          <w:tcPr>
            <w:tcW w:w="2640" w:type="dxa"/>
          </w:tcPr>
          <w:p w14:paraId="39F7FAC2" w14:textId="77777777" w:rsidR="000A2783" w:rsidRDefault="00000000">
            <w:pPr>
              <w:pStyle w:val="Compact"/>
            </w:pPr>
            <w:r>
              <w:t>Wave → PtfmHeave</w:t>
            </w:r>
          </w:p>
        </w:tc>
        <w:tc>
          <w:tcPr>
            <w:tcW w:w="2640" w:type="dxa"/>
          </w:tcPr>
          <w:p w14:paraId="795BA9A2" w14:textId="77777777" w:rsidR="000A2783" w:rsidRDefault="00000000">
            <w:pPr>
              <w:pStyle w:val="Compact"/>
            </w:pPr>
            <w:r>
              <w:t>2.7</w:t>
            </w:r>
          </w:p>
        </w:tc>
        <w:tc>
          <w:tcPr>
            <w:tcW w:w="2640" w:type="dxa"/>
          </w:tcPr>
          <w:p w14:paraId="4C879ECB" w14:textId="77777777" w:rsidR="000A2783" w:rsidRDefault="00000000">
            <w:pPr>
              <w:pStyle w:val="Compact"/>
            </w:pPr>
            <w:r>
              <w:t>heave-restoring response lag</w:t>
            </w:r>
          </w:p>
        </w:tc>
      </w:tr>
      <w:tr w:rsidR="000A2783" w14:paraId="5764D222" w14:textId="77777777">
        <w:tc>
          <w:tcPr>
            <w:tcW w:w="2640" w:type="dxa"/>
          </w:tcPr>
          <w:p w14:paraId="7C2982F5" w14:textId="77777777" w:rsidR="000A2783" w:rsidRDefault="00000000">
            <w:pPr>
              <w:pStyle w:val="Compact"/>
            </w:pPr>
            <w:r>
              <w:t>Wave → FAIRTEN2</w:t>
            </w:r>
          </w:p>
        </w:tc>
        <w:tc>
          <w:tcPr>
            <w:tcW w:w="2640" w:type="dxa"/>
          </w:tcPr>
          <w:p w14:paraId="5F91E7C3" w14:textId="77777777" w:rsidR="000A2783" w:rsidRDefault="00000000">
            <w:pPr>
              <w:pStyle w:val="Compact"/>
            </w:pPr>
            <w:r>
              <w:t>3.9</w:t>
            </w:r>
          </w:p>
        </w:tc>
        <w:tc>
          <w:tcPr>
            <w:tcW w:w="2640" w:type="dxa"/>
          </w:tcPr>
          <w:p w14:paraId="7B75204B" w14:textId="77777777" w:rsidR="000A2783" w:rsidRDefault="00000000">
            <w:pPr>
              <w:pStyle w:val="Compact"/>
            </w:pPr>
            <w:r>
              <w:t>mooring-mediated response lag</w:t>
            </w:r>
          </w:p>
        </w:tc>
      </w:tr>
      <w:tr w:rsidR="000A2783" w14:paraId="55C755DD" w14:textId="77777777">
        <w:tc>
          <w:tcPr>
            <w:tcW w:w="2640" w:type="dxa"/>
          </w:tcPr>
          <w:p w14:paraId="51DE49FA" w14:textId="77777777" w:rsidR="000A2783" w:rsidRDefault="00000000">
            <w:pPr>
              <w:pStyle w:val="Compact"/>
            </w:pPr>
            <w:r>
              <w:t>Wave → PtfmSurge</w:t>
            </w:r>
          </w:p>
        </w:tc>
        <w:tc>
          <w:tcPr>
            <w:tcW w:w="2640" w:type="dxa"/>
          </w:tcPr>
          <w:p w14:paraId="57C8DDAD" w14:textId="77777777" w:rsidR="000A2783" w:rsidRDefault="00000000">
            <w:pPr>
              <w:pStyle w:val="Compact"/>
            </w:pPr>
            <w:r>
              <w:t xml:space="preserve">6.3 (≈ Tp/2; secondary peak </w:t>
              <w:lastRenderedPageBreak/>
              <w:t>1.1)</w:t>
            </w:r>
          </w:p>
        </w:tc>
        <w:tc>
          <w:tcPr>
            <w:tcW w:w="2640" w:type="dxa"/>
          </w:tcPr>
          <w:p w14:paraId="4FED183A" w14:textId="77777777" w:rsidR="000A2783" w:rsidRDefault="00000000">
            <w:pPr>
              <w:pStyle w:val="Compact"/>
            </w:pPr>
            <w:r>
              <w:lastRenderedPageBreak/>
              <w:t>near-antiphase, inertia-</w:t>
              <w:lastRenderedPageBreak/>
              <w:t>dominated response</w:t>
            </w:r>
          </w:p>
        </w:tc>
      </w:tr>
    </w:tbl>
    <w:p w14:paraId="5B35F598" w14:textId="77777777" w:rsidR="000A2783" w:rsidRDefault="00000000">
      <w:pPr>
        <w:pStyle w:val="BodyText"/>
      </w:pPr>
      <w:r>
        <w:lastRenderedPageBreak/>
        <w:t xml:space="preserve">The same analysis provides a direct check that the firewall is not an artifact of the lag chosen. Figure 7 shows, for one healthy case, a 100 s span in which platform heave visibly tracks the wave with a ≈ 2.6 s lag (panel a; the Table 6 value is the three-seed mean, 2.7 s), and the delay-resolved TE across all lags (panel b). The wave→heave profile rises to a clear peak at the physical delay and falls away on either side — the estimate genuinely depends on the delay, which is why the pipeline searches a lag window rather than fixing one. The wind→heave profile, by contrast, is flat and below the chance level at </w:t>
      </w:r>
      <w:r>
        <w:rPr>
          <w:i/>
          <w:iCs/>
        </w:rPr>
        <w:t>every</w:t>
      </w:r>
      <w:r>
        <w:t xml:space="preserve"> delay: no choice of lag recovers wind information in the platform channel. The firewall therefore survives the one degree of freedom a sceptic might suspect of hiding it, while the wave couplings it lets through are resolved at interpretable physical timescales.</w:t>
      </w:r>
    </w:p>
    <w:p w14:paraId="401BC127" w14:textId="77777777" w:rsidR="000A2783" w:rsidRDefault="00000000">
      <w:pPr>
        <w:pStyle w:val="BodyText"/>
      </w:pPr>
      <w:r>
        <w:rPr>
          <w:noProof/>
        </w:rPr>
        <w:drawing>
          <wp:inline distT="0" distB="0" distL="0" distR="0" wp14:anchorId="47F4BBDB" wp14:editId="12D791A3">
            <wp:extent cx="5334000" cy="1906399"/>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s/fig6-delay-analysis.png"/>
                    <pic:cNvPicPr>
                      <a:picLocks noChangeAspect="1" noChangeArrowheads="1"/>
                    </pic:cNvPicPr>
                  </pic:nvPicPr>
                  <pic:blipFill>
                    <a:blip r:embed="rId14"/>
                    <a:stretch>
                      <a:fillRect/>
                    </a:stretch>
                  </pic:blipFill>
                  <pic:spPr bwMode="auto">
                    <a:xfrm>
                      <a:off x="0" y="0"/>
                      <a:ext cx="5334000" cy="1906399"/>
                    </a:xfrm>
                    <a:prstGeom prst="rect">
                      <a:avLst/>
                    </a:prstGeom>
                    <a:noFill/>
                    <a:ln w="9525">
                      <a:noFill/>
                      <a:headEnd/>
                      <a:tailEnd/>
                    </a:ln>
                  </pic:spPr>
                </pic:pic>
              </a:graphicData>
            </a:graphic>
          </wp:inline>
        </w:drawing>
      </w:r>
    </w:p>
    <w:p w14:paraId="03CDD574" w14:textId="77777777" w:rsidR="000A2783" w:rsidRDefault="00000000">
      <w:pPr>
        <w:pStyle w:val="BodyText"/>
      </w:pPr>
      <w:r>
        <w:rPr>
          <w:b/>
          <w:bCs/>
        </w:rPr>
        <w:t>Figure 7.</w:t>
      </w:r>
      <w:r>
        <w:t xml:space="preserve"> Delay-resolved transfer entropy for a healthy 11 m/s case. (a) A 100 s span of z-scored wave elevation and platform heave; heave tracks the wave with a ≈ 2.6 s lag and is low-pass smoothed by the platform dynamics. (b) Delay-resolved TE,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versus assumed source delay </w:t>
      </w:r>
      <m:oMath>
        <m:r>
          <w:rPr>
            <w:rFonts w:ascii="Cambria Math" w:hAnsi="Cambria Math"/>
          </w:rPr>
          <m:t>d</m:t>
        </m:r>
      </m:oMath>
      <w:r>
        <w:t xml:space="preserve"> over one full wave period. The wave→heave coupling (blue) peaks at the physical delay, with the secondary bump near </w:t>
      </w:r>
      <m:oMath>
        <m:r>
          <w:rPr>
            <w:rFonts w:ascii="Cambria Math" w:hAnsi="Cambria Math"/>
          </w:rPr>
          <m:t>d</m:t>
        </m:r>
        <m:r>
          <m:rPr>
            <m:sty m:val="p"/>
          </m:rPr>
          <w:rPr>
            <w:rFonts w:ascii="Cambria Math" w:hAnsi="Cambria Math"/>
          </w:rPr>
          <m:t>≈</m:t>
        </m:r>
        <m:r>
          <w:rPr>
            <w:rFonts w:ascii="Cambria Math" w:hAnsi="Cambria Math"/>
          </w:rPr>
          <m:t>8</m:t>
        </m:r>
      </m:oMath>
      <w:r>
        <w:t xml:space="preserve"> s reflecting the narrowband alias structure discussed with Figure 8; the wind→heave channel (gray) is flat and below the 95% chance level at every delay, confirming the firewall is not an artifact of the lag choice. Absolute values exceed the reported bivariate TE because of the single-lag conditioning (Section 2.9); only the peak location and the wave/wind contrast are interpreted.</w:t>
      </w:r>
    </w:p>
    <w:p w14:paraId="0A828648" w14:textId="77777777" w:rsidR="000A2783" w:rsidRDefault="00000000">
      <w:pPr>
        <w:pStyle w:val="BodyText"/>
      </w:pPr>
      <w:r>
        <w:t xml:space="preserve">Figure 8 extends the delay profiles to all four wave edges of Table 6, with the three seeds overlaid. Three features are worth noting. First, the profiles ripple at roughly half the wave peak period: because the estimator is blind to the sign of the dependence, narrowband forcing produces secondary peaks at half-period shifts of the true coupling — an expected signature of a JONSWAP sea state, and the reason the selected delay is defined within the first half period (Section 2.9). Read this way, pitch, heave, and fairlead tension show unambiguous primary peaks with weaker aliases, while surge’s near-half-period global peak identifies the antiphase response discussed above. Second, the three seeds are nearly indistinguishable in every panel, so the reported delays are stable properties of the coupling rather than realization noise. Third — and most importantly for the paper’s central claim — the wind profile is flat and below the chance </w:t>
        <w:lastRenderedPageBreak/>
        <w:t xml:space="preserve">level at </w:t>
      </w:r>
      <w:r>
        <w:rPr>
          <w:i/>
          <w:iCs/>
        </w:rPr>
        <w:t>every</w:t>
      </w:r>
      <w:r>
        <w:t xml:space="preserve"> lag in </w:t>
      </w:r>
      <w:r>
        <w:rPr>
          <w:i/>
          <w:iCs/>
        </w:rPr>
        <w:t>all four</w:t>
      </w:r>
      <w:r>
        <w:t xml:space="preserve"> panels: the firewall’s lag-robustness, demonstrated for heave in Figure 7, holds across every platform and mooring channel examined.</w:t>
      </w:r>
    </w:p>
    <w:p w14:paraId="4C66220A" w14:textId="77777777" w:rsidR="000A2783" w:rsidRDefault="00000000">
      <w:pPr>
        <w:pStyle w:val="BodyText"/>
      </w:pPr>
      <w:r>
        <w:rPr>
          <w:noProof/>
        </w:rPr>
        <w:drawing>
          <wp:inline distT="0" distB="0" distL="0" distR="0" wp14:anchorId="72FACA3E" wp14:editId="1A2D96ED">
            <wp:extent cx="5334000" cy="3615883"/>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s/fig7-delay-profiles.png"/>
                    <pic:cNvPicPr>
                      <a:picLocks noChangeAspect="1" noChangeArrowheads="1"/>
                    </pic:cNvPicPr>
                  </pic:nvPicPr>
                  <pic:blipFill>
                    <a:blip r:embed="rId15"/>
                    <a:stretch>
                      <a:fillRect/>
                    </a:stretch>
                  </pic:blipFill>
                  <pic:spPr bwMode="auto">
                    <a:xfrm>
                      <a:off x="0" y="0"/>
                      <a:ext cx="5334000" cy="3615883"/>
                    </a:xfrm>
                    <a:prstGeom prst="rect">
                      <a:avLst/>
                    </a:prstGeom>
                    <a:noFill/>
                    <a:ln w="9525">
                      <a:noFill/>
                      <a:headEnd/>
                      <a:tailEnd/>
                    </a:ln>
                  </pic:spPr>
                </pic:pic>
              </a:graphicData>
            </a:graphic>
          </wp:inline>
        </w:drawing>
      </w:r>
    </w:p>
    <w:p w14:paraId="0534C815" w14:textId="77777777" w:rsidR="000A2783" w:rsidRDefault="00000000">
      <w:pPr>
        <w:pStyle w:val="BodyText"/>
      </w:pPr>
      <w:r>
        <w:rPr>
          <w:b/>
          <w:bCs/>
        </w:rPr>
        <w:t>Figure 8.</w:t>
      </w:r>
      <w:r>
        <w:t xml:space="preserve"> Delay-resolved TE profiles for the four significant wave edges (panels), over one full wave period. Thin lines: three severe-sea (DLC 1.6) 11 m/s seeds; bold: seed mean; gray: the wind profile for the same target; dashed: 95% chance level; dotted vertical: the selected delay (Table 6); shading marks delays beyond the first half wave period, where sign-blind half-period aliases of the true coupling appear. Seed-to-seed spread is small, the wave profiles show the narrowband alias structure expected of a JONSWAP sea state, and the wind channel stays below chance at every lag in every panel.</w:t>
      </w:r>
    </w:p>
    <w:p w14:paraId="54EC7710" w14:textId="77777777" w:rsidR="000A2783" w:rsidRDefault="00000000">
      <w:pPr>
        <w:pStyle w:val="Heading3"/>
      </w:pPr>
      <w:bookmarkStart w:id="19" w:name="summary-of-findings"/>
      <w:bookmarkEnd w:id="18"/>
      <w:r>
        <w:t>3.6 Summary of findings</w:t>
      </w:r>
    </w:p>
    <w:p w14:paraId="0EA08BD0" w14:textId="77777777" w:rsidR="000A2783" w:rsidRDefault="00000000">
      <w:pPr>
        <w:pStyle w:val="FirstParagraph"/>
      </w:pPr>
      <w:r>
        <w:t>The results establish three linked facts. Wind carries essentially no information into the platform and mooring channels of a healthy FOWT, while wave forcing dominates them — a firewall specific to the rigid-body response, since the rotor-averaged wind does reach the aerodynamically direct blade and tower channels. A linear coherence analysis of the same signals reports the opposite, a spurious wind–platform link, showing that the firewall is invisible to the standard undirected tool. And the firewall is structural rather than control-erected: the rotor spatially filters the inflow and the wave-governed platform is decoupled from the residual thrust, so the barrier persists when the pitch controller is seized or detuned, while SURD and an open-loop twin show the controller shapes — but does not create — the platform’s wind response. On this foundation the monitoring proposal is settled as a negative result rather than an outlook: a graded pitch-fault campaign leaves wind→platform transfer entropy at its healthy, near-zero baseline in every faulted case, so a wind→platform signature does not track pitch-controller health — the firewall is a structural characterization of disturbance propagation, not a fault detector.</w:t>
      </w:r>
    </w:p>
    <w:p w14:paraId="40206CB9" w14:textId="77777777" w:rsidR="000A2783" w:rsidRDefault="00000000">
      <w:pPr>
        <w:pStyle w:val="Heading2"/>
      </w:pPr>
      <w:bookmarkStart w:id="20" w:name="discussion"/>
      <w:bookmarkEnd w:id="13"/>
      <w:bookmarkEnd w:id="19"/>
      <w:r>
        <w:lastRenderedPageBreak/>
        <w:t>4. Discussion</w:t>
      </w:r>
    </w:p>
    <w:p w14:paraId="36F7DDF5" w14:textId="77777777" w:rsidR="000A2783" w:rsidRDefault="00000000">
      <w:pPr>
        <w:pStyle w:val="Heading3"/>
      </w:pPr>
      <w:bookmarkStart w:id="21" w:name="physical-interpretation"/>
      <w:r>
        <w:t>4.1 Physical interpretation</w:t>
      </w:r>
    </w:p>
    <w:p w14:paraId="5E0AD74B" w14:textId="77777777" w:rsidR="000A2783" w:rsidRDefault="00000000">
      <w:pPr>
        <w:pStyle w:val="FirstParagraph"/>
      </w:pPr>
      <w:r>
        <w:t>The firewall is best read as a structural property of the floating turbine, to which active control contributes but which it does not create. The rotor is the aerodynamic interface: turbulent wind drives the blade loads directly, and transfer entropy sees this — the rotor-averaged wind carries significant information into the blade-root moments. What does not follow is a directed pathway into platform pitch and heave, and two mechanisms keep it closed. The rotor spatially averages the inflow over a 240 m disc, filtering the small-scale turbulence that carries most of the wind’s future-relevant information, so that what reaches the platform as thrust is already comparatively smooth; and platform pitch and heave are lightly damped rigid-body modes governed by wave excitation and hydrostatic restoring, which swamp what little wind-driven thrust fluctuation survives. Above rated the collective-pitch loop smooths thrust further still — that is real, and it is what the controller’s workload measures — but it is not the origin of the barrier: when the controller is seized or detuned (Section 3.4) the wind→platform pathway stays closed. The wave channel, which neither the plant nor the controller suppresses, remains a strong and consistent driver of platform and mooring response, exactly as expected for a lightly damped floating body excited near its rigid-body modes.</w:t>
      </w:r>
    </w:p>
    <w:p w14:paraId="60F24989" w14:textId="77777777" w:rsidR="000A2783" w:rsidRDefault="00000000">
      <w:pPr>
        <w:pStyle w:val="BodyText"/>
      </w:pPr>
      <w:r>
        <w:t xml:space="preserve">Two regime observations are consistent with this mechanism, and it is worth keeping them distinct because they measure different things. The first is the controller’s </w:t>
      </w:r>
      <w:r>
        <w:rPr>
          <w:i/>
          <w:iCs/>
        </w:rPr>
        <w:t>workload</w:t>
      </w:r>
      <w:r>
        <w:t xml:space="preserve"> — how much wind information it captures — which the SURD dose–response shows rising with wind speed, since there is more turbulent aerodynamic forcing to regulate as the machine moves to and above rated. The second is the residual </w:t>
      </w:r>
      <w:r>
        <w:rPr>
          <w:i/>
          <w:iCs/>
        </w:rPr>
        <w:t>leakage</w:t>
      </w:r>
      <w:r>
        <w:t xml:space="preserve"> into the platform, measured by TE, which stays effectively at zero across the whole operating range and shows only marginal, mostly non-significant traces near rated (11–15 m/s). The two are complementary: the controller does progressively more work at higher wind speed, and the small imperfection in that work shows up not where the work is hardest in an absolute sense (20 m/s) but where the control architecture is most stressed by mode transition (near rated). What fixes the firewall as structural, rather than a mere by-product of wave dominance, is not the regime trend but the fault campaign of Section 3.4: wave dominance would only suppress the magnitude of a wind effect, whereas this barrier persists even when the controller is disabled — so the platform is decoupled from the wind-driven rotor loads by the plant itself, not merely outweighed by waves.</w:t>
      </w:r>
    </w:p>
    <w:p w14:paraId="49FBFF2F" w14:textId="77777777" w:rsidR="000A2783" w:rsidRDefault="00000000">
      <w:pPr>
        <w:pStyle w:val="BodyText"/>
      </w:pPr>
      <w:r>
        <w:t xml:space="preserve">One alternative reading deserves a direct answer: that an exact zero is a </w:t>
      </w:r>
      <w:r>
        <w:rPr>
          <w:i/>
          <w:iCs/>
        </w:rPr>
        <w:t>detectability</w:t>
      </w:r>
      <w:r>
        <w:t xml:space="preserve"> artifact — wind fluctuations too small, against a wave-saturated platform, for any residual influence to be resolved — rather than a genuine physical barrier. It is conceded that this is a genuine concern below rated: at 8 m/s the wind forcing is weak (Section 3.3), so the below-rated zero is not claimed as evidence of anything. The concern is decisively answered, however, at 20 m/s. There the wind fluctuations are large — well above rated, in the heart of the pitch-control region — yet the wind→platform transfer entropy is still identically zero. The one regime where a detectability alibi is least available is precisely where the firewall is most complete, which is the opposite of what a non-detectability explanation predicts. Three further considerations reinforce this. First, the method demonstrably </w:t>
      </w:r>
      <w:r>
        <w:rPr>
          <w:i/>
          <w:iCs/>
        </w:rPr>
        <w:t>can</w:t>
      </w:r>
      <w:r>
        <w:t xml:space="preserve"> detect wind influence when it is present: the same estimator, on the same platform channels, finds significant wind→blade-root and wind→tower-base edges (Table 3) and the small near-rated platform leakage of Table 4. Second, the same rotor-averaged wind that transfers nothing into the platform does transfer significant information into the blade-root loads it directly drives (Section 3.1, Table 3): the estimator resolves wind→structure coupling precisely where it is physically real, and returns zero at the platform because there is nothing to resolve. Third, the barrier survives a faulted controller (Section 3.4), so it can be neither a detectability artifact nor a product of active control. A detectability alibi explains none of this; a structural decoupling explains all of it. The open-loop twin adds only the narrower point that the controller organizes the platform’s pitch response, not that it erects the wind barrier.</w:t>
      </w:r>
    </w:p>
    <w:p w14:paraId="637995EC" w14:textId="77777777" w:rsidR="000A2783" w:rsidRDefault="00000000">
      <w:pPr>
        <w:pStyle w:val="Heading3"/>
      </w:pPr>
      <w:bookmarkStart w:id="22" w:name="implications-for-health-monitoring"/>
      <w:bookmarkEnd w:id="21"/>
      <w:r>
        <w:t>4.2 Implications for health monitoring</w:t>
      </w:r>
    </w:p>
    <w:p w14:paraId="4A79757F" w14:textId="77777777" w:rsidR="000A2783" w:rsidRDefault="00000000">
      <w:pPr>
        <w:pStyle w:val="FirstParagraph"/>
      </w:pPr>
      <w:r>
        <w:t xml:space="preserve">The structural firewall is not an artifact of this particular machine or controller. Any floating turbine whose platform pitch and heave are wave-governed, and whose large rotor spatially filters the inflow, will present the same barrier — the wind→platform pathway is closed by the plant, and the collective-pitch loop above rated only reinforces the smoothing. Floating-specific control design reinforces this: because pitch-to-feather action can feed platform-pitch motion and produce a negative-damping instability, floating controllers are deliberately detuned or augmented to suppress that coupling (Larsen &amp; Hanson, 2007), which is exactly a suppression of the wind→platform pathway. The firewall can thus be read as the information-theoretic shadow of well-established floating-control practice, which is why it is expected to generalize even though the numerical baseline does not. Because that baseline depends on the control architecture and tuning, a deployed monitor would need re-baselining not only per turbine and platform but per control configuration; an individual-pitch-control scheme, which redistributes the wind→structure pathway across blades (Namik &amp; Stol, 2010), would in particular warrant its own baseline. The consequence for health monitoring, however, is the central caution of this paper, and it is negative: because the firewall is structural rather than actively maintained, degrading the controller does not re-admit wind into the platform (Section 3.4), so a wind→platform transfer-entropy signature does not track pitch-controller health. The physics that would make a breach consequential — re-admitting low-frequency thrust fluctuation into a lightly damped platform — is real, but the graded-fault test shows that a failing pitch controller does not produce such a breach: the platform stays decoupled even as regulation visibly degrades.</w:t>
      </w:r>
    </w:p>
    <w:p w14:paraId="309D5F28" w14:textId="77777777" w:rsidR="000A2783" w:rsidRDefault="00000000">
      <w:pPr>
        <w:pStyle w:val="BodyText"/>
      </w:pPr>
      <w:r>
        <w:t xml:space="preserve">The negative result does not make the fault invisible; it relocates it. A degraded pitch controller announces itself in the machine’s own regulation channels — rotor-speed and blade-load variability rise sharply when the loop is seized or detuned (Section 3.4) — which is where component-level pitch diagnostics (Chen et al., 2015) and control-loop performance monitoring in the process industries (Harris, 1989; Jelali, 2006) already look, screening routine operating data for loops that have quietly stopped doing their job. Our finding is the complementary negative statement: the wind→platform edge, though defined on ordinary operational signals and needing no fault library, is simply not where a pitch fault registers, because that edge is structurally silent whether or not the controller is healthy.</w:t>
      </w:r>
    </w:p>
    <w:p w14:paraId="20584917" w14:textId="77777777" w:rsidR="000A2783" w:rsidRDefault="00000000">
      <w:pPr>
        <w:pStyle w:val="BodyText"/>
      </w:pPr>
      <w:r>
        <w:t xml:space="preserve">This does not dismiss directed information for floating turbines; it locates where it is and is not useful. The disturbance-propagation framing that transfer entropy supports in process control (Bauer et al., 2007), where it traces a plant-wide oscillation to its origin, remains apt — but the disturbance a pitch fault admits is not wind arriving at the platform. The healthy wind→platform baseline is a clean near-zero that would have been an attractive starting point for a detection threshold had a breach ever occurred; the graded-fault test shows it does not, so the near-zero is best read as evidence of structure rather than as a monitor’s operating point.</w:t>
      </w:r>
    </w:p>
    <w:p w14:paraId="75F8BCBC" w14:textId="77777777" w:rsidR="000A2783" w:rsidRDefault="00000000">
      <w:pPr>
        <w:pStyle w:val="BodyText"/>
      </w:pPr>
      <w:r>
        <w:t xml:space="preserve">A directed-information monitor for floating wind would therefore watch edges that a fault does perturb — for example wind→blade-load, or the internal control channels — rather than the structurally silent wind→platform edge. Which edges carry a usable fault signature, on what window length, and with what detection-versus-false-alarm trade-off across fault types and severities, is an open question that the graded-fault campaign begun here (Section 4.3) is the natural instrument to answer. The present study settles only the first, necessary question — whether the originally hypothesized wind→platform breach occurs — and finds that it does not.</w:t>
      </w:r>
    </w:p>
    <w:p w14:paraId="626D8024" w14:textId="77777777" w:rsidR="000A2783" w:rsidRDefault="00000000">
      <w:pPr>
        <w:pStyle w:val="Heading3"/>
      </w:pPr>
      <w:bookmarkStart w:id="23" w:name="limitations-and-the-path-to-validation"/>
      <w:bookmarkEnd w:id="22"/>
      <w:r>
        <w:t>4.3 Limitations and the path to validation</w:t>
      </w:r>
    </w:p>
    <w:p w14:paraId="1DD9CB0F" w14:textId="77777777" w:rsidR="000A2783" w:rsidRDefault="00000000">
      <w:pPr>
        <w:pStyle w:val="FirstParagraph"/>
      </w:pPr>
      <w:r>
        <w:t>Four limitations bound the present claims.</w:t>
      </w:r>
    </w:p>
    <w:p w14:paraId="474FBA18" w14:textId="77777777" w:rsidR="000A2783" w:rsidRDefault="00000000">
      <w:pPr>
        <w:pStyle w:val="BodyText"/>
      </w:pPr>
      <w:r>
        <w:rPr>
          <w:i/>
          <w:iCs/>
        </w:rPr>
        <w:t>Monitoring: a bounded negative result, not an exhaustive one.</w:t>
      </w:r>
      <w:r>
        <w:t xml:space="preserve"> A graded pitch-fault campaign was run (Section 3.4) — blade pitch seized and controller gains reduced, across several above-rated turbulence seeds — and returned a null: wind→platform TE does not breach the healthy baseline in any faulted case, so the hypothesized diagnostic does not fire. This is a genuine negative, but a bounded one. The nine faulted runs cover pitch-lock and gain reduction above rated; a complete characterization would inject the full range of pitch faults — pitch-angle bias, graded proportional/integral gain reduction, actuator rate limits, stuck-at and full lock — across the wind-speed range and multiple seeds, computing TE for each and mapping the receiver-operating behavior (detection rate versus false-alarm rate) against both the healthy ceiling and the chance-significance floor, to confirm that no fault type or severity re-admits wind at any operating point. The infrastructure exists in the pipeline and the pilot has exercised it; the fuller crossed campaign is the remaining step. The open-loop attribution similarly rests on a single realization (Section 3.3); replicating the collapse across seeds and operating points belongs to the same campaign.</w:t>
      </w:r>
    </w:p>
    <w:p w14:paraId="58A2F4AC" w14:textId="77777777" w:rsidR="000A2783" w:rsidRDefault="00000000">
      <w:pPr>
        <w:pStyle w:val="BodyText"/>
      </w:pPr>
      <w:r>
        <w:rPr>
          <w:i/>
          <w:iCs/>
        </w:rPr>
        <w:t>Single turbine and platform.</w:t>
      </w:r>
      <w:r>
        <w:t xml:space="preserve"> All results are for the IEA-15MW on VolturnUS-S. The firewall mechanism should generalize to any thrust-regulating floating turbine, but the numerical ceiling (≈ 0.03 nats) is specific to this machine, controller tuning, and sea state, and would need re-baselining elsewhere.</w:t>
      </w:r>
    </w:p>
    <w:p w14:paraId="7E914F09" w14:textId="77777777" w:rsidR="000A2783" w:rsidRDefault="00000000">
      <w:pPr>
        <w:pStyle w:val="BodyText"/>
      </w:pPr>
      <w:r>
        <w:rPr>
          <w:i/>
          <w:iCs/>
        </w:rPr>
        <w:lastRenderedPageBreak/>
        <w:t>Simulation only.</w:t>
      </w:r>
      <w:r>
        <w:t xml:space="preserve"> OpenFAST is a high-fidelity aero-hydro-servo-elastic tool, but it is still a model. Field signals carry sensor noise, drift, and unmodelled dynamics that will raise the healthy baseline and must be characterized before deployment. Two specifics matter. The analysis uses the free-stream hub-height wind, whereas a deployed monitor’s most convenient input — a nacelle anemometer — sits in the rotor wake and is a poor proxy for the free-stream disturbance the rotor actually sees, which would inflate the healthy baseline and degrade the source-selection alarm; a nacelle-lidar input would mitigate this and is the more realistic deployment assumption. A related source-definition point applies even within the simulation, and it has since been addressed rather than left open (Section 3.1). The analysis originally interrogated the hub-height point wind, whereas a 240-m rotor responds to the rotor-effective (disc-averaged) wind, which attenuates the small-scale turbulence a point signal carries. Re-running with a rotor-averaged wind source resolves the ambiguity in the firewall’s favour: the point wind is so decorrelated from the disc-averaged inflow that it carries essentially no directed information into any structural channel — even the blade loads it demonstrably drives — while the rotor-averaged wind does inform the blade loads yet still transfers none into the platform. The platform-channel zero is therefore a genuine barrier, not spatial filtering of the interrogated signal; the lesson carried forward is methodological — directed-information analysis of floating turbines should be run on rotor-averaged, not point, wind. And because the wave→platform channel is the paper’s dominant, load-bearing result, its robustness to hydrodynamic modeling fidelity — in particular second-order difference-frequency wave loading, which drives the sub-wave-frequency platform-pitch resonance — should be confirmed rather than assumed.</w:t>
      </w:r>
    </w:p>
    <w:p w14:paraId="27920355" w14:textId="77777777" w:rsidR="000A2783" w:rsidRDefault="00000000">
      <w:pPr>
        <w:pStyle w:val="BodyText"/>
      </w:pPr>
      <w:r>
        <w:rPr>
          <w:i/>
          <w:iCs/>
        </w:rPr>
        <w:t>Estimator sensitivity.</w:t>
      </w:r>
      <w:r>
        <w:t xml:space="preserve"> KSG transfer entropy depends on several analyst choices — the neighbor count </w:t>
      </w:r>
      <m:oMath>
        <m:r>
          <w:rPr>
            <w:rFonts w:ascii="Cambria Math" w:hAnsi="Cambria Math"/>
          </w:rPr>
          <m:t>k</m:t>
        </m:r>
      </m:oMath>
      <w:r>
        <w:t xml:space="preserve">, the length and spacing of the embedding search, the analysis bandwidth after decimation, and the number of surrogates — and although each is documented here and fixed across all cases, only the neighbor count </w:t>
      </w:r>
      <m:oMath>
        <m:r>
          <w:rPr>
            <w:rFonts w:ascii="Cambria Math" w:hAnsi="Cambria Math"/>
          </w:rPr>
          <m:t>k</m:t>
        </m:r>
      </m:oMath>
      <w:r>
        <w:t xml:space="preserve"> was swept (over </w:t>
      </w:r>
      <m:oMath>
        <m:r>
          <w:rPr>
            <w:rFonts w:ascii="Cambria Math" w:hAnsi="Cambria Math"/>
          </w:rPr>
          <m:t>k</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Section 2.4, where the firewall ceiling and the selected coupling delays proved insensitive to it); the remaining choices were not. Two choices deserve particular scrutiny before deployment. The per-target </w:t>
      </w:r>
      <m:oMath>
        <m:r>
          <w:rPr>
            <w:rFonts w:ascii="Cambria Math" w:hAnsi="Cambria Math"/>
          </w:rPr>
          <m:t>τ</m:t>
        </m:r>
      </m:oMath>
      <w:r>
        <w:t xml:space="preserve"> thinning applied to the slow-drift channels reduces the candidate-lag grid for computational tractability, and while it preserves the embedding window it could in principle depress a weak source’s chance of selection; a control experiment holding </w:t>
      </w:r>
      <m:oMath>
        <m:r>
          <w:rPr>
            <w:rFonts w:ascii="Cambria Math" w:hAnsi="Cambria Math"/>
          </w:rPr>
          <m:t>τ</m:t>
        </m:r>
        <m:r>
          <m:rPr>
            <m:sty m:val="p"/>
          </m:rPr>
          <w:rPr>
            <w:rFonts w:ascii="Cambria Math" w:hAnsi="Cambria Math"/>
          </w:rPr>
          <m:t>=</m:t>
        </m:r>
        <m:r>
          <w:rPr>
            <w:rFonts w:ascii="Cambria Math" w:hAnsi="Cambria Math"/>
          </w:rPr>
          <m:t>1</m:t>
        </m:r>
      </m:oMath>
      <w:r>
        <w:t xml:space="preserve"> on those channels, where feasible, would confirm that the healthy zero is genuine and not an artifact of thinning. The decimation to 5 Hz was chosen to resolve the platform and wave bands, but a higher-rate analysis would be needed to capture any fast blade-level pathway, and could change the blade-root results (though not, by construction, the low-frequency platform firewall). A systematic sensitivity study over the embedding parameters and decimation rate — extending the </w:t>
      </w:r>
      <m:oMath>
        <m:r>
          <w:rPr>
            <w:rFonts w:ascii="Cambria Math" w:hAnsi="Cambria Math"/>
          </w:rPr>
          <m:t>k</m:t>
        </m:r>
      </m:oMath>
      <w:r>
        <w:t xml:space="preserve"> sweep of Section 2.4 and reporting how the firewall statistic and the monitoring baseline move with each — is a necessary robustness check flagged here as future work rather than claimed to have been discharged. The SURD attribution carries a related caveat: it is computed with a coarse three-bin marginal quantization, chosen for reliable frequency estimation at the available sample size, and the redundancy value (</w:t>
      </w:r>
      <w:r>
        <w:rPr>
          <w:rStyle w:val="VerbatimChar"/>
        </w:rPr>
        <w:t>surd_wind_into_bldpitch</w:t>
      </w:r>
      <w:r>
        <w:t xml:space="preserve"> ≈ 0.4, normalized units) should be confirmed stable under finer binning and alternative lag choices before it is treated as a precise figure rather than a qualitative indication of the controller’s role. The rotor-averaged-wind check this attribution also called for has since been carried out — the point-wind SURD of Section 3.3 re-run with the rotor-effective wind source — and confirms it: the redirection strengthens (wind information into the blade-pitch command rises to ≈ 0.79 in normalized units, and wind informs both control channels in every case), the operating-region dose–response persists (≈ 2.5× at and above rated versus below), and the controller’s marginal leak-drop is more modest than the point-wind estimate, as expected when the more informative rotor-averaged source is used.</w:t>
      </w:r>
    </w:p>
    <w:p w14:paraId="27969F7C" w14:textId="77777777" w:rsidR="000A2783" w:rsidRDefault="00000000">
      <w:pPr>
        <w:pStyle w:val="BodyText"/>
      </w:pPr>
      <w:r>
        <w:t>None of these undermines the paper’s established results — the structural firewall and the methodological finding that it is visible only with rotor-averaged wind — and the monitoring question is now settled rather than outstanding: the graded-fault test (Section 3.4) shows the firewall does not breach under a failing pitch controller, a negative result whose generality across the full fault envelope the fuller campaign noted above is designed to map.</w:t>
      </w:r>
    </w:p>
    <w:p w14:paraId="58711616" w14:textId="77777777" w:rsidR="000A2783" w:rsidRDefault="00000000">
      <w:r>
        <w:lastRenderedPageBreak/>
        <w:pict w14:anchorId="6203B2E0">
          <v:rect id="_x0000_i1029" style="width:0;height:1.5pt" o:hralign="center" o:hrstd="t" o:hr="t"/>
        </w:pict>
      </w:r>
    </w:p>
    <w:p w14:paraId="0569331F" w14:textId="77777777" w:rsidR="000A2783" w:rsidRDefault="00000000">
      <w:pPr>
        <w:pStyle w:val="Heading2"/>
      </w:pPr>
      <w:bookmarkStart w:id="24" w:name="conclusion"/>
      <w:bookmarkEnd w:id="20"/>
      <w:bookmarkEnd w:id="23"/>
      <w:r>
        <w:t>5. Conclusion</w:t>
      </w:r>
    </w:p>
    <w:p w14:paraId="2FDAD9AB" w14:textId="77777777" w:rsidR="000A2783" w:rsidRDefault="00000000">
      <w:pPr>
        <w:pStyle w:val="FirstParagraph"/>
      </w:pPr>
      <w:r>
        <w:t xml:space="preserve">In a floating offshore wind turbine, wind and platform motion are separated by a structural barrier. Measured with directed transfer entropy across 54 OpenFAST simulations of the IEA-15MW on VolturnUS-S, the rotor-averaged wind transfers essentially no information into platform pitch or heave — even though the same wind demonstrably reaches the blade-root loads it drives — while wave forcing drives the platform strongly (0.121 nats, 100% significance). This near-zero is not a null result but a genuine </w:t>
      </w:r>
      <w:r>
        <w:rPr>
          <w:i/>
          <w:iCs/>
        </w:rPr>
        <w:t>information firewall</w:t>
      </w:r>
      <w:r>
        <w:t>: the rotor spatially filters the inflow, and the wave-governed platform is decoupled from the residual wind-driven thrust. It is physical, not a measurement artifact — a single-point anemometer reads zero into every structural channel, so the barrier is visible only with rotor-averaged wind — and it is structural, not control-erected, persisting when the pitch controller is seized or detuned. A linear coherence analysis, by contrast, reports shared spectral power that reads as a strong wind–platform link, illustrating why closed-loop systems demand directed, model-free causal measures.</w:t>
      </w:r>
    </w:p>
    <w:p w14:paraId="79DD51CE" w14:textId="77777777" w:rsidR="000A2783" w:rsidRDefault="00000000">
      <w:pPr>
        <w:pStyle w:val="BodyText"/>
      </w:pPr>
      <w:r>
        <w:t>We tested whether the firewall could serve as a health monitor and found that it cannot. Because the barrier is structural rather than actively maintained, a graded pitch-fault campaign — blade pitch seized, controller gains detuned — leaves wind→platform transfer entropy at its healthy, near-zero baseline in every case, even as rotor-speed regulation is plainly degraded; the fault instead perturbs the controller’s own regulation channels, where conventional signals already register it. The contribution therefore lies elsewhere than in a new fault detector, and is twofold: a directed-information characterization of how a floating turbine’s rotor mediates disturbance propagation into its structure — wind to the blades, not to the platform — and the methodological finding that this can be seen only with rotor-averaged wind, since a point measurement is decorrelated from the inflow the rotor actually integrates. Directed information flow thus offers a rigorous language for what a floating turbine structurally admits and blocks, even where — as here — it does not yield the monitor first hypothesized.</w:t>
      </w:r>
    </w:p>
    <w:p w14:paraId="3A984020" w14:textId="77777777" w:rsidR="000A2783" w:rsidRDefault="00000000">
      <w:r>
        <w:pict w14:anchorId="42F21EBB">
          <v:rect id="_x0000_i1030" style="width:0;height:1.5pt" o:hralign="center" o:hrstd="t" o:hr="t"/>
        </w:pict>
      </w:r>
    </w:p>
    <w:p w14:paraId="7DE0E1DD" w14:textId="77777777" w:rsidR="000A2783" w:rsidRDefault="00000000">
      <w:pPr>
        <w:pStyle w:val="Heading2"/>
      </w:pPr>
      <w:bookmarkStart w:id="25" w:name="data-and-code-availability-statement"/>
      <w:bookmarkEnd w:id="24"/>
      <w:r>
        <w:t>Data and Code Availability Statement</w:t>
      </w:r>
    </w:p>
    <w:p w14:paraId="3745DE1C" w14:textId="77777777" w:rsidR="000A2783" w:rsidRDefault="00000000">
      <w:pPr>
        <w:pStyle w:val="FirstParagraph"/>
      </w:pPr>
      <w:r>
        <w:t>The datasets underlying this study — the transfer-entropy, SURD, monitoring-signature, and delay-profile results — and the analysis code that produced them are available from the corresponding author on reasonable request. [Add repository/DOI at submission.]</w:t>
      </w:r>
    </w:p>
    <w:p w14:paraId="0E66B7B5" w14:textId="77777777" w:rsidR="000A2783" w:rsidRDefault="00000000">
      <w:pPr>
        <w:pStyle w:val="BodyText"/>
      </w:pPr>
      <w:r>
        <w:t xml:space="preserve">For reproducibility, transfer entropy is computed with IDTxl 1.6.1 (JIDT Kraskov–Stögbauer–Grassberger conditional-mutual-information backend, </w:t>
      </w:r>
      <m:oMath>
        <m:r>
          <w:rPr>
            <w:rFonts w:ascii="Cambria Math" w:hAnsi="Cambria Math"/>
          </w:rPr>
          <m:t>k</m:t>
        </m:r>
        <m:r>
          <m:rPr>
            <m:sty m:val="p"/>
          </m:rPr>
          <w:rPr>
            <w:rFonts w:ascii="Cambria Math" w:hAnsi="Cambria Math"/>
          </w:rPr>
          <m:t>=</m:t>
        </m:r>
        <m:r>
          <w:rPr>
            <w:rFonts w:ascii="Cambria Math" w:hAnsi="Cambria Math"/>
          </w:rPr>
          <m:t>4</m:t>
        </m:r>
      </m:oMath>
      <w:r>
        <w:t xml:space="preserve"> nearest neighbors, 200 permutation surrogates, </w:t>
      </w:r>
      <m:oMath>
        <m:r>
          <w:rPr>
            <w:rFonts w:ascii="Cambria Math" w:hAnsi="Cambria Math"/>
          </w:rPr>
          <m:t>α</m:t>
        </m:r>
        <m:r>
          <m:rPr>
            <m:sty m:val="p"/>
          </m:rPr>
          <w:rPr>
            <w:rFonts w:ascii="Cambria Math" w:hAnsi="Cambria Math"/>
          </w:rPr>
          <m:t>=</m:t>
        </m:r>
        <m:r>
          <w:rPr>
            <w:rFonts w:ascii="Cambria Math" w:hAnsi="Cambria Math"/>
          </w:rPr>
          <m:t>0.05</m:t>
        </m:r>
      </m:oMath>
      <w:r>
        <w:t>) and active information storage with the same backend; the aero-hydro-servo-elastic simulations use OpenFAST with the ROSCO reference controller and six independent TurbSim/HydroDyn seeds per wind–wave bin. All estimator and embedding hyperparameters are reported in Sections 2.3–2.5 without modification.</w:t>
      </w:r>
    </w:p>
    <w:p w14:paraId="15A264F0" w14:textId="77777777" w:rsidR="000A2783" w:rsidRDefault="00000000">
      <w:pPr>
        <w:pStyle w:val="Heading2"/>
      </w:pPr>
      <w:bookmarkStart w:id="26" w:name="author-contributions-credit"/>
      <w:bookmarkEnd w:id="25"/>
      <w:r>
        <w:t>Author Contributions (CRediT)</w:t>
      </w:r>
    </w:p>
    <w:p w14:paraId="1206F7EC" w14:textId="77777777" w:rsidR="000A2783" w:rsidRDefault="00000000">
      <w:pPr>
        <w:pStyle w:val="FirstParagraph"/>
      </w:pPr>
      <w:r>
        <w:t>[To be completed — e.g. Conceptualization, Methodology, Software, Formal analysis, Writing – original draft, etc.]</w:t>
      </w:r>
    </w:p>
    <w:p w14:paraId="3061DD12" w14:textId="77777777" w:rsidR="000A2783" w:rsidRDefault="00000000">
      <w:pPr>
        <w:pStyle w:val="Heading2"/>
      </w:pPr>
      <w:bookmarkStart w:id="27" w:name="conflict-of-interest"/>
      <w:bookmarkEnd w:id="26"/>
      <w:r>
        <w:lastRenderedPageBreak/>
        <w:t>Conflict of Interest</w:t>
      </w:r>
    </w:p>
    <w:p w14:paraId="356AC831" w14:textId="77777777" w:rsidR="000A2783" w:rsidRDefault="00000000">
      <w:pPr>
        <w:pStyle w:val="FirstParagraph"/>
      </w:pPr>
      <w:r>
        <w:t>The authors declare no competing interests. [Confirm.]</w:t>
      </w:r>
    </w:p>
    <w:p w14:paraId="5C8ED2AC" w14:textId="77777777" w:rsidR="000A2783" w:rsidRDefault="00000000">
      <w:pPr>
        <w:pStyle w:val="Heading2"/>
      </w:pPr>
      <w:bookmarkStart w:id="28" w:name="funding"/>
      <w:bookmarkEnd w:id="27"/>
      <w:r>
        <w:t>Funding</w:t>
      </w:r>
    </w:p>
    <w:p w14:paraId="6E34E646" w14:textId="77777777" w:rsidR="000A2783" w:rsidRDefault="00000000">
      <w:pPr>
        <w:pStyle w:val="FirstParagraph"/>
      </w:pPr>
      <w:r>
        <w:t>[To be completed.]</w:t>
      </w:r>
    </w:p>
    <w:p w14:paraId="7E730ACE" w14:textId="77777777" w:rsidR="000A2783" w:rsidRDefault="00000000">
      <w:pPr>
        <w:pStyle w:val="Heading2"/>
      </w:pPr>
      <w:bookmarkStart w:id="29" w:name="ethics-declaration"/>
      <w:bookmarkEnd w:id="28"/>
      <w:r>
        <w:t>Ethics Declaration</w:t>
      </w:r>
    </w:p>
    <w:p w14:paraId="1E7278F3" w14:textId="77777777" w:rsidR="000A2783" w:rsidRDefault="00000000">
      <w:pPr>
        <w:pStyle w:val="FirstParagraph"/>
      </w:pPr>
      <w:r>
        <w:t>Not applicable; the study uses simulation data only and involves no human or animal subjects.</w:t>
      </w:r>
    </w:p>
    <w:p w14:paraId="2896BC59" w14:textId="77777777" w:rsidR="000A2783" w:rsidRDefault="00000000">
      <w:pPr>
        <w:pStyle w:val="Heading2"/>
      </w:pPr>
      <w:bookmarkStart w:id="30" w:name="ai-usage-disclosure"/>
      <w:bookmarkEnd w:id="29"/>
      <w:r>
        <w:t>AI-Usage Disclosure</w:t>
      </w:r>
    </w:p>
    <w:p w14:paraId="39C47368" w14:textId="77777777" w:rsidR="000A2783" w:rsidRDefault="00000000">
      <w:pPr>
        <w:pStyle w:val="FirstParagraph"/>
      </w:pPr>
      <w:r>
        <w:t>Portions of this manuscript were drafted with AI assistance (Claude) under author direction; all quantitative results derive from the authors’ own simulations and analysis, and all claims and citations were verified by the authors. [Adjust to the target venue’s AI-disclosure policy before submission.]</w:t>
      </w:r>
    </w:p>
    <w:p w14:paraId="408C24CA" w14:textId="77777777" w:rsidR="000A2783" w:rsidRDefault="00000000">
      <w:r>
        <w:pict w14:anchorId="5D91C03A">
          <v:rect id="_x0000_i1031" style="width:0;height:1.5pt" o:hralign="center" o:hrstd="t" o:hr="t"/>
        </w:pict>
      </w:r>
    </w:p>
    <w:p w14:paraId="5B6C2236" w14:textId="77777777" w:rsidR="000A2783" w:rsidRDefault="00000000">
      <w:pPr>
        <w:pStyle w:val="Heading2"/>
      </w:pPr>
      <w:bookmarkStart w:id="31" w:name="references"/>
      <w:bookmarkEnd w:id="30"/>
      <w:r>
        <w:t>References</w:t>
      </w:r>
    </w:p>
    <w:p w14:paraId="5E6960BC" w14:textId="77777777" w:rsidR="000A2783" w:rsidRDefault="00000000">
      <w:pPr>
        <w:pStyle w:val="FirstParagraph"/>
      </w:pPr>
      <w:r>
        <w:t xml:space="preserve">Abbas, N. J., Zalkind, D. S., Pao, L., &amp; Wright, A. (2022). A reference open-source controller for fixed and floating offshore wind turbines. </w:t>
      </w:r>
      <w:r>
        <w:rPr>
          <w:i/>
          <w:iCs/>
        </w:rPr>
        <w:t>Wind Energy Science, 7</w:t>
      </w:r>
      <w:r>
        <w:t>(1), 53–73. https://doi.org/10.5194/wes-7-53-2022</w:t>
      </w:r>
    </w:p>
    <w:p w14:paraId="0BB0F473" w14:textId="77777777" w:rsidR="000A2783" w:rsidRDefault="00000000">
      <w:pPr>
        <w:pStyle w:val="BodyText"/>
      </w:pPr>
      <w:r>
        <w:t xml:space="preserve">Allen, C., Viselli, A., Dagher, H., Goupee, A., Gaertner, E., Abbas, N., Hall, M., &amp; Barter, G. (2020). </w:t>
      </w:r>
      <w:r>
        <w:rPr>
          <w:i/>
          <w:iCs/>
        </w:rPr>
        <w:t>Definition of the UMaine VolturnUS-S reference platform developed for the IEA Wind 15-megawatt offshore reference wind turbine</w:t>
      </w:r>
      <w:r>
        <w:t xml:space="preserve"> (NREL/TP-5000-76773). National Renewable Energy Laboratory.</w:t>
      </w:r>
    </w:p>
    <w:p w14:paraId="1E9EA5B0" w14:textId="77777777" w:rsidR="000A2783" w:rsidRDefault="00000000">
      <w:pPr>
        <w:pStyle w:val="BodyText"/>
      </w:pPr>
      <w:r>
        <w:t xml:space="preserve">Badihi, H., Zhang, Y., Jiang, B., Pillay, P., &amp; Rakheja, S. (2022). A comprehensive review on signal-based and model-based condition monitoring of wind turbines: Fault diagnosis and lifetime prognosis. </w:t>
      </w:r>
      <w:r>
        <w:rPr>
          <w:i/>
          <w:iCs/>
        </w:rPr>
        <w:t>Proceedings of the IEEE, 110</w:t>
      </w:r>
      <w:r>
        <w:t>(6), 754–806. https://doi.org/10.1109/JPROC.2022.3171691</w:t>
      </w:r>
    </w:p>
    <w:p w14:paraId="47471679" w14:textId="77777777" w:rsidR="000A2783" w:rsidRDefault="00000000">
      <w:pPr>
        <w:pStyle w:val="BodyText"/>
      </w:pPr>
      <w:r>
        <w:t xml:space="preserve">Barnett, L., Barrett, A. B., &amp; Seth, A. K. (2009). Granger causality and transfer entropy are equivalent for Gaussian variables. </w:t>
      </w:r>
      <w:r>
        <w:rPr>
          <w:i/>
          <w:iCs/>
        </w:rPr>
        <w:t>Physical Review Letters, 103</w:t>
      </w:r>
      <w:r>
        <w:t>(23), 238701. https://doi.org/10.1103/PhysRevLett.103.238701</w:t>
      </w:r>
    </w:p>
    <w:p w14:paraId="0D35E904" w14:textId="77777777" w:rsidR="000A2783" w:rsidRDefault="00000000">
      <w:pPr>
        <w:pStyle w:val="BodyText"/>
      </w:pPr>
      <w:r>
        <w:t xml:space="preserve">Bauer, M., Cox, J. W., Caveness, M. H., Downs, J. J., &amp; Thornhill, N. F. (2007). Finding the direction of disturbance propagation in a chemical process using transfer entropy. </w:t>
      </w:r>
      <w:r>
        <w:rPr>
          <w:i/>
          <w:iCs/>
        </w:rPr>
        <w:t>IEEE Transactions on Control Systems Technology, 15</w:t>
      </w:r>
      <w:r>
        <w:t>(1), 12–21. https://doi.org/10.1109/TCST.2006.883234</w:t>
      </w:r>
    </w:p>
    <w:p w14:paraId="6838F5C0" w14:textId="77777777" w:rsidR="000A2783" w:rsidRDefault="00000000">
      <w:pPr>
        <w:pStyle w:val="BodyText"/>
      </w:pPr>
      <w:r>
        <w:t xml:space="preserve">Bossanyi, E. A. (2000). The design of closed loop controllers for wind turbines. </w:t>
      </w:r>
      <w:r>
        <w:rPr>
          <w:i/>
          <w:iCs/>
        </w:rPr>
        <w:t>Wind Energy, 3</w:t>
      </w:r>
      <w:r>
        <w:t>(3), 149–163. https://doi.org/10.1002/we.34</w:t>
      </w:r>
    </w:p>
    <w:p w14:paraId="6C38A289" w14:textId="77777777" w:rsidR="000A2783" w:rsidRDefault="00000000">
      <w:pPr>
        <w:pStyle w:val="BodyText"/>
      </w:pPr>
      <w:r>
        <w:lastRenderedPageBreak/>
        <w:t xml:space="preserve">Carroll, J., McDonald, A., &amp; McMillan, D. (2016). Failure rate, repair time and unscheduled O&amp;M cost analysis of offshore wind turbines. </w:t>
      </w:r>
      <w:r>
        <w:rPr>
          <w:i/>
          <w:iCs/>
        </w:rPr>
        <w:t>Wind Energy, 19</w:t>
      </w:r>
      <w:r>
        <w:t>(6), 1107–1119. https://doi.org/10.1002/we.1887</w:t>
      </w:r>
    </w:p>
    <w:p w14:paraId="53C04F2A" w14:textId="77777777" w:rsidR="000A2783" w:rsidRDefault="00000000">
      <w:pPr>
        <w:pStyle w:val="BodyText"/>
      </w:pPr>
      <w:r>
        <w:t xml:space="preserve">Chen, B., Matthews, P. C., &amp; Tavner, P. J. (2015). Automated on-line fault prognosis for wind turbine pitch systems using supervisory control and data acquisition. </w:t>
      </w:r>
      <w:r>
        <w:rPr>
          <w:i/>
          <w:iCs/>
        </w:rPr>
        <w:t>IET Renewable Power Generation, 9</w:t>
      </w:r>
      <w:r>
        <w:t>(5), 503–513. https://doi.org/10.1049/iet-rpg.2014.0181</w:t>
      </w:r>
    </w:p>
    <w:p w14:paraId="13A9DF98" w14:textId="77777777" w:rsidR="000A2783" w:rsidRDefault="00000000">
      <w:pPr>
        <w:pStyle w:val="BodyText"/>
      </w:pPr>
      <w:r>
        <w:t xml:space="preserve">Chen, Z., Li, Q., Feng, S., &amp; Li, W. (2019). Application of transfer entropy algorithm in fault detection for power system with wind turbines. In </w:t>
      </w:r>
      <w:r>
        <w:rPr>
          <w:i/>
          <w:iCs/>
        </w:rPr>
        <w:t>2019 IEEE 8th International Conference on Advanced Power System Automation and Protection (APAP)</w:t>
      </w:r>
      <w:r>
        <w:t xml:space="preserve"> (pp. 1465–1470). IEEE. https://doi.org/10.1109/APAP47170.2019.9224680</w:t>
      </w:r>
    </w:p>
    <w:p w14:paraId="76F37BD1" w14:textId="77777777" w:rsidR="000A2783" w:rsidRDefault="00000000">
      <w:pPr>
        <w:pStyle w:val="BodyText"/>
      </w:pPr>
      <w:r>
        <w:t xml:space="preserve">Frenzel, S., &amp; Pompe, B. (2007). Partial mutual information for coupling analysis of multivariate time series. </w:t>
      </w:r>
      <w:r>
        <w:rPr>
          <w:i/>
          <w:iCs/>
        </w:rPr>
        <w:t>Physical Review Letters, 99</w:t>
      </w:r>
      <w:r>
        <w:t>(20), 204101. https://doi.org/10.1103/PhysRevLett.99.204101</w:t>
      </w:r>
    </w:p>
    <w:p w14:paraId="75E20A91" w14:textId="77777777" w:rsidR="000A2783" w:rsidRDefault="00000000">
      <w:pPr>
        <w:pStyle w:val="BodyText"/>
      </w:pPr>
      <w:r>
        <w:t xml:space="preserve">Gaertner, E., Rinker, J., Sethuraman, L., Zahle, F., Anderson, B., Barter, G., Abbas, N., Meng, F., Bortolotti, P., Skrzypinski, W., Scott, G., Feil, R., Bredmose, H., Dykes, K., Shields, M., Allen, C., &amp; Viselli, A. (2020). </w:t>
      </w:r>
      <w:r>
        <w:rPr>
          <w:i/>
          <w:iCs/>
        </w:rPr>
        <w:t>Definition of the IEA Wind 15-megawatt offshore reference wind turbine</w:t>
      </w:r>
      <w:r>
        <w:t xml:space="preserve"> (NREL/TP-5000-75698). National Renewable Energy Laboratory.</w:t>
      </w:r>
    </w:p>
    <w:p w14:paraId="7BBC5070" w14:textId="77777777" w:rsidR="000A2783" w:rsidRDefault="00000000">
      <w:pPr>
        <w:pStyle w:val="BodyText"/>
      </w:pPr>
      <w:r>
        <w:t xml:space="preserve">Granger, C. W. J. (1969). Investigating causal relations by econometric models and cross-spectral methods. </w:t>
      </w:r>
      <w:r>
        <w:rPr>
          <w:i/>
          <w:iCs/>
        </w:rPr>
        <w:t>Econometrica, 37</w:t>
      </w:r>
      <w:r>
        <w:t>(3), 424–438. https://doi.org/10.2307/1912791</w:t>
      </w:r>
    </w:p>
    <w:p w14:paraId="0266CAF5" w14:textId="77777777" w:rsidR="000A2783" w:rsidRDefault="00000000">
      <w:pPr>
        <w:pStyle w:val="BodyText"/>
      </w:pPr>
      <w:r>
        <w:t xml:space="preserve">Harris, T. J. (1989). Assessment of control loop performance. </w:t>
      </w:r>
      <w:r>
        <w:rPr>
          <w:i/>
          <w:iCs/>
        </w:rPr>
        <w:t>The Canadian Journal of Chemical Engineering, 67</w:t>
      </w:r>
      <w:r>
        <w:t>(5), 856–861. https://doi.org/10.1002/cjce.5450670519</w:t>
      </w:r>
    </w:p>
    <w:p w14:paraId="3C84CCA1" w14:textId="77777777" w:rsidR="000A2783" w:rsidRDefault="00000000">
      <w:pPr>
        <w:pStyle w:val="BodyText"/>
      </w:pPr>
      <w:r>
        <w:t xml:space="preserve">Jelali, M. (2006). An overview of control performance assessment technology and industrial applications. </w:t>
      </w:r>
      <w:r>
        <w:rPr>
          <w:i/>
          <w:iCs/>
        </w:rPr>
        <w:t>Control Engineering Practice, 14</w:t>
      </w:r>
      <w:r>
        <w:t>(5), 441–466. https://doi.org/10.1016/j.conengprac.2005.11.005</w:t>
      </w:r>
    </w:p>
    <w:p w14:paraId="4DAB1C19" w14:textId="77777777" w:rsidR="000A2783" w:rsidRDefault="00000000">
      <w:pPr>
        <w:pStyle w:val="BodyText"/>
      </w:pPr>
      <w:r>
        <w:t xml:space="preserve">Khan, S., Bandyopadhyay, S., Ganguly, A. R., Saigal, S., Erickson, D. J., III, Protopopescu, V., &amp; Ostrouchov, G. (2007). Relative performance of mutual information estimation methods for quantifying the dependence among short and noisy data. </w:t>
      </w:r>
      <w:r>
        <w:rPr>
          <w:i/>
          <w:iCs/>
        </w:rPr>
        <w:t>Physical Review E, 76</w:t>
      </w:r>
      <w:r>
        <w:t>(2), 026209. https://doi.org/10.1103/PhysRevE.76.026209</w:t>
      </w:r>
    </w:p>
    <w:p w14:paraId="3861D33C" w14:textId="77777777" w:rsidR="000A2783" w:rsidRDefault="00000000">
      <w:pPr>
        <w:pStyle w:val="BodyText"/>
      </w:pPr>
      <w:r>
        <w:t xml:space="preserve">Kostecka, E., Miller, T., Durlik, I., &amp; Nerć, A. (2025). Artificial intelligence in floating offshore wind turbines: A critical review of applications in design, monitoring, control, and digital twins. </w:t>
      </w:r>
      <w:r>
        <w:rPr>
          <w:i/>
          <w:iCs/>
        </w:rPr>
        <w:t>Energies, 18</w:t>
      </w:r>
      <w:r>
        <w:t>(22), Article 5937. https://doi.org/10.3390/en18225937</w:t>
      </w:r>
    </w:p>
    <w:p w14:paraId="1BF16AB5" w14:textId="77777777" w:rsidR="000A2783" w:rsidRDefault="00000000">
      <w:pPr>
        <w:pStyle w:val="BodyText"/>
      </w:pPr>
      <w:r>
        <w:t xml:space="preserve">Kozachenko, L. F., &amp; Leonenko, N. N. (1987). Sample estimate of the entropy of a random vector. </w:t>
      </w:r>
      <w:r>
        <w:rPr>
          <w:i/>
          <w:iCs/>
        </w:rPr>
        <w:t>Problems of Information Transmission, 23</w:t>
      </w:r>
      <w:r>
        <w:t>(2), 95–101.</w:t>
      </w:r>
    </w:p>
    <w:p w14:paraId="1797674A" w14:textId="77777777" w:rsidR="000A2783" w:rsidRDefault="00000000">
      <w:pPr>
        <w:pStyle w:val="BodyText"/>
      </w:pPr>
      <w:r>
        <w:t xml:space="preserve">Kraskov, A., Stögbauer, H., &amp; Grassberger, P. (2004). Estimating mutual information. </w:t>
      </w:r>
      <w:r>
        <w:rPr>
          <w:i/>
          <w:iCs/>
        </w:rPr>
        <w:t>Physical Review E, 69</w:t>
      </w:r>
      <w:r>
        <w:t>(6), 066138. https://doi.org/10.1103/PhysRevE.69.066138</w:t>
      </w:r>
    </w:p>
    <w:p w14:paraId="26624AF1" w14:textId="77777777" w:rsidR="000A2783" w:rsidRDefault="00000000">
      <w:pPr>
        <w:pStyle w:val="BodyText"/>
      </w:pPr>
      <w:r>
        <w:t xml:space="preserve">Larsen, T. J., &amp; Hanson, T. D. (2007). A method to avoid negative damped low frequent tower vibrations for a floating, pitch controlled wind turbine. </w:t>
      </w:r>
      <w:r>
        <w:rPr>
          <w:i/>
          <w:iCs/>
        </w:rPr>
        <w:t>Journal of Physics: Conference Series, 75</w:t>
      </w:r>
      <w:r>
        <w:t>, 012073. https://doi.org/10.1088/1742-6596/75/1/012073</w:t>
      </w:r>
    </w:p>
    <w:p w14:paraId="23E1B6DA" w14:textId="77777777" w:rsidR="000A2783" w:rsidRDefault="00000000">
      <w:pPr>
        <w:pStyle w:val="BodyText"/>
      </w:pPr>
      <w:r>
        <w:lastRenderedPageBreak/>
        <w:t xml:space="preserve">Lizier, J. T. (2014). JIDT: An information-theoretic toolkit for studying the dynamics of complex systems. </w:t>
      </w:r>
      <w:r>
        <w:rPr>
          <w:i/>
          <w:iCs/>
        </w:rPr>
        <w:t>Frontiers in Robotics and AI, 1</w:t>
      </w:r>
      <w:r>
        <w:t>, 11. https://doi.org/10.3389/frobt.2014.00011</w:t>
      </w:r>
    </w:p>
    <w:p w14:paraId="25307E9F" w14:textId="77777777" w:rsidR="000A2783" w:rsidRDefault="00000000">
      <w:pPr>
        <w:pStyle w:val="BodyText"/>
      </w:pPr>
      <w:r>
        <w:t xml:space="preserve">Martínez-Sánchez, Á., Arranz, G., &amp; Lozano-Durán, A. (2024). Decomposing causality into its synergistic, unique, and redundant components. </w:t>
      </w:r>
      <w:r>
        <w:rPr>
          <w:i/>
          <w:iCs/>
        </w:rPr>
        <w:t>Nature Communications, 15</w:t>
      </w:r>
      <w:r>
        <w:t>, 9296. https://doi.org/10.1038/s41467-024-53373-4</w:t>
      </w:r>
    </w:p>
    <w:p w14:paraId="507660CB" w14:textId="77777777" w:rsidR="000A2783" w:rsidRDefault="00000000">
      <w:pPr>
        <w:pStyle w:val="BodyText"/>
      </w:pPr>
      <w:r>
        <w:t xml:space="preserve">Namik, H., &amp; Stol, K. (2010). Individual blade pitch control of floating offshore wind turbines. </w:t>
      </w:r>
      <w:r>
        <w:rPr>
          <w:i/>
          <w:iCs/>
        </w:rPr>
        <w:t>Wind Energy, 13</w:t>
      </w:r>
      <w:r>
        <w:t>(1), 74–85. https://doi.org/10.1002/we.332</w:t>
      </w:r>
    </w:p>
    <w:p w14:paraId="686C2D13" w14:textId="77777777" w:rsidR="000A2783" w:rsidRDefault="00000000">
      <w:pPr>
        <w:pStyle w:val="BodyText"/>
      </w:pPr>
      <w:r>
        <w:t xml:space="preserve">Nichols, J. M. (2006). Examining structural dynamics using information flow. </w:t>
      </w:r>
      <w:r>
        <w:rPr>
          <w:i/>
          <w:iCs/>
        </w:rPr>
        <w:t>Probabilistic Engineering Mechanics, 21</w:t>
      </w:r>
      <w:r>
        <w:t>(4), 420–433. https://doi.org/10.1016/j.probengmech.2006.02.003</w:t>
      </w:r>
    </w:p>
    <w:p w14:paraId="190A303C" w14:textId="77777777" w:rsidR="000A2783" w:rsidRDefault="00000000">
      <w:pPr>
        <w:pStyle w:val="BodyText"/>
      </w:pPr>
      <w:r>
        <w:t xml:space="preserve">Nichols, J. M., Seaver, M., Trickey, S. T., Todd, M. D., Olson, C., &amp; Overbey, L. (2005). Detecting nonlinearity in structural systems using the transfer entropy. </w:t>
      </w:r>
      <w:r>
        <w:rPr>
          <w:i/>
          <w:iCs/>
        </w:rPr>
        <w:t>Physical Review E, 72</w:t>
      </w:r>
      <w:r>
        <w:t>(4), 046217. https://doi.org/10.1103/PhysRevE.72.046217</w:t>
      </w:r>
    </w:p>
    <w:p w14:paraId="36E92AB7" w14:textId="77777777" w:rsidR="000A2783" w:rsidRDefault="00000000">
      <w:pPr>
        <w:pStyle w:val="BodyText"/>
      </w:pPr>
      <w:r>
        <w:t xml:space="preserve">NREL. (n.d.). </w:t>
      </w:r>
      <w:r>
        <w:rPr>
          <w:i/>
          <w:iCs/>
        </w:rPr>
        <w:t>OpenFAST documentation.</w:t>
      </w:r>
      <w:r>
        <w:t xml:space="preserve"> National Renewable Energy Laboratory. https://github.com/OpenFAST/openfast</w:t>
      </w:r>
    </w:p>
    <w:p w14:paraId="2A187BCF" w14:textId="77777777" w:rsidR="000A2783" w:rsidRDefault="00000000">
      <w:pPr>
        <w:pStyle w:val="BodyText"/>
      </w:pPr>
      <w:r>
        <w:t xml:space="preserve">Park, J., Lee, I., Kim, M., Jin, C., Mishra, I., Griffith, D. T., &amp; Rotea, M. A. (2025). Automatic mooring-line-failure detection using hull motion sensors and machine learning (ML) for 15MW floating offshore wind turbines. </w:t>
      </w:r>
      <w:r>
        <w:rPr>
          <w:i/>
          <w:iCs/>
        </w:rPr>
        <w:t>Applied Ocean Research, 165</w:t>
      </w:r>
      <w:r>
        <w:t>, Article 104844. https://doi.org/10.1016/j.apor.2025.104844</w:t>
      </w:r>
    </w:p>
    <w:p w14:paraId="08527910" w14:textId="77777777" w:rsidR="000A2783" w:rsidRDefault="00000000">
      <w:pPr>
        <w:pStyle w:val="BodyText"/>
      </w:pPr>
      <w:r>
        <w:t xml:space="preserve">Schreiber, T. (2000). Measuring information transfer. </w:t>
      </w:r>
      <w:r>
        <w:rPr>
          <w:i/>
          <w:iCs/>
        </w:rPr>
        <w:t>Physical Review Letters, 85</w:t>
      </w:r>
      <w:r>
        <w:t>(2), 461–464. https://doi.org/10.1103/PhysRevLett.85.461</w:t>
      </w:r>
    </w:p>
    <w:p w14:paraId="5EFB0B84" w14:textId="77777777" w:rsidR="000A2783" w:rsidRDefault="00000000">
      <w:pPr>
        <w:pStyle w:val="BodyText"/>
      </w:pPr>
      <w:r>
        <w:t xml:space="preserve">Sugihara, G., May, R., Ye, H., Hsieh, C.-H., Deyle, E., Fogarty, M., &amp; Munch, S. (2012). Detecting causality in complex ecosystems. </w:t>
      </w:r>
      <w:r>
        <w:rPr>
          <w:i/>
          <w:iCs/>
        </w:rPr>
        <w:t>Science, 338</w:t>
      </w:r>
      <w:r>
        <w:t>(6106), 496–500. https://doi.org/10.1126/science.1227079</w:t>
      </w:r>
    </w:p>
    <w:p w14:paraId="5FF5A357" w14:textId="77777777" w:rsidR="000A2783" w:rsidRDefault="00000000">
      <w:pPr>
        <w:pStyle w:val="BodyText"/>
      </w:pPr>
      <w:r>
        <w:t xml:space="preserve">Tautz-Weinert, J., &amp; Watson, S. J. (2017). Using SCADA data for wind turbine condition monitoring – A review. </w:t>
      </w:r>
      <w:r>
        <w:rPr>
          <w:i/>
          <w:iCs/>
        </w:rPr>
        <w:t>IET Renewable Power Generation, 11</w:t>
      </w:r>
      <w:r>
        <w:t>(4), 382–394. https://doi.org/10.1049/iet-rpg.2016.0248</w:t>
      </w:r>
    </w:p>
    <w:p w14:paraId="6D881905" w14:textId="77777777" w:rsidR="000A2783" w:rsidRDefault="00000000">
      <w:pPr>
        <w:pStyle w:val="BodyText"/>
      </w:pPr>
      <w:r>
        <w:t xml:space="preserve">Wollstadt, P., Lizier, J. T., Vicente, R., Finn, C., Martínez-Zarzuela, M., Mediano, P., Novelli, L., &amp; Wibral, M. (2019). IDTxl: The Information Dynamics Toolkit xl. </w:t>
      </w:r>
      <w:r>
        <w:rPr>
          <w:i/>
          <w:iCs/>
        </w:rPr>
        <w:t>Journal of Open Source Software, 4</w:t>
      </w:r>
      <w:r>
        <w:t>(34), 1081. https://doi.org/10.21105/joss.01081</w:t>
      </w:r>
      <w:bookmarkEnd w:id="31"/>
    </w:p>
    <w:sectPr w:rsidR="000A2783">
      <w:footnotePr>
        <w:numRestart w:val="eachSect"/>
      </w:footnotePr>
      <w:pgSz w:w="12240" w:h="15840"/>
      <w:pgMar w:top="170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FA54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FA4C7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46665779">
    <w:abstractNumId w:val="0"/>
  </w:num>
  <w:num w:numId="2" w16cid:durableId="1730765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A2783"/>
    <w:rsid w:val="00081FAA"/>
    <w:rsid w:val="000872AE"/>
    <w:rsid w:val="00092EB5"/>
    <w:rsid w:val="00096640"/>
    <w:rsid w:val="000A2783"/>
    <w:rsid w:val="00116C18"/>
    <w:rsid w:val="002769C0"/>
    <w:rsid w:val="002E4B86"/>
    <w:rsid w:val="003F2F30"/>
    <w:rsid w:val="003F4E38"/>
    <w:rsid w:val="00406757"/>
    <w:rsid w:val="006E3FC9"/>
    <w:rsid w:val="0071199E"/>
    <w:rsid w:val="0077427B"/>
    <w:rsid w:val="00833B9C"/>
    <w:rsid w:val="00883593"/>
    <w:rsid w:val="00A06FEC"/>
    <w:rsid w:val="00BA6EBF"/>
    <w:rsid w:val="00C41872"/>
    <w:rsid w:val="00D01C5A"/>
    <w:rsid w:val="00D42CE2"/>
    <w:rsid w:val="00D96723"/>
    <w:rsid w:val="00E44048"/>
    <w:rsid w:val="00ED3EDD"/>
    <w:rsid w:val="00F44868"/>
    <w:rsid w:val="00FD7F8F"/>
    <w:rsid w:val="00FF347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C31A5"/>
  <w15:docId w15:val="{B0F66DCA-899B-4DEE-B11F-14E6C0D0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0872A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460BE-EFA9-4B27-9C77-50D265FFD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Pages>
  <Words>14248</Words>
  <Characters>81217</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An information-flow firewall in floating offshore wind turbines: the controller as structural shield</vt:lpstr>
    </vt:vector>
  </TitlesOfParts>
  <Company/>
  <LinksUpToDate>false</LinksUpToDate>
  <CharactersWithSpaces>95275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reaches the blades but not the platform: a structural information firewall in floating offshore wind turbines revealed by directed transfer entropy</dc:title>
  <dc:creator>Sina Hadadi</dc:creator>
  <cp:keywords/>
  <cp:lastModifiedBy>kunsanuni3</cp:lastModifiedBy>
  <cp:revision>11</cp:revision>
  <dcterms:created xsi:type="dcterms:W3CDTF">2026-08-10T01:58:00Z</dcterms:created>
  <dcterms:modified xsi:type="dcterms:W3CDTF">2026-08-12T02:03:00Z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2026-07-14</vt:lpwstr>
  </property>
  <property fmtid="{D5CDD505-2E9C-101B-9397-08002B2CF9AE}" pid="3" name="fontsize">
    <vt:lpwstr>11pt</vt:lpwstr>
  </property>
  <property fmtid="{D5CDD505-2E9C-101B-9397-08002B2CF9AE}" pid="4" name="geometry">
    <vt:lpwstr>margin=1in</vt:lpwstr>
  </property>
  <property fmtid="{D5CDD505-2E9C-101B-9397-08002B2CF9AE}" pid="5" name="linkcolor">
    <vt:lpwstr>blue</vt:lpwstr>
  </property>
  <property fmtid="{D5CDD505-2E9C-101B-9397-08002B2CF9AE}" pid="6" name="GrammarlyDocumentId">
    <vt:lpwstr>f4c0a46b-d252-4dbd-a746-4a5edea4f27c</vt:lpwstr>
  </property>
</Properties>
</file>