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V12 Final Optimization Report</w:t>
        <w:br/>
      </w:r>
      <w:r>
        <w:rPr>
          <w:color w:val="374151"/>
          <w:sz w:val="26"/>
        </w:rPr>
        <w:t>Compact spiral DEP microfluidic design for live/dead cell sorting</w:t>
      </w:r>
    </w:p>
    <w:p>
      <w:r>
        <w:t>Prepared from the analytical-design repository. Date: 2026-05-26.</w:t>
      </w:r>
    </w:p>
    <w:p>
      <w:r>
        <w:t>This report consolidates the V9-V11 geometry studies and adds a V12 operating-window optimization. The selected geometry is a non-intersecting monotone-curvature spiral. The final claims remain numerical and reduced-order until electrode-resolved field simulation and experimental validation are completed.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Selected family: monotone_curvature_spiral.</w:t>
      </w:r>
    </w:p>
    <w:p>
      <w:pPr>
        <w:pStyle w:val="ListBullet"/>
      </w:pPr>
      <w:r>
        <w:t>Validated target correct: 0.940 +/- 0.013.</w:t>
      </w:r>
    </w:p>
    <w:p>
      <w:pPr>
        <w:pStyle w:val="ListBullet"/>
      </w:pPr>
      <w:r>
        <w:t>Topology gain versus same-length straight DEP: 0.131.</w:t>
      </w:r>
    </w:p>
    <w:p>
      <w:pPr>
        <w:pStyle w:val="ListBullet"/>
      </w:pPr>
      <w:r>
        <w:t>Length and footprint: 7.08 mm and 3.67 mm2.</w:t>
      </w:r>
    </w:p>
    <w:p>
      <w:pPr>
        <w:pStyle w:val="ListBullet"/>
      </w:pPr>
      <w:r>
        <w:t>Flow rate, voltage, electrode gap: 0.547 uL/min, 20.36 V, 72.9 um.</w:t>
      </w:r>
    </w:p>
    <w:p>
      <w:pPr>
        <w:pStyle w:val="ListBullet"/>
      </w:pPr>
      <w:r>
        <w:t>Thermal proxies: 2.86 mW active Joule power and 3.89 C substrate delta-T proxy.</w:t>
      </w:r>
    </w:p>
    <w:p>
      <w:pPr>
        <w:pStyle w:val="ListBullet"/>
      </w:pPr>
      <w:r>
        <w:t>Main limitation: DEP remains represented by an electrode-gap field-gain proxy; V12 is a design-screening package, not final CFD/FEM proof.</w:t>
      </w:r>
    </w:p>
    <w:p>
      <w:r>
        <w:br w:type="page"/>
      </w:r>
    </w:p>
    <w:p>
      <w:pPr>
        <w:pStyle w:val="Heading1"/>
      </w:pPr>
      <w:r>
        <w:t>Literature and Novelty Position</w:t>
      </w:r>
    </w:p>
    <w:p>
      <w:r>
        <w:t>The project combines three literature clusters: spiral microchannels for compact inertial handling of cells [R4, R8, R16], DEP live/dead or viability-selective separation [R5-R7, R9, R12], and spiral or circular DEP numerical device studies [R1-R3, R17]. The working novelty window is not a claim of experimental first demonstration; it is a numerical design study for a continuous spiral DEP live/dead sorting architecture with explicit recovery, purity, topology-control and thermal checks.</w:t>
      </w:r>
    </w:p>
    <w:p>
      <w:r>
        <w:t>This framing prevents a weak claim based only on longer channels. Throughout V10-V12, a same-length straight DEP control is used to test whether a curved/spiral topology contributes beyond residence time.</w:t>
      </w:r>
    </w:p>
    <w:p>
      <w:r>
        <w:br w:type="page"/>
      </w:r>
    </w:p>
    <w:p>
      <w:pPr>
        <w:pStyle w:val="Heading1"/>
      </w:pPr>
      <w:r>
        <w:t>Final Geometry</w:t>
      </w:r>
    </w:p>
    <w:p>
      <w:r>
        <w:t>The selected shape is a monotone-curvature spiral with a smooth low-curvature entry. The formula avoids arbitrary local wiggles and supports clean fabrication discussion.</w:t>
      </w:r>
    </w:p>
    <w:p>
      <w:r>
        <w:drawing>
          <wp:inline xmlns:a="http://schemas.openxmlformats.org/drawingml/2006/main" xmlns:pic="http://schemas.openxmlformats.org/drawingml/2006/picture">
            <wp:extent cx="5903999" cy="4632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inal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3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Final V12 baseline geometry. Color marks the smooth DEP activation window used in the reduced-order particle model.</w:t>
      </w:r>
    </w:p>
    <w:p>
      <w:r>
        <w:br w:type="page"/>
      </w:r>
    </w:p>
    <w:p>
      <w:pPr>
        <w:pStyle w:val="Heading1"/>
      </w:pPr>
      <w:r>
        <w:t>Geometry Candidate Controls</w:t>
      </w:r>
    </w:p>
    <w:p>
      <w:r>
        <w:t>Candidate geometries were not accepted by accuracy alone. Designs with high accuracy but equal same-length straight-control performance were rejected as weak topology evidence.</w:t>
      </w:r>
    </w:p>
    <w:p>
      <w:r>
        <w:drawing>
          <wp:inline xmlns:a="http://schemas.openxmlformats.org/drawingml/2006/main" xmlns:pic="http://schemas.openxmlformats.org/drawingml/2006/picture">
            <wp:extent cx="5903999" cy="3226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geometry_contr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2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V11 geometry candidates and same-length straight DEP controls.</w:t>
      </w:r>
    </w:p>
    <w:p>
      <w:r>
        <w:br w:type="page"/>
      </w:r>
    </w:p>
    <w:p>
      <w:pPr>
        <w:pStyle w:val="Heading1"/>
      </w:pPr>
      <w:r>
        <w:t>Design Evolution</w:t>
      </w:r>
    </w:p>
    <w:p>
      <w:r>
        <w:t>V9 introduced formula-defined spirals, V10 imposed short clean shape families, and V11 added non-intersection filtering. V12 selects the operating point around the V11 geometry.</w:t>
      </w:r>
    </w:p>
    <w:p>
      <w:r>
        <w:drawing>
          <wp:inline xmlns:a="http://schemas.openxmlformats.org/drawingml/2006/main" xmlns:pic="http://schemas.openxmlformats.org/drawingml/2006/picture">
            <wp:extent cx="5903999" cy="1915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esign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1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Evolution of correct classification, length, and topology gain across design versions.</w:t>
      </w:r>
    </w:p>
    <w:p>
      <w:r>
        <w:br w:type="page"/>
      </w:r>
    </w:p>
    <w:p>
      <w:pPr>
        <w:pStyle w:val="Heading1"/>
      </w:pPr>
      <w:r>
        <w:t>ML Shape Optimization</w:t>
      </w:r>
    </w:p>
    <w:p>
      <w:r>
        <w:t>The ML model is a surrogate ranker over formula parameters. It does not draw arbitrary curves. The optimized variables have physical meaning and are exported in JSON and CSV.</w:t>
      </w:r>
    </w:p>
    <w:p>
      <w:r>
        <w:drawing>
          <wp:inline xmlns:a="http://schemas.openxmlformats.org/drawingml/2006/main" xmlns:pic="http://schemas.openxmlformats.org/drawingml/2006/picture">
            <wp:extent cx="5903999" cy="3564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l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6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4. ExtraTrees feature importance for the V11 shape optimization screen.</w:t>
      </w:r>
    </w:p>
    <w:p>
      <w:r>
        <w:br w:type="page"/>
      </w:r>
    </w:p>
    <w:p>
      <w:pPr>
        <w:pStyle w:val="Heading1"/>
      </w:pPr>
      <w:r>
        <w:t>Operating Pareto Screen</w:t>
      </w:r>
    </w:p>
    <w:p>
      <w:r>
        <w:t>The V12 operating-window screen balances classification against Joule-heating proxy. Points above 0.90 target correct and below about 10 mW are preferred.</w:t>
      </w:r>
    </w:p>
    <w:p>
      <w:r>
        <w:drawing>
          <wp:inline xmlns:a="http://schemas.openxmlformats.org/drawingml/2006/main" xmlns:pic="http://schemas.openxmlformats.org/drawingml/2006/picture">
            <wp:extent cx="5903999" cy="3938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operating_pareto_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8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5. Target correct versus active Joule power proxy for the V12 operating sweep.</w:t>
      </w:r>
    </w:p>
    <w:p>
      <w:r>
        <w:br w:type="page"/>
      </w:r>
    </w:p>
    <w:p>
      <w:pPr>
        <w:pStyle w:val="Heading1"/>
      </w:pPr>
      <w:r>
        <w:t>Flowrate and Residence Time</w:t>
      </w:r>
    </w:p>
    <w:p>
      <w:r>
        <w:t>Flowrate cannot be maximized blindly. Higher flow improves throughput but can reduce residence time and separation. The selected point stays in a moderate-flow region.</w:t>
      </w:r>
    </w:p>
    <w:p>
      <w:r>
        <w:drawing>
          <wp:inline xmlns:a="http://schemas.openxmlformats.org/drawingml/2006/main" xmlns:pic="http://schemas.openxmlformats.org/drawingml/2006/picture">
            <wp:extent cx="5903999" cy="3999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lowrate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9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6. Flowrate, residence time, and target correct trade-off.</w:t>
      </w:r>
    </w:p>
    <w:p>
      <w:r>
        <w:br w:type="page"/>
      </w:r>
    </w:p>
    <w:p>
      <w:pPr>
        <w:pStyle w:val="Heading1"/>
      </w:pPr>
      <w:r>
        <w:t>Thermal Feasibility</w:t>
      </w:r>
    </w:p>
    <w:p>
      <w:r>
        <w:t>Thermal screening uses a Joule power proxy and a simple substrate heat-loss proxy. This is not a substitute for heat-transfer CFD, but it flags unsafe operating regions.</w:t>
      </w:r>
    </w:p>
    <w:p>
      <w:r>
        <w:drawing>
          <wp:inline xmlns:a="http://schemas.openxmlformats.org/drawingml/2006/main" xmlns:pic="http://schemas.openxmlformats.org/drawingml/2006/picture">
            <wp:extent cx="5903999" cy="3902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thermal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0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7. Voltage-gap operating map colored by steady substrate temperature-rise proxy.</w:t>
      </w:r>
    </w:p>
    <w:p>
      <w:r>
        <w:br w:type="page"/>
      </w:r>
    </w:p>
    <w:p>
      <w:pPr>
        <w:pStyle w:val="Heading1"/>
      </w:pPr>
      <w:r>
        <w:t>Hydraulic Envelope</w:t>
      </w:r>
    </w:p>
    <w:p>
      <w:r>
        <w:t>Pressure drop and flowrate were tracked to keep the proposal device-like rather than only numerically separable.</w:t>
      </w:r>
    </w:p>
    <w:p>
      <w:r>
        <w:drawing>
          <wp:inline xmlns:a="http://schemas.openxmlformats.org/drawingml/2006/main" xmlns:pic="http://schemas.openxmlformats.org/drawingml/2006/picture">
            <wp:extent cx="5903999" cy="37158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hydraulic_envelo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1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8. Pressure-drop proxy versus flowrate for the V12 operating sweep.</w:t>
      </w:r>
    </w:p>
    <w:p>
      <w:r>
        <w:br w:type="page"/>
      </w:r>
    </w:p>
    <w:p>
      <w:pPr>
        <w:pStyle w:val="Heading1"/>
      </w:pPr>
      <w:r>
        <w:t>Recovery, Removal, and Purity</w:t>
      </w:r>
    </w:p>
    <w:p>
      <w:r>
        <w:t>The final evaluation reports live recovery, dead removal, and outlet purity. Accuracy alone is intentionally not the only endpoint.</w:t>
      </w:r>
    </w:p>
    <w:p>
      <w:r>
        <w:drawing>
          <wp:inline xmlns:a="http://schemas.openxmlformats.org/drawingml/2006/main" xmlns:pic="http://schemas.openxmlformats.org/drawingml/2006/picture">
            <wp:extent cx="5903999" cy="32485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final_metr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4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9. Final validation metrics for the top V12 operating candidates.</w:t>
      </w:r>
    </w:p>
    <w:p>
      <w:r>
        <w:br w:type="page"/>
      </w:r>
    </w:p>
    <w:p>
      <w:pPr>
        <w:pStyle w:val="Heading1"/>
      </w:pPr>
      <w:r>
        <w:t>Mechanism Controls</w:t>
      </w:r>
    </w:p>
    <w:p>
      <w:r>
        <w:t>The same-length straight DEP, no-DEP, and unfocused-inlet controls are central to the academic argument. They test topology, field mechanism, and inlet-preparation dependence.</w:t>
      </w:r>
    </w:p>
    <w:p>
      <w:r>
        <w:drawing>
          <wp:inline xmlns:a="http://schemas.openxmlformats.org/drawingml/2006/main" xmlns:pic="http://schemas.openxmlformats.org/drawingml/2006/picture">
            <wp:extent cx="5903999" cy="32485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final_contr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4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10. Final validated candidates with mechanism controls.</w:t>
      </w:r>
    </w:p>
    <w:p>
      <w:r>
        <w:br w:type="page"/>
      </w:r>
    </w:p>
    <w:p>
      <w:pPr>
        <w:pStyle w:val="Heading1"/>
      </w:pPr>
      <w:r>
        <w:t>Selected Operating Point</w:t>
      </w:r>
    </w:p>
    <w:p>
      <w:r>
        <w:t>The chosen point is selected by multi-objective score, not by maximizing accuracy alone. It balances classification, power, thermal proxy, pressure and wall loss.</w:t>
      </w:r>
    </w:p>
    <w:p>
      <w:r>
        <w:drawing>
          <wp:inline xmlns:a="http://schemas.openxmlformats.org/drawingml/2006/main" xmlns:pic="http://schemas.openxmlformats.org/drawingml/2006/picture">
            <wp:extent cx="5903999" cy="3587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elected_operating_p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11. Key values for the selected V12 operating point.</w:t>
      </w:r>
    </w:p>
    <w:p>
      <w:r>
        <w:br w:type="page"/>
      </w:r>
    </w:p>
    <w:p>
      <w:pPr>
        <w:pStyle w:val="Heading1"/>
      </w:pPr>
      <w:r>
        <w:t>Computational Workflow</w:t>
      </w:r>
    </w:p>
    <w:p>
      <w:r>
        <w:t>The report structure follows the intended manuscript workflow: literature gap, formula design, ML ranking, held-out validation and mechanism controls.</w:t>
      </w:r>
    </w:p>
    <w:p>
      <w:r>
        <w:drawing>
          <wp:inline xmlns:a="http://schemas.openxmlformats.org/drawingml/2006/main" xmlns:pic="http://schemas.openxmlformats.org/drawingml/2006/picture">
            <wp:extent cx="5903999" cy="30493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49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12. V12 computational workflow.</w:t>
      </w:r>
    </w:p>
    <w:p>
      <w:r>
        <w:br w:type="page"/>
      </w:r>
    </w:p>
    <w:p>
      <w:pPr>
        <w:pStyle w:val="Heading1"/>
      </w:pPr>
      <w:r>
        <w:t>Final Candidate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Target correct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Topology gain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Flow (uL/min)</w:t>
            </w:r>
          </w:p>
        </w:tc>
        <w:tc>
          <w:tcPr>
            <w:tcW w:type="dxa" w:w="1457"/>
          </w:tcPr>
          <w:p>
            <w:r>
              <w:rPr>
                <w:b/>
              </w:rPr>
              <w:t>Power (mW)</w:t>
            </w:r>
          </w:p>
        </w:tc>
        <w:tc>
          <w:tcPr>
            <w:tcW w:type="dxa" w:w="1457"/>
          </w:tcPr>
          <w:p>
            <w:r>
              <w:rPr>
                <w:b/>
              </w:rPr>
              <w:t>Delta T proxy (C)</w:t>
            </w:r>
          </w:p>
        </w:tc>
        <w:tc>
          <w:tcPr>
            <w:tcW w:type="dxa" w:w="1457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0.940</w:t>
            </w:r>
          </w:p>
        </w:tc>
        <w:tc>
          <w:tcPr>
            <w:tcW w:type="dxa" w:w="1457"/>
          </w:tcPr>
          <w:p>
            <w:r>
              <w:t>0.131</w:t>
            </w:r>
          </w:p>
        </w:tc>
        <w:tc>
          <w:tcPr>
            <w:tcW w:type="dxa" w:w="1457"/>
          </w:tcPr>
          <w:p>
            <w:r>
              <w:t>0.547</w:t>
            </w:r>
          </w:p>
        </w:tc>
        <w:tc>
          <w:tcPr>
            <w:tcW w:type="dxa" w:w="1457"/>
          </w:tcPr>
          <w:p>
            <w:r>
              <w:t>2.86</w:t>
            </w:r>
          </w:p>
        </w:tc>
        <w:tc>
          <w:tcPr>
            <w:tcW w:type="dxa" w:w="1457"/>
          </w:tcPr>
          <w:p>
            <w:r>
              <w:t>3.89</w:t>
            </w:r>
          </w:p>
        </w:tc>
        <w:tc>
          <w:tcPr>
            <w:tcW w:type="dxa" w:w="1457"/>
          </w:tcPr>
          <w:p>
            <w:r>
              <w:t>True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0.927</w:t>
            </w:r>
          </w:p>
        </w:tc>
        <w:tc>
          <w:tcPr>
            <w:tcW w:type="dxa" w:w="1457"/>
          </w:tcPr>
          <w:p>
            <w:r>
              <w:t>0.122</w:t>
            </w:r>
          </w:p>
        </w:tc>
        <w:tc>
          <w:tcPr>
            <w:tcW w:type="dxa" w:w="1457"/>
          </w:tcPr>
          <w:p>
            <w:r>
              <w:t>0.360</w:t>
            </w:r>
          </w:p>
        </w:tc>
        <w:tc>
          <w:tcPr>
            <w:tcW w:type="dxa" w:w="1457"/>
          </w:tcPr>
          <w:p>
            <w:r>
              <w:t>3.17</w:t>
            </w:r>
          </w:p>
        </w:tc>
        <w:tc>
          <w:tcPr>
            <w:tcW w:type="dxa" w:w="1457"/>
          </w:tcPr>
          <w:p>
            <w:r>
              <w:t>4.31</w:t>
            </w:r>
          </w:p>
        </w:tc>
        <w:tc>
          <w:tcPr>
            <w:tcW w:type="dxa" w:w="1457"/>
          </w:tcPr>
          <w:p>
            <w:r>
              <w:t>True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1.000</w:t>
            </w:r>
          </w:p>
        </w:tc>
        <w:tc>
          <w:tcPr>
            <w:tcW w:type="dxa" w:w="1457"/>
          </w:tcPr>
          <w:p>
            <w:r>
              <w:t>0.003</w:t>
            </w:r>
          </w:p>
        </w:tc>
        <w:tc>
          <w:tcPr>
            <w:tcW w:type="dxa" w:w="1457"/>
          </w:tcPr>
          <w:p>
            <w:r>
              <w:t>0.220</w:t>
            </w:r>
          </w:p>
        </w:tc>
        <w:tc>
          <w:tcPr>
            <w:tcW w:type="dxa" w:w="1457"/>
          </w:tcPr>
          <w:p>
            <w:r>
              <w:t>2.84</w:t>
            </w:r>
          </w:p>
        </w:tc>
        <w:tc>
          <w:tcPr>
            <w:tcW w:type="dxa" w:w="1457"/>
          </w:tcPr>
          <w:p>
            <w:r>
              <w:t>3.86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0.988</w:t>
            </w:r>
          </w:p>
        </w:tc>
        <w:tc>
          <w:tcPr>
            <w:tcW w:type="dxa" w:w="1457"/>
          </w:tcPr>
          <w:p>
            <w:r>
              <w:t>0.001</w:t>
            </w:r>
          </w:p>
        </w:tc>
        <w:tc>
          <w:tcPr>
            <w:tcW w:type="dxa" w:w="1457"/>
          </w:tcPr>
          <w:p>
            <w:r>
              <w:t>0.260</w:t>
            </w:r>
          </w:p>
        </w:tc>
        <w:tc>
          <w:tcPr>
            <w:tcW w:type="dxa" w:w="1457"/>
          </w:tcPr>
          <w:p>
            <w:r>
              <w:t>3.19</w:t>
            </w:r>
          </w:p>
        </w:tc>
        <w:tc>
          <w:tcPr>
            <w:tcW w:type="dxa" w:w="1457"/>
          </w:tcPr>
          <w:p>
            <w:r>
              <w:t>4.35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0.990</w:t>
            </w:r>
          </w:p>
        </w:tc>
        <w:tc>
          <w:tcPr>
            <w:tcW w:type="dxa" w:w="1457"/>
          </w:tcPr>
          <w:p>
            <w:r>
              <w:t>0.044</w:t>
            </w:r>
          </w:p>
        </w:tc>
        <w:tc>
          <w:tcPr>
            <w:tcW w:type="dxa" w:w="1457"/>
          </w:tcPr>
          <w:p>
            <w:r>
              <w:t>0.231</w:t>
            </w:r>
          </w:p>
        </w:tc>
        <w:tc>
          <w:tcPr>
            <w:tcW w:type="dxa" w:w="1457"/>
          </w:tcPr>
          <w:p>
            <w:r>
              <w:t>3.37</w:t>
            </w:r>
          </w:p>
        </w:tc>
        <w:tc>
          <w:tcPr>
            <w:tcW w:type="dxa" w:w="1457"/>
          </w:tcPr>
          <w:p>
            <w:r>
              <w:t>4.58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0.977</w:t>
            </w:r>
          </w:p>
        </w:tc>
        <w:tc>
          <w:tcPr>
            <w:tcW w:type="dxa" w:w="1457"/>
          </w:tcPr>
          <w:p>
            <w:r>
              <w:t>0.012</w:t>
            </w:r>
          </w:p>
        </w:tc>
        <w:tc>
          <w:tcPr>
            <w:tcW w:type="dxa" w:w="1457"/>
          </w:tcPr>
          <w:p>
            <w:r>
              <w:t>0.498</w:t>
            </w:r>
          </w:p>
        </w:tc>
        <w:tc>
          <w:tcPr>
            <w:tcW w:type="dxa" w:w="1457"/>
          </w:tcPr>
          <w:p>
            <w:r>
              <w:t>3.71</w:t>
            </w:r>
          </w:p>
        </w:tc>
        <w:tc>
          <w:tcPr>
            <w:tcW w:type="dxa" w:w="1457"/>
          </w:tcPr>
          <w:p>
            <w:r>
              <w:t>5.06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1.000</w:t>
            </w:r>
          </w:p>
        </w:tc>
        <w:tc>
          <w:tcPr>
            <w:tcW w:type="dxa" w:w="1457"/>
          </w:tcPr>
          <w:p>
            <w:r>
              <w:t>0.003</w:t>
            </w:r>
          </w:p>
        </w:tc>
        <w:tc>
          <w:tcPr>
            <w:tcW w:type="dxa" w:w="1457"/>
          </w:tcPr>
          <w:p>
            <w:r>
              <w:t>0.231</w:t>
            </w:r>
          </w:p>
        </w:tc>
        <w:tc>
          <w:tcPr>
            <w:tcW w:type="dxa" w:w="1457"/>
          </w:tcPr>
          <w:p>
            <w:r>
              <w:t>4.58</w:t>
            </w:r>
          </w:p>
        </w:tc>
        <w:tc>
          <w:tcPr>
            <w:tcW w:type="dxa" w:w="1457"/>
          </w:tcPr>
          <w:p>
            <w:r>
              <w:t>6.24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1.000</w:t>
            </w:r>
          </w:p>
        </w:tc>
        <w:tc>
          <w:tcPr>
            <w:tcW w:type="dxa" w:w="1457"/>
          </w:tcPr>
          <w:p>
            <w:r>
              <w:t>0.007</w:t>
            </w:r>
          </w:p>
        </w:tc>
        <w:tc>
          <w:tcPr>
            <w:tcW w:type="dxa" w:w="1457"/>
          </w:tcPr>
          <w:p>
            <w:r>
              <w:t>0.485</w:t>
            </w:r>
          </w:p>
        </w:tc>
        <w:tc>
          <w:tcPr>
            <w:tcW w:type="dxa" w:w="1457"/>
          </w:tcPr>
          <w:p>
            <w:r>
              <w:t>5.09</w:t>
            </w:r>
          </w:p>
        </w:tc>
        <w:tc>
          <w:tcPr>
            <w:tcW w:type="dxa" w:w="1457"/>
          </w:tcPr>
          <w:p>
            <w:r>
              <w:t>6.93</w:t>
            </w:r>
          </w:p>
        </w:tc>
        <w:tc>
          <w:tcPr>
            <w:tcW w:type="dxa" w:w="1457"/>
          </w:tcPr>
          <w:p>
            <w:r>
              <w:t>False</w:t>
            </w:r>
          </w:p>
        </w:tc>
      </w:tr>
    </w:tbl>
    <w:p>
      <w:r>
        <w:t>Interpretation: the selected point is the highest-scoring candidate that preserves topology contribution and avoids high thermal-risk flags.</w:t>
      </w:r>
    </w:p>
    <w:p>
      <w:r>
        <w:br w:type="page"/>
      </w:r>
    </w:p>
    <w:p>
      <w:pPr>
        <w:pStyle w:val="Heading1"/>
      </w:pPr>
      <w:r>
        <w:t>Data Package and Reproducibility</w:t>
      </w:r>
    </w:p>
    <w:p>
      <w:r>
        <w:t>The V12 package is organized so that manuscript figures, supplementary tables and rerun scripts can be traced without manual reconstruction.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10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5100"/>
          </w:tcPr>
          <w:p>
            <w:r>
              <w:t>Operating sweep</w:t>
            </w:r>
          </w:p>
        </w:tc>
        <w:tc>
          <w:tcPr>
            <w:tcW w:type="dxa" w:w="5100"/>
          </w:tcPr>
          <w:p>
            <w:r>
              <w:t>results/design_v12_final_package/v12_operating_screen.csv</w:t>
            </w:r>
          </w:p>
        </w:tc>
      </w:tr>
      <w:tr>
        <w:tc>
          <w:tcPr>
            <w:tcW w:type="dxa" w:w="5100"/>
          </w:tcPr>
          <w:p>
            <w:r>
              <w:t>Held-out validation</w:t>
            </w:r>
          </w:p>
        </w:tc>
        <w:tc>
          <w:tcPr>
            <w:tcW w:type="dxa" w:w="5100"/>
          </w:tcPr>
          <w:p>
            <w:r>
              <w:t>results/design_v12_final_package/v12_final_validation_replicates.csv</w:t>
            </w:r>
          </w:p>
        </w:tc>
      </w:tr>
      <w:tr>
        <w:tc>
          <w:tcPr>
            <w:tcW w:type="dxa" w:w="5100"/>
          </w:tcPr>
          <w:p>
            <w:r>
              <w:t>Final summary</w:t>
            </w:r>
          </w:p>
        </w:tc>
        <w:tc>
          <w:tcPr>
            <w:tcW w:type="dxa" w:w="5100"/>
          </w:tcPr>
          <w:p>
            <w:r>
              <w:t>results/design_v12_final_package/v12_final_validation_summary.csv</w:t>
            </w:r>
          </w:p>
        </w:tc>
      </w:tr>
      <w:tr>
        <w:tc>
          <w:tcPr>
            <w:tcW w:type="dxa" w:w="5100"/>
          </w:tcPr>
          <w:p>
            <w:r>
              <w:t>Figures</w:t>
            </w:r>
          </w:p>
        </w:tc>
        <w:tc>
          <w:tcPr>
            <w:tcW w:type="dxa" w:w="5100"/>
          </w:tcPr>
          <w:p>
            <w:r>
              <w:t>results/design_v12_final_package/figures/</w:t>
            </w:r>
          </w:p>
        </w:tc>
      </w:tr>
      <w:tr>
        <w:tc>
          <w:tcPr>
            <w:tcW w:type="dxa" w:w="5100"/>
          </w:tcPr>
          <w:p>
            <w:r>
              <w:t>Report source script</w:t>
            </w:r>
          </w:p>
        </w:tc>
        <w:tc>
          <w:tcPr>
            <w:tcW w:type="dxa" w:w="5100"/>
          </w:tcPr>
          <w:p>
            <w:r>
              <w:t>scripts/design_v12_final_package.py</w:t>
            </w:r>
          </w:p>
        </w:tc>
      </w:tr>
      <w:tr>
        <w:tc>
          <w:tcPr>
            <w:tcW w:type="dxa" w:w="5100"/>
          </w:tcPr>
          <w:p>
            <w:r>
              <w:t>Baseline geometry</w:t>
            </w:r>
          </w:p>
        </w:tc>
        <w:tc>
          <w:tcPr>
            <w:tcW w:type="dxa" w:w="5100"/>
          </w:tcPr>
          <w:p>
            <w:r>
              <w:t>results/design_v11_shape_ml_nonintersection/rank1_monotone_curvature_spiral_formula.json</w:t>
            </w:r>
          </w:p>
        </w:tc>
      </w:tr>
    </w:tbl>
    <w:p>
      <w:r>
        <w:t>For a publication-grade next pass, the exact V12 geometry should be converted into a mesh/electrode definition and solved with an electrode-resolved field model. The current package is intentionally transparent about this remaining step.</w:t>
      </w:r>
    </w:p>
    <w:p>
      <w:r>
        <w:br w:type="page"/>
      </w:r>
    </w:p>
    <w:p>
      <w:pPr>
        <w:pStyle w:val="Heading1"/>
      </w:pPr>
      <w:r>
        <w:t>Model Validity and Limits</w:t>
      </w:r>
    </w:p>
    <w:p>
      <w:pPr>
        <w:pStyle w:val="ListBullet"/>
      </w:pPr>
      <w:r>
        <w:t>The current device result is a reduced-order numerical design screen.</w:t>
      </w:r>
    </w:p>
    <w:p>
      <w:pPr>
        <w:pStyle w:val="ListBullet"/>
      </w:pPr>
      <w:r>
        <w:t>OpenFOAM is used in the workflow for field/thermal case support, but the final V12 DEP forcing still uses a field-gain proxy rather than a full electrode-resolved 3D field.</w:t>
      </w:r>
    </w:p>
    <w:p>
      <w:pPr>
        <w:pStyle w:val="ListBullet"/>
      </w:pPr>
      <w:r>
        <w:t>The cell model includes population variability, Brownian diffusion, inlet distributions and wall-loss probability, but not cell deformation or cell-cell interaction.</w:t>
      </w:r>
    </w:p>
    <w:p>
      <w:pPr>
        <w:pStyle w:val="ListBullet"/>
      </w:pPr>
      <w:r>
        <w:t>Thermal output is a proxy intended for ranking. A heat-transfer solve is needed before claiming safe absolute temperature.</w:t>
      </w:r>
    </w:p>
    <w:p>
      <w:pPr>
        <w:pStyle w:val="ListBullet"/>
      </w:pPr>
      <w:r>
        <w:t>The strongest current claim is design plausibility and a prioritized geometry/operating point for higher-fidelity simulation.</w:t>
      </w:r>
    </w:p>
    <w:p>
      <w:r>
        <w:br w:type="page"/>
      </w:r>
    </w:p>
    <w:p>
      <w:pPr>
        <w:pStyle w:val="Heading1"/>
      </w:pPr>
      <w:r>
        <w:t>Manuscript-Ready Claims</w:t>
      </w:r>
    </w:p>
    <w:p>
      <w:r>
        <w:t>Claim 1: A monotone-curvature spiral provides a compact, non-intersecting geometry for DEP-based viable/nonviable sorting in the reduced-order model.</w:t>
      </w:r>
    </w:p>
    <w:p>
      <w:r>
        <w:t>Claim 2: The selected design performs better than a same-length straight DEP control, supporting a topology contribution rather than a pure residence-time explanation.</w:t>
      </w:r>
    </w:p>
    <w:p>
      <w:r>
        <w:t>Claim 3: Accuracy, recovery, purity, wall loss, flowrate, pressure drop and thermal proxies are all needed for a credible device-design argument.</w:t>
      </w:r>
    </w:p>
    <w:p>
      <w:r>
        <w:t>Claim 4: The next required validation is electrode-resolved field simulation and a more rigorous thermal solve for the V12 rank-1 geometry.</w:t>
      </w:r>
    </w:p>
    <w:p>
      <w:r>
        <w:br w:type="page"/>
      </w:r>
    </w:p>
    <w:p>
      <w:pPr>
        <w:pStyle w:val="Heading1"/>
      </w:pPr>
      <w:r>
        <w:t>References Used for Framing</w:t>
      </w:r>
    </w:p>
    <w:p>
      <w:pPr>
        <w:pStyle w:val="ListNumber"/>
      </w:pPr>
      <w:r>
        <w:t>R1. Betyar and Ramiar, numerical simulation of biological particle separation in a spiral microchannel using DEP, 2026.</w:t>
      </w:r>
    </w:p>
    <w:p>
      <w:pPr>
        <w:pStyle w:val="ListNumber"/>
      </w:pPr>
      <w:r>
        <w:t>R4. Kwon/Choi et al., continuous removal of small nonviable mammalian cells and debris using spiral inertial microfluidics, Lab on a Chip, 2018.</w:t>
      </w:r>
    </w:p>
    <w:p>
      <w:pPr>
        <w:pStyle w:val="ListNumber"/>
      </w:pPr>
      <w:r>
        <w:t>R5. Elitas et al., DEP separation of live and dead monocytes using 3D carbon electrodes, Sensors, 2017.</w:t>
      </w:r>
    </w:p>
    <w:p>
      <w:pPr>
        <w:pStyle w:val="ListNumber"/>
      </w:pPr>
      <w:r>
        <w:t>R9. Huang et al., ODEP live/dead separation platform, 2025.</w:t>
      </w:r>
    </w:p>
    <w:p>
      <w:pPr>
        <w:pStyle w:val="ListNumber"/>
      </w:pPr>
      <w:r>
        <w:t>R10. Nguyen et al., facing-electrode DEP cell separation numerical design, Scientific Reports, 2024.</w:t>
      </w:r>
    </w:p>
    <w:p>
      <w:pPr>
        <w:pStyle w:val="ListNumber"/>
      </w:pPr>
      <w:r>
        <w:t>R11. Tian et al., on-chip DEP single-cell manipulation review, 2024.</w:t>
      </w:r>
    </w:p>
    <w:p>
      <w:pPr>
        <w:pStyle w:val="ListNumber"/>
      </w:pPr>
      <w:r>
        <w:t>R15. DEP and AC electrothermal-flow numerical simulation, Micromachines, 2024.</w:t>
      </w:r>
    </w:p>
    <w:p>
      <w:pPr>
        <w:pStyle w:val="ListNumber"/>
      </w:pPr>
      <w:r>
        <w:t>R16. Spiral inertial cell sorting review, Micromachines, 2024.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