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Bar-Levav  Part B2  MARGINS</w:t>
      </w:r>
    </w:p>
    <w:p>
      <w:pPr>
        <w:jc w:val="center"/>
      </w:pPr>
      <w:r>
        <w:rPr>
          <w:b/>
          <w:sz w:val="24"/>
        </w:rPr>
        <w:t>ERC Advanced Grant 2026 — Part II of the Scientific Proposal</w:t>
      </w:r>
    </w:p>
    <w:p>
      <w:pPr>
        <w:jc w:val="center"/>
      </w:pPr>
      <w:r>
        <w:rPr>
          <w:b/>
          <w:i w:val="0"/>
        </w:rPr>
        <w:t>Inside the Hebrew Book: Perspectives from the Margins — MARGINS</w:t>
      </w:r>
    </w:p>
    <w:p>
      <w:pPr>
        <w:pStyle w:val="Heading1"/>
      </w:pPr>
      <w:r>
        <w:t>1. Methodological Framework</w:t>
      </w:r>
    </w:p>
    <w:p>
      <w:r>
        <w:rPr>
          <w:b w:val="0"/>
          <w:i w:val="0"/>
        </w:rPr>
        <w:t>MARGINS studies two aspects which together comprise the early modern Hebrew book: the visual and the textual. Fonts and graphic elements are visual; paratexts and broadsides are mostly textual. The systematic analysis of each separately, and especially their integrated analysis, constitutes a breakthrough in the study of Jewish print culture. For the visual aspects the appropriate methodology is computer-vision-based pattern recognition and categorization; the textual aspects call for HTR, NLP-based knowledge extraction, and entity linking. Across all tracks, the leading principle is close, coordinated collaboration between human expertise and machine learning: every automatic classification is reviewed by domain experts, and every scholarly hypothesis is tested against the data.</w:t>
      </w:r>
    </w:p>
    <w:p>
      <w:r>
        <w:rPr>
          <w:b w:val="0"/>
          <w:i w:val="0"/>
        </w:rPr>
        <w:t>Three principles govern every subsection below. (i) Human–machine iteration: experts and tools refine each other across successive cycles. (ii) Dynamic ontology: vocabularies are advanced as falsifiable hypotheses rather than fixed schemas; categories formed in non-Jewish domains or without quantitative evidence are expected to be revised under data pressure. (iii) Chronologically incremental sampling: the work begins with the first 100 years of Hebrew print and expands in 50-year segments, so that methods are stress-tested on the most evidentially dense periods before scaling. The comparative state of the art, the research questions, and the wider scholarly positioning are set out in Part B1; they are not duplicated here.</w:t>
      </w:r>
    </w:p>
    <w:p>
      <w:pPr>
        <w:pStyle w:val="Heading1"/>
      </w:pPr>
      <w:r>
        <w:t>2. Methodology</w:t>
      </w:r>
    </w:p>
    <w:p>
      <w:pPr>
        <w:pStyle w:val="Heading2"/>
      </w:pPr>
      <w:r>
        <w:t>2.1 Corpus and Sampling Strategy</w:t>
      </w:r>
    </w:p>
    <w:p>
      <w:r>
        <w:rPr>
          <w:b w:val="0"/>
          <w:i w:val="0"/>
        </w:rPr>
        <w:t>The corpus consists of all books and broadsides printed in Hebrew letters from the beginning of Hebrew printing in the 15th century until the end of the 18th — approximately 60,000 books and an estimated 5,000 broadsides. About 7,000 books are available in high-quality scans through the National Library of Israel (NLI), European libraries, and U.S. collections. Original copies at the NLI and partner libraries — the British Library, the Bodleian, Cambridge UL, the BnF, JTS, Houghton, Beinecke, Library of Congress, Columbia, NYPL, and the HUC libraries — will be used for close reading, especially for analyzing fonts. Distant reading will be performed on the digital text corpus using the tools described below. Most broadsides are not catalogued or registered; a major scholarly contribution of the project will be their first systematic inventory.</w:t>
      </w:r>
    </w:p>
    <w:p>
      <w:r>
        <w:rPr>
          <w:b w:val="0"/>
          <w:i w:val="0"/>
        </w:rPr>
        <w:t>Sampling is chronological and incremental. Within each period, items are selected by provenance, format, language, and accessibility, in order to balance representativeness with the iterative-modelling principle (§2.4). The phased sample sizes are summarised in Table 1.</w:t>
      </w:r>
    </w:p>
    <w:tbl>
      <w:tblPr>
        <w:tblStyle w:val="LightGrid-Accent1"/>
        <w:tblW w:type="auto" w:w="0"/>
        <w:tblLayout w:type="autofit"/>
        <w:tblLook w:firstColumn="1" w:firstRow="1" w:lastColumn="0" w:lastRow="0" w:noHBand="0" w:noVBand="1" w:val="04A0"/>
      </w:tblPr>
      <w:tblGrid>
        <w:gridCol w:w="2493"/>
        <w:gridCol w:w="2493"/>
        <w:gridCol w:w="2493"/>
        <w:gridCol w:w="2493"/>
      </w:tblGrid>
      <w:tr>
        <w:tc>
          <w:tcPr>
            <w:tcW w:type="dxa" w:w="1984"/>
            <w:shd w:val="clear" w:color="auto" w:fill="D9E2F3"/>
          </w:tcPr>
          <w:p>
            <w:r/>
            <w:r>
              <w:rPr>
                <w:b/>
                <w:sz w:val="20"/>
              </w:rPr>
              <w:t>Period</w:t>
            </w:r>
          </w:p>
        </w:tc>
        <w:tc>
          <w:tcPr>
            <w:tcW w:type="dxa" w:w="1247"/>
            <w:shd w:val="clear" w:color="auto" w:fill="D9E2F3"/>
          </w:tcPr>
          <w:p>
            <w:r/>
            <w:r>
              <w:rPr>
                <w:b/>
                <w:sz w:val="20"/>
              </w:rPr>
              <w:t>Est. titles</w:t>
            </w:r>
          </w:p>
        </w:tc>
        <w:tc>
          <w:tcPr>
            <w:tcW w:type="dxa" w:w="1701"/>
            <w:shd w:val="clear" w:color="auto" w:fill="D9E2F3"/>
          </w:tcPr>
          <w:p>
            <w:r/>
            <w:r>
              <w:rPr>
                <w:b/>
                <w:sz w:val="20"/>
              </w:rPr>
              <w:t>High-quality scans</w:t>
            </w:r>
          </w:p>
        </w:tc>
        <w:tc>
          <w:tcPr>
            <w:tcW w:type="dxa" w:w="4252"/>
            <w:shd w:val="clear" w:color="auto" w:fill="D9E2F3"/>
          </w:tcPr>
          <w:p>
            <w:r/>
            <w:r>
              <w:rPr>
                <w:b/>
                <w:sz w:val="20"/>
              </w:rPr>
              <w:t>Planned sample (full / partial)</w:t>
            </w:r>
          </w:p>
        </w:tc>
      </w:tr>
      <w:tr>
        <w:tc>
          <w:tcPr>
            <w:tcW w:type="dxa" w:w="1984"/>
          </w:tcPr>
          <w:p>
            <w:r/>
            <w:r>
              <w:rPr>
                <w:sz w:val="20"/>
              </w:rPr>
              <w:t>Incunabula (to 1500)</w:t>
            </w:r>
          </w:p>
        </w:tc>
        <w:tc>
          <w:tcPr>
            <w:tcW w:type="dxa" w:w="1247"/>
          </w:tcPr>
          <w:p>
            <w:r/>
            <w:r>
              <w:rPr>
                <w:sz w:val="20"/>
              </w:rPr>
              <w:t>≈150</w:t>
            </w:r>
          </w:p>
        </w:tc>
        <w:tc>
          <w:tcPr>
            <w:tcW w:type="dxa" w:w="1701"/>
          </w:tcPr>
          <w:p>
            <w:r/>
            <w:r>
              <w:rPr>
                <w:sz w:val="20"/>
              </w:rPr>
              <w:t>≈120</w:t>
            </w:r>
          </w:p>
        </w:tc>
        <w:tc>
          <w:tcPr>
            <w:tcW w:type="dxa" w:w="4252"/>
          </w:tcPr>
          <w:p>
            <w:r/>
            <w:r>
              <w:rPr>
                <w:sz w:val="20"/>
              </w:rPr>
              <w:t>full coverage (≈150)</w:t>
            </w:r>
          </w:p>
        </w:tc>
      </w:tr>
      <w:tr>
        <w:tc>
          <w:tcPr>
            <w:tcW w:type="dxa" w:w="1984"/>
          </w:tcPr>
          <w:p>
            <w:r/>
            <w:r>
              <w:rPr>
                <w:sz w:val="20"/>
              </w:rPr>
              <w:t>16th c.</w:t>
            </w:r>
          </w:p>
        </w:tc>
        <w:tc>
          <w:tcPr>
            <w:tcW w:type="dxa" w:w="1247"/>
          </w:tcPr>
          <w:p>
            <w:r/>
            <w:r>
              <w:rPr>
                <w:sz w:val="20"/>
              </w:rPr>
              <w:t>≈10,000</w:t>
            </w:r>
          </w:p>
        </w:tc>
        <w:tc>
          <w:tcPr>
            <w:tcW w:type="dxa" w:w="1701"/>
          </w:tcPr>
          <w:p>
            <w:r/>
            <w:r>
              <w:rPr>
                <w:sz w:val="20"/>
              </w:rPr>
              <w:t>≈1,500</w:t>
            </w:r>
          </w:p>
        </w:tc>
        <w:tc>
          <w:tcPr>
            <w:tcW w:type="dxa" w:w="4252"/>
          </w:tcPr>
          <w:p>
            <w:r/>
            <w:r>
              <w:rPr>
                <w:sz w:val="20"/>
              </w:rPr>
              <w:t>full first 100 yrs; 50-yr samples thereafter (≈2,000)</w:t>
            </w:r>
          </w:p>
        </w:tc>
      </w:tr>
      <w:tr>
        <w:tc>
          <w:tcPr>
            <w:tcW w:type="dxa" w:w="1984"/>
          </w:tcPr>
          <w:p>
            <w:r/>
            <w:r>
              <w:rPr>
                <w:sz w:val="20"/>
              </w:rPr>
              <w:t>17th c.</w:t>
            </w:r>
          </w:p>
        </w:tc>
        <w:tc>
          <w:tcPr>
            <w:tcW w:type="dxa" w:w="1247"/>
          </w:tcPr>
          <w:p>
            <w:r/>
            <w:r>
              <w:rPr>
                <w:sz w:val="20"/>
              </w:rPr>
              <w:t>≈20,000</w:t>
            </w:r>
          </w:p>
        </w:tc>
        <w:tc>
          <w:tcPr>
            <w:tcW w:type="dxa" w:w="1701"/>
          </w:tcPr>
          <w:p>
            <w:r/>
            <w:r>
              <w:rPr>
                <w:sz w:val="20"/>
              </w:rPr>
              <w:t>≈2,500</w:t>
            </w:r>
          </w:p>
        </w:tc>
        <w:tc>
          <w:tcPr>
            <w:tcW w:type="dxa" w:w="4252"/>
          </w:tcPr>
          <w:p>
            <w:r/>
            <w:r>
              <w:rPr>
                <w:sz w:val="20"/>
              </w:rPr>
              <w:t>50-yr segments (≈1,500)</w:t>
            </w:r>
          </w:p>
        </w:tc>
      </w:tr>
      <w:tr>
        <w:tc>
          <w:tcPr>
            <w:tcW w:type="dxa" w:w="1984"/>
          </w:tcPr>
          <w:p>
            <w:r/>
            <w:r>
              <w:rPr>
                <w:sz w:val="20"/>
              </w:rPr>
              <w:t>18th c.</w:t>
            </w:r>
          </w:p>
        </w:tc>
        <w:tc>
          <w:tcPr>
            <w:tcW w:type="dxa" w:w="1247"/>
          </w:tcPr>
          <w:p>
            <w:r/>
            <w:r>
              <w:rPr>
                <w:sz w:val="20"/>
              </w:rPr>
              <w:t>≈30,000</w:t>
            </w:r>
          </w:p>
        </w:tc>
        <w:tc>
          <w:tcPr>
            <w:tcW w:type="dxa" w:w="1701"/>
          </w:tcPr>
          <w:p>
            <w:r/>
            <w:r>
              <w:rPr>
                <w:sz w:val="20"/>
              </w:rPr>
              <w:t>≈2,900</w:t>
            </w:r>
          </w:p>
        </w:tc>
        <w:tc>
          <w:tcPr>
            <w:tcW w:type="dxa" w:w="4252"/>
          </w:tcPr>
          <w:p>
            <w:r/>
            <w:r>
              <w:rPr>
                <w:sz w:val="20"/>
              </w:rPr>
              <w:t>50-yr segments (≈1,500)</w:t>
            </w:r>
          </w:p>
        </w:tc>
      </w:tr>
      <w:tr>
        <w:tc>
          <w:tcPr>
            <w:tcW w:type="dxa" w:w="1984"/>
          </w:tcPr>
          <w:p>
            <w:r/>
            <w:r>
              <w:rPr>
                <w:sz w:val="20"/>
              </w:rPr>
              <w:t>Broadsides (15th–18th)</w:t>
            </w:r>
          </w:p>
        </w:tc>
        <w:tc>
          <w:tcPr>
            <w:tcW w:type="dxa" w:w="1247"/>
          </w:tcPr>
          <w:p>
            <w:r/>
            <w:r>
              <w:rPr>
                <w:sz w:val="20"/>
              </w:rPr>
              <w:t>≈5,000</w:t>
            </w:r>
          </w:p>
        </w:tc>
        <w:tc>
          <w:tcPr>
            <w:tcW w:type="dxa" w:w="1701"/>
          </w:tcPr>
          <w:p>
            <w:r/>
            <w:r>
              <w:rPr>
                <w:sz w:val="20"/>
              </w:rPr>
              <w:t>unknown</w:t>
            </w:r>
          </w:p>
        </w:tc>
        <w:tc>
          <w:tcPr>
            <w:tcW w:type="dxa" w:w="4252"/>
          </w:tcPr>
          <w:p>
            <w:r/>
            <w:r>
              <w:rPr>
                <w:sz w:val="20"/>
              </w:rPr>
              <w:t>full inventory; analytic sample (≈800)</w:t>
            </w:r>
          </w:p>
        </w:tc>
      </w:tr>
    </w:tbl>
    <w:p>
      <w:pPr>
        <w:jc w:val="center"/>
      </w:pPr>
      <w:r>
        <w:rPr>
          <w:i/>
          <w:sz w:val="18"/>
        </w:rPr>
        <w:t>Table 1. Corpus and sampling by period.</w:t>
      </w:r>
    </w:p>
    <w:p>
      <w:r>
        <w:rPr>
          <w:b w:val="0"/>
          <w:i w:val="0"/>
        </w:rPr>
        <w:t>Access agreements with the NLI and partner libraries are in place from the PI’s ongoing ISF-funded broadsides project; remote inspection via IIIF complements onsite work, and fragmentary copies are addressed through comparative reconstruction across witnesses.</w:t>
      </w:r>
    </w:p>
    <w:p>
      <w:pPr>
        <w:pStyle w:val="Heading2"/>
      </w:pPr>
      <w:r>
        <w:t>2.2 Visual Track — Fonts and Graphic Elements</w:t>
      </w:r>
    </w:p>
    <w:p>
      <w:r>
        <w:t>The visual track examines fonts and graphic elements through a single coherent pipeline that combines a shared machine-learning core with track-specific segmentation and outputs (Fig. 1). At the input, both tracks share the same source material — high-resolution scans, with IIIF used wherever copies are remotely accessible.</w:t>
      </w:r>
    </w:p>
    <w:p>
      <w:r>
        <w:t>The pipeline forks at segmentation. Glyphs are extracted by connected-component analysis after deskew and adaptive binarisation, with diacritics reattached by proximity rules; a trained object detector serves as fallback for degraded or unusually inked material. In parallel, graphic elements — woodcuts, decorated initials, ornaments, and printers' devices — are isolated using an object detector adapted from the CorDeep / Sacrobosco approach (Büttner, Martinetz, El-Hajj &amp; Valleriani 2022).</w:t>
      </w:r>
    </w:p>
    <w:p>
      <w:r>
        <w:t>The cropped objects of both kinds then enter a unified embedding step — a self-supervised vision transformer (e.g. DINOv2) or a fine-tuned CNN — and a shared clustering stage that compares each crop against the project's seed taxonomies and tracks reuse by embedding similarity. This unified ML core is a deliberate methodological commitment: rather than running two parallel pipelines, MARGINS applies the same vision-embedding-and-clustering machinery to two different units of analysis, so that the same code base, quality assurance procedures, and evaluation metrics support both tracks.</w:t>
      </w:r>
    </w:p>
    <w:p>
      <w:r>
        <w:t>The pipeline forks again at the output. Expert adjudication produces two distinct, complementary deliverables: a SKOS-published taxonomy of Hebrew fonts before 1800 — the first of its kind — and an open SKOS controlled vocabulary of recurring image elements with their reuse networks across printers and cities. Both are deposited at Zenodo and exposed through the MARGINS platform (§2.4) as faceted, queryable data. Throughout, named tools are illustrative; the project commits to the methodological stages, not to particular implementations, which may be superseded over the project's five-year span.</w:t>
      </w:r>
    </w:p>
    <w:p>
      <w:pPr>
        <w:jc w:val="center"/>
      </w:pPr>
      <w:r>
        <w:drawing>
          <wp:inline xmlns:a="http://schemas.openxmlformats.org/drawingml/2006/main" xmlns:pic="http://schemas.openxmlformats.org/drawingml/2006/picture">
            <wp:extent cx="5943600" cy="2382963"/>
            <wp:docPr id="1" name="Picture 1"/>
            <wp:cNvGraphicFramePr>
              <a:graphicFrameLocks noChangeAspect="1"/>
            </wp:cNvGraphicFramePr>
            <a:graphic>
              <a:graphicData uri="http://schemas.openxmlformats.org/drawingml/2006/picture">
                <pic:pic>
                  <pic:nvPicPr>
                    <pic:cNvPr id="0" name="pipeline_visual.png"/>
                    <pic:cNvPicPr/>
                  </pic:nvPicPr>
                  <pic:blipFill>
                    <a:blip r:embed="rId9"/>
                    <a:stretch>
                      <a:fillRect/>
                    </a:stretch>
                  </pic:blipFill>
                  <pic:spPr>
                    <a:xfrm>
                      <a:off x="0" y="0"/>
                      <a:ext cx="5943600" cy="2382963"/>
                    </a:xfrm>
                    <a:prstGeom prst="rect"/>
                  </pic:spPr>
                </pic:pic>
              </a:graphicData>
            </a:graphic>
          </wp:inline>
        </w:drawing>
      </w:r>
    </w:p>
    <w:p>
      <w:pPr>
        <w:jc w:val="center"/>
      </w:pPr>
      <w:r>
        <w:rPr>
          <w:i/>
          <w:sz w:val="18"/>
        </w:rPr>
        <w:t>Figure 1. Fonts and graphic-element pipeline (fork – merge – fork): shared capture and a unified ML core, with track-specific segmentation and outputs.</w:t>
      </w:r>
    </w:p>
    <w:p>
      <w:pPr>
        <w:pStyle w:val="Heading2"/>
      </w:pPr>
      <w:r>
        <w:t>2.3 Textual Track — Paratexts and Broadsides</w:t>
      </w:r>
    </w:p>
    <w:p>
      <w:r>
        <w:rPr>
          <w:b w:val="0"/>
          <w:i w:val="0"/>
        </w:rPr>
        <w:t>The textual track combines close reading — implemented through manual annotation in a customised TEI schema — with machine-assisted pattern detection, NER, and entity linking. Existing public Hebrew HTR base models in Transkribus and eScriptorium are fine-tuned per typeface family identified in the visual track, with a target Character Error Rate (CER) of ≤ 5% on early printed Hebrew. A project-specific TEI ODD profile for paratexts — covering title pages, approbations, dedications, colophons, prefaces, errata — is released as a public deliverable, enabling other projects to encode comparable corpora interoperably.</w:t>
      </w:r>
    </w:p>
    <w:p>
      <w:r>
        <w:rPr>
          <w:b w:val="0"/>
          <w:i/>
        </w:rPr>
        <w:t>Textual analysis pipeline:</w:t>
      </w:r>
    </w:p>
    <w:tbl>
      <w:tblPr>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E2EFDA"/>
            <w:vAlign w:val="center"/>
          </w:tcPr>
          <w:p>
            <w:pPr>
              <w:jc w:val="center"/>
            </w:pPr>
            <w:r/>
            <w:r>
              <w:rPr>
                <w:b/>
                <w:sz w:val="18"/>
              </w:rPr>
              <w:t>HTR (fine-tuned</w:t>
              <w:br/>
              <w:t>Transkribus /</w:t>
              <w:br/>
              <w:t>eScriptorium)</w:t>
            </w:r>
          </w:p>
        </w:tc>
        <w:tc>
          <w:tcPr>
            <w:tcW w:type="dxa" w:w="1108"/>
          </w:tcPr>
          <w:p>
            <w:pPr>
              <w:jc w:val="center"/>
            </w:pPr>
            <w:r/>
            <w:r>
              <w:rPr>
                <w:b/>
              </w:rPr>
              <w:t>→</w:t>
            </w:r>
          </w:p>
        </w:tc>
        <w:tc>
          <w:tcPr>
            <w:tcW w:type="dxa" w:w="1108"/>
            <w:shd w:val="clear" w:color="auto" w:fill="E2EFDA"/>
            <w:vAlign w:val="center"/>
          </w:tcPr>
          <w:p>
            <w:pPr>
              <w:jc w:val="center"/>
            </w:pPr>
            <w:r/>
            <w:r>
              <w:rPr>
                <w:b/>
                <w:sz w:val="18"/>
              </w:rPr>
              <w:t>TEI-XML encoding</w:t>
              <w:br/>
              <w:t>(MARGINS ODD)</w:t>
            </w:r>
          </w:p>
        </w:tc>
        <w:tc>
          <w:tcPr>
            <w:tcW w:type="dxa" w:w="1108"/>
          </w:tcPr>
          <w:p>
            <w:pPr>
              <w:jc w:val="center"/>
            </w:pPr>
            <w:r/>
            <w:r>
              <w:rPr>
                <w:b/>
              </w:rPr>
              <w:t>→</w:t>
            </w:r>
          </w:p>
        </w:tc>
        <w:tc>
          <w:tcPr>
            <w:tcW w:type="dxa" w:w="1108"/>
            <w:shd w:val="clear" w:color="auto" w:fill="E2EFDA"/>
            <w:vAlign w:val="center"/>
          </w:tcPr>
          <w:p>
            <w:pPr>
              <w:jc w:val="center"/>
            </w:pPr>
            <w:r/>
            <w:r>
              <w:rPr>
                <w:b/>
                <w:sz w:val="18"/>
              </w:rPr>
              <w:t>NER + entity linking</w:t>
              <w:br/>
              <w:t>(DICTA / LLM-assisted,</w:t>
              <w:br/>
              <w:t>human-in-the-loop)</w:t>
            </w:r>
          </w:p>
        </w:tc>
        <w:tc>
          <w:tcPr>
            <w:tcW w:type="dxa" w:w="1108"/>
          </w:tcPr>
          <w:p>
            <w:pPr>
              <w:jc w:val="center"/>
            </w:pPr>
            <w:r/>
            <w:r>
              <w:rPr>
                <w:b/>
              </w:rPr>
              <w:t>→</w:t>
            </w:r>
          </w:p>
        </w:tc>
        <w:tc>
          <w:tcPr>
            <w:tcW w:type="dxa" w:w="1108"/>
            <w:shd w:val="clear" w:color="auto" w:fill="E2EFDA"/>
            <w:vAlign w:val="center"/>
          </w:tcPr>
          <w:p>
            <w:pPr>
              <w:jc w:val="center"/>
            </w:pPr>
            <w:r/>
            <w:r>
              <w:rPr>
                <w:b/>
                <w:sz w:val="18"/>
              </w:rPr>
              <w:t>Authority linking</w:t>
              <w:br/>
              <w:t>(Wikidata, VIAF,</w:t>
              <w:br/>
              <w:t>GeoNames, Kima)</w:t>
            </w:r>
          </w:p>
        </w:tc>
        <w:tc>
          <w:tcPr>
            <w:tcW w:type="dxa" w:w="1108"/>
          </w:tcPr>
          <w:p>
            <w:pPr>
              <w:jc w:val="center"/>
            </w:pPr>
            <w:r/>
            <w:r>
              <w:rPr>
                <w:b/>
              </w:rPr>
              <w:t>→</w:t>
            </w:r>
          </w:p>
        </w:tc>
        <w:tc>
          <w:tcPr>
            <w:tcW w:type="dxa" w:w="1108"/>
            <w:shd w:val="clear" w:color="auto" w:fill="E2EFDA"/>
            <w:vAlign w:val="center"/>
          </w:tcPr>
          <w:p>
            <w:pPr>
              <w:jc w:val="center"/>
            </w:pPr>
            <w:r/>
            <w:r>
              <w:rPr>
                <w:b/>
                <w:sz w:val="18"/>
              </w:rPr>
              <w:t>Knowledge graph</w:t>
              <w:br/>
              <w:t>+ network analysis</w:t>
            </w:r>
          </w:p>
        </w:tc>
      </w:tr>
    </w:tbl>
    <w:p>
      <w:pPr>
        <w:jc w:val="center"/>
      </w:pPr>
      <w:r>
        <w:rPr>
          <w:i/>
          <w:sz w:val="18"/>
        </w:rPr>
        <w:t>Figure 2. Textual track — HTR to knowledge graph.</w:t>
      </w:r>
    </w:p>
    <w:p>
      <w:r>
        <w:rPr>
          <w:b w:val="0"/>
          <w:i w:val="0"/>
        </w:rPr>
        <w:t>Named-entity recognition combines DICTA’s Hebrew NER with LLM-assisted extraction prompted on the TEI-encoded documents, with all proposed entities reviewed by domain experts before linking. External authorities (Wikidata, VIAF, GeoNames) anchor the prosopography and gazetteer; the Kima Historical Gazetteer is used for places of Jewish significance. Entities not yet represented externally are minted in a project-internal authority file with stable URIs and contributed back upstream where appropriate.</w:t>
      </w:r>
    </w:p>
    <w:p>
      <w:r>
        <w:rPr>
          <w:b w:val="0"/>
          <w:i w:val="0"/>
        </w:rPr>
        <w:t>Broadsides serve as the first integrated test-case where the visual and textual tracks converge. Most broadsides lack indications of place and date; the combination of font classification, image-reuse tracking, and paratextual analysis enables their attribution. The PI’s ISF-funded broadsides project (468/23) supplies the seed dataset and the analytic vocabulary for this work.</w:t>
      </w:r>
    </w:p>
    <w:p>
      <w:pPr>
        <w:pStyle w:val="Heading2"/>
      </w:pPr>
      <w:r>
        <w:t>2.4 Dynamic Ontology and Integration Platform</w:t>
      </w:r>
    </w:p>
    <w:p>
      <w:r>
        <w:rPr>
          <w:b w:val="0"/>
          <w:i w:val="0"/>
        </w:rPr>
        <w:t>The ontology reuses upstream standards rather than inventing from scratch: CIDOC-CRM for actors and events, FRBRoo for bibliographic items, SKOS for controlled vocabularies, and the typographic ontology of Valleriani (2022) as a starting point for type classification. These categories are advanced as preliminary hypotheses. Many were formed on the basis of research in non-Jewish domains, or without quantitative data-informed evidence; the resulting knowledge system is expected to differ substantially from the initial one. For example, the inherited binary "Ashkenazi vs. Italian font family" is likely to collapse under cluster analysis of the actual corpus, and the conventional actor-role taxonomy for paratexts (printer / patron / dedicatee) is likely to require finer distinctions for the Hebrew context (e.g. corrector, financier, translator). Each annual cycle revises the ontology in light of empirical evidence.</w:t>
      </w:r>
    </w:p>
    <w:p>
      <w:r>
        <w:rPr>
          <w:b w:val="0"/>
          <w:i/>
        </w:rPr>
        <w:t>Platform architecture:</w:t>
      </w:r>
    </w:p>
    <w:tbl>
      <w:tblPr>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E2EFDA"/>
            <w:vAlign w:val="center"/>
          </w:tcPr>
          <w:p>
            <w:pPr>
              <w:jc w:val="center"/>
            </w:pPr>
            <w:r/>
            <w:r>
              <w:rPr>
                <w:b/>
                <w:sz w:val="18"/>
              </w:rPr>
              <w:t>IIIF image</w:t>
              <w:br/>
              <w:t>server</w:t>
            </w:r>
          </w:p>
        </w:tc>
        <w:tc>
          <w:tcPr>
            <w:tcW w:type="dxa" w:w="1108"/>
          </w:tcPr>
          <w:p>
            <w:pPr>
              <w:jc w:val="center"/>
            </w:pPr>
            <w:r/>
            <w:r>
              <w:rPr>
                <w:b/>
              </w:rPr>
              <w:t>→</w:t>
            </w:r>
          </w:p>
        </w:tc>
        <w:tc>
          <w:tcPr>
            <w:tcW w:type="dxa" w:w="1108"/>
            <w:shd w:val="clear" w:color="auto" w:fill="E2EFDA"/>
            <w:vAlign w:val="center"/>
          </w:tcPr>
          <w:p>
            <w:pPr>
              <w:jc w:val="center"/>
            </w:pPr>
            <w:r/>
            <w:r>
              <w:rPr>
                <w:b/>
                <w:sz w:val="18"/>
              </w:rPr>
              <w:t>TEI store</w:t>
              <w:br/>
              <w:t>(eXist-db)</w:t>
            </w:r>
          </w:p>
        </w:tc>
        <w:tc>
          <w:tcPr>
            <w:tcW w:type="dxa" w:w="1108"/>
          </w:tcPr>
          <w:p>
            <w:pPr>
              <w:jc w:val="center"/>
            </w:pPr>
            <w:r/>
            <w:r>
              <w:rPr>
                <w:b/>
              </w:rPr>
              <w:t>→</w:t>
            </w:r>
          </w:p>
        </w:tc>
        <w:tc>
          <w:tcPr>
            <w:tcW w:type="dxa" w:w="1108"/>
            <w:shd w:val="clear" w:color="auto" w:fill="E2EFDA"/>
            <w:vAlign w:val="center"/>
          </w:tcPr>
          <w:p>
            <w:pPr>
              <w:jc w:val="center"/>
            </w:pPr>
            <w:r/>
            <w:r>
              <w:rPr>
                <w:b/>
                <w:sz w:val="18"/>
              </w:rPr>
              <w:t>Graph store</w:t>
              <w:br/>
              <w:t>for entities &amp;</w:t>
              <w:br/>
              <w:t>relations</w:t>
            </w:r>
          </w:p>
        </w:tc>
        <w:tc>
          <w:tcPr>
            <w:tcW w:type="dxa" w:w="1108"/>
          </w:tcPr>
          <w:p>
            <w:pPr>
              <w:jc w:val="center"/>
            </w:pPr>
            <w:r/>
            <w:r>
              <w:rPr>
                <w:b/>
              </w:rPr>
              <w:t>→</w:t>
            </w:r>
          </w:p>
        </w:tc>
        <w:tc>
          <w:tcPr>
            <w:tcW w:type="dxa" w:w="1108"/>
            <w:shd w:val="clear" w:color="auto" w:fill="E2EFDA"/>
            <w:vAlign w:val="center"/>
          </w:tcPr>
          <w:p>
            <w:pPr>
              <w:jc w:val="center"/>
            </w:pPr>
            <w:r/>
            <w:r>
              <w:rPr>
                <w:b/>
                <w:sz w:val="18"/>
              </w:rPr>
              <w:t>API layer</w:t>
              <w:br/>
              <w:t>(REST + SPARQL)</w:t>
            </w:r>
          </w:p>
        </w:tc>
        <w:tc>
          <w:tcPr>
            <w:tcW w:type="dxa" w:w="1108"/>
          </w:tcPr>
          <w:p>
            <w:pPr>
              <w:jc w:val="center"/>
            </w:pPr>
            <w:r/>
            <w:r>
              <w:rPr>
                <w:b/>
              </w:rPr>
              <w:t>→</w:t>
            </w:r>
          </w:p>
        </w:tc>
        <w:tc>
          <w:tcPr>
            <w:tcW w:type="dxa" w:w="1108"/>
            <w:shd w:val="clear" w:color="auto" w:fill="E2EFDA"/>
            <w:vAlign w:val="center"/>
          </w:tcPr>
          <w:p>
            <w:pPr>
              <w:jc w:val="center"/>
            </w:pPr>
            <w:r/>
            <w:r>
              <w:rPr>
                <w:b/>
                <w:sz w:val="18"/>
              </w:rPr>
              <w:t>TEI-Publisher</w:t>
              <w:br/>
              <w:t>front-end</w:t>
            </w:r>
          </w:p>
        </w:tc>
      </w:tr>
    </w:tbl>
    <w:p>
      <w:pPr>
        <w:jc w:val="center"/>
      </w:pPr>
      <w:r>
        <w:rPr>
          <w:i/>
          <w:sz w:val="18"/>
        </w:rPr>
        <w:t>Figure 3. MARGINS integration platform — data architecture.</w:t>
      </w:r>
    </w:p>
    <w:p>
      <w:r>
        <w:rPr>
          <w:b w:val="0"/>
          <w:i w:val="0"/>
        </w:rPr>
        <w:t>All datasets and code are released under open licences: data CC-BY, code MIT/Apache on GitHub, archival snapshots deposited with DOIs at Zenodo. The platform is built on standards-based and open-source components so that nothing produced by the project depends on a proprietary stack.</w:t>
      </w:r>
    </w:p>
    <w:p>
      <w:pPr>
        <w:pStyle w:val="Heading2"/>
      </w:pPr>
      <w:r>
        <w:t>2.5 Broadsides Pilot (Proof of Concept)</w:t>
      </w:r>
    </w:p>
    <w:p>
      <w:r>
        <w:rPr>
          <w:b w:val="0"/>
          <w:i w:val="0"/>
        </w:rPr>
        <w:t>[TEAM DECISION REQUIRED — Sinai recommends including a small public mock-up built on the existing ISF broadsides data, available online before submission, with the URL embedded here and one screenshot included as Figure 5. Gili disagrees. If retained, this paragraph and figure occupy ~¼ page and supply a tangible preparation signal the panel values.]</w:t>
      </w:r>
    </w:p>
    <w:p>
      <w:pPr>
        <w:pStyle w:val="Heading1"/>
      </w:pPr>
      <w:r>
        <w:t>3. Work Plan</w:t>
      </w:r>
    </w:p>
    <w:p>
      <w:r>
        <w:rPr>
          <w:b w:val="0"/>
          <w:i w:val="0"/>
        </w:rPr>
        <w:t>Machine vision, document understanding, and knowledge extraction have advanced significantly in the past two years. The work plan accounts for ongoing uncertainty in the development of these fields: it presents careful estimates while allowing for variation, and exploits modular architecture (§2.4) to absorb mid-project tool changes. Each stage combines traditional and digital analysis along four lines of work — collection and compilation of sources; knowledge extraction and modelling; scientific formulation and distillation of results; and presentation and dissemination. Two annual workshops run in years 1–4, and a final conference is held in year 5.</w:t>
      </w:r>
    </w:p>
    <w:p>
      <w:pPr>
        <w:pStyle w:val="Heading2"/>
      </w:pPr>
      <w:r>
        <w:t>3.1 Work Package Structure</w:t>
      </w:r>
    </w:p>
    <w:tbl>
      <w:tblPr>
        <w:tblStyle w:val="LightGrid-Accent1"/>
        <w:tblW w:type="auto" w:w="0"/>
        <w:tblLayout w:type="autofit"/>
        <w:tblLook w:firstColumn="1" w:firstRow="1" w:lastColumn="0" w:lastRow="0" w:noHBand="0" w:noVBand="1" w:val="04A0"/>
      </w:tblPr>
      <w:tblGrid>
        <w:gridCol w:w="1994"/>
        <w:gridCol w:w="1994"/>
        <w:gridCol w:w="1994"/>
        <w:gridCol w:w="1994"/>
        <w:gridCol w:w="1994"/>
      </w:tblGrid>
      <w:tr>
        <w:tc>
          <w:tcPr>
            <w:tcW w:type="dxa" w:w="680"/>
            <w:shd w:val="clear" w:color="auto" w:fill="D9E2F3"/>
          </w:tcPr>
          <w:p>
            <w:r/>
            <w:r>
              <w:rPr>
                <w:b/>
                <w:sz w:val="20"/>
              </w:rPr>
              <w:t>WP</w:t>
            </w:r>
          </w:p>
        </w:tc>
        <w:tc>
          <w:tcPr>
            <w:tcW w:type="dxa" w:w="2608"/>
            <w:shd w:val="clear" w:color="auto" w:fill="D9E2F3"/>
          </w:tcPr>
          <w:p>
            <w:r/>
            <w:r>
              <w:rPr>
                <w:b/>
                <w:sz w:val="20"/>
              </w:rPr>
              <w:t>Title</w:t>
            </w:r>
          </w:p>
        </w:tc>
        <w:tc>
          <w:tcPr>
            <w:tcW w:type="dxa" w:w="1984"/>
            <w:shd w:val="clear" w:color="auto" w:fill="D9E2F3"/>
          </w:tcPr>
          <w:p>
            <w:r/>
            <w:r>
              <w:rPr>
                <w:b/>
                <w:sz w:val="20"/>
              </w:rPr>
              <w:t>Lead</w:t>
            </w:r>
          </w:p>
        </w:tc>
        <w:tc>
          <w:tcPr>
            <w:tcW w:type="dxa" w:w="1020"/>
            <w:shd w:val="clear" w:color="auto" w:fill="D9E2F3"/>
          </w:tcPr>
          <w:p>
            <w:r/>
            <w:r>
              <w:rPr>
                <w:b/>
                <w:sz w:val="20"/>
              </w:rPr>
              <w:t>Months</w:t>
            </w:r>
          </w:p>
        </w:tc>
        <w:tc>
          <w:tcPr>
            <w:tcW w:type="dxa" w:w="2891"/>
            <w:shd w:val="clear" w:color="auto" w:fill="D9E2F3"/>
          </w:tcPr>
          <w:p>
            <w:r/>
            <w:r>
              <w:rPr>
                <w:b/>
                <w:sz w:val="20"/>
              </w:rPr>
              <w:t>Key deliverables</w:t>
            </w:r>
          </w:p>
        </w:tc>
      </w:tr>
      <w:tr>
        <w:tc>
          <w:tcPr>
            <w:tcW w:type="dxa" w:w="680"/>
          </w:tcPr>
          <w:p>
            <w:r/>
            <w:r>
              <w:rPr>
                <w:sz w:val="20"/>
              </w:rPr>
              <w:t>WP1</w:t>
            </w:r>
          </w:p>
        </w:tc>
        <w:tc>
          <w:tcPr>
            <w:tcW w:type="dxa" w:w="2608"/>
          </w:tcPr>
          <w:p>
            <w:r/>
            <w:r>
              <w:rPr>
                <w:sz w:val="20"/>
              </w:rPr>
              <w:t>Coordination &amp; Project Management</w:t>
            </w:r>
          </w:p>
        </w:tc>
        <w:tc>
          <w:tcPr>
            <w:tcW w:type="dxa" w:w="1984"/>
          </w:tcPr>
          <w:p>
            <w:r/>
            <w:r>
              <w:rPr>
                <w:sz w:val="20"/>
              </w:rPr>
              <w:t>PI</w:t>
            </w:r>
          </w:p>
        </w:tc>
        <w:tc>
          <w:tcPr>
            <w:tcW w:type="dxa" w:w="1020"/>
          </w:tcPr>
          <w:p>
            <w:r/>
            <w:r>
              <w:rPr>
                <w:sz w:val="20"/>
              </w:rPr>
              <w:t>M1–M60</w:t>
            </w:r>
          </w:p>
        </w:tc>
        <w:tc>
          <w:tcPr>
            <w:tcW w:type="dxa" w:w="2891"/>
          </w:tcPr>
          <w:p>
            <w:r/>
            <w:r>
              <w:rPr>
                <w:sz w:val="20"/>
              </w:rPr>
              <w:t>Annual reports; workshops; quality assurance</w:t>
            </w:r>
          </w:p>
        </w:tc>
      </w:tr>
      <w:tr>
        <w:tc>
          <w:tcPr>
            <w:tcW w:type="dxa" w:w="680"/>
          </w:tcPr>
          <w:p>
            <w:r/>
            <w:r>
              <w:rPr>
                <w:sz w:val="20"/>
              </w:rPr>
              <w:t>WP2</w:t>
            </w:r>
          </w:p>
        </w:tc>
        <w:tc>
          <w:tcPr>
            <w:tcW w:type="dxa" w:w="2608"/>
          </w:tcPr>
          <w:p>
            <w:r/>
            <w:r>
              <w:rPr>
                <w:sz w:val="20"/>
              </w:rPr>
              <w:t>Fonts</w:t>
            </w:r>
          </w:p>
        </w:tc>
        <w:tc>
          <w:tcPr>
            <w:tcW w:type="dxa" w:w="1984"/>
          </w:tcPr>
          <w:p>
            <w:r/>
            <w:r>
              <w:rPr>
                <w:sz w:val="20"/>
              </w:rPr>
              <w:t>Post-doc 1</w:t>
            </w:r>
          </w:p>
        </w:tc>
        <w:tc>
          <w:tcPr>
            <w:tcW w:type="dxa" w:w="1020"/>
          </w:tcPr>
          <w:p>
            <w:r/>
            <w:r>
              <w:rPr>
                <w:sz w:val="20"/>
              </w:rPr>
              <w:t>M1–M54</w:t>
            </w:r>
          </w:p>
        </w:tc>
        <w:tc>
          <w:tcPr>
            <w:tcW w:type="dxa" w:w="2891"/>
          </w:tcPr>
          <w:p>
            <w:r/>
            <w:r>
              <w:rPr>
                <w:sz w:val="20"/>
              </w:rPr>
              <w:t>D2.1 Font prototype; D3.1 Web tool; D5.1 SKOS taxonomy</w:t>
            </w:r>
          </w:p>
        </w:tc>
      </w:tr>
      <w:tr>
        <w:tc>
          <w:tcPr>
            <w:tcW w:type="dxa" w:w="680"/>
          </w:tcPr>
          <w:p>
            <w:r/>
            <w:r>
              <w:rPr>
                <w:sz w:val="20"/>
              </w:rPr>
              <w:t>WP3</w:t>
            </w:r>
          </w:p>
        </w:tc>
        <w:tc>
          <w:tcPr>
            <w:tcW w:type="dxa" w:w="2608"/>
          </w:tcPr>
          <w:p>
            <w:r/>
            <w:r>
              <w:rPr>
                <w:sz w:val="20"/>
              </w:rPr>
              <w:t>Graphic Elements</w:t>
            </w:r>
          </w:p>
        </w:tc>
        <w:tc>
          <w:tcPr>
            <w:tcW w:type="dxa" w:w="1984"/>
          </w:tcPr>
          <w:p>
            <w:r/>
            <w:r>
              <w:rPr>
                <w:sz w:val="20"/>
              </w:rPr>
              <w:t>Post-doc 2</w:t>
            </w:r>
          </w:p>
        </w:tc>
        <w:tc>
          <w:tcPr>
            <w:tcW w:type="dxa" w:w="1020"/>
          </w:tcPr>
          <w:p>
            <w:r/>
            <w:r>
              <w:rPr>
                <w:sz w:val="20"/>
              </w:rPr>
              <w:t>M3–M54</w:t>
            </w:r>
          </w:p>
        </w:tc>
        <w:tc>
          <w:tcPr>
            <w:tcW w:type="dxa" w:w="2891"/>
          </w:tcPr>
          <w:p>
            <w:r/>
            <w:r>
              <w:rPr>
                <w:sz w:val="20"/>
              </w:rPr>
              <w:t>D2.2 Detector v1; D3.2 Web tool; D5.2 Image-element vocabulary</w:t>
            </w:r>
          </w:p>
        </w:tc>
      </w:tr>
      <w:tr>
        <w:tc>
          <w:tcPr>
            <w:tcW w:type="dxa" w:w="680"/>
          </w:tcPr>
          <w:p>
            <w:r/>
            <w:r>
              <w:rPr>
                <w:sz w:val="20"/>
              </w:rPr>
              <w:t>WP4</w:t>
            </w:r>
          </w:p>
        </w:tc>
        <w:tc>
          <w:tcPr>
            <w:tcW w:type="dxa" w:w="2608"/>
          </w:tcPr>
          <w:p>
            <w:r/>
            <w:r>
              <w:rPr>
                <w:sz w:val="20"/>
              </w:rPr>
              <w:t>Paratexts</w:t>
            </w:r>
          </w:p>
        </w:tc>
        <w:tc>
          <w:tcPr>
            <w:tcW w:type="dxa" w:w="1984"/>
          </w:tcPr>
          <w:p>
            <w:r/>
            <w:r>
              <w:rPr>
                <w:sz w:val="20"/>
              </w:rPr>
              <w:t>Post-doc 3</w:t>
            </w:r>
          </w:p>
        </w:tc>
        <w:tc>
          <w:tcPr>
            <w:tcW w:type="dxa" w:w="1020"/>
          </w:tcPr>
          <w:p>
            <w:r/>
            <w:r>
              <w:rPr>
                <w:sz w:val="20"/>
              </w:rPr>
              <w:t>M1–M60</w:t>
            </w:r>
          </w:p>
        </w:tc>
        <w:tc>
          <w:tcPr>
            <w:tcW w:type="dxa" w:w="2891"/>
          </w:tcPr>
          <w:p>
            <w:r/>
            <w:r>
              <w:rPr>
                <w:sz w:val="20"/>
              </w:rPr>
              <w:t>D1.2 TEI ODD; D3.3 Annotated corpus; D5.3 Anthology vol. I</w:t>
            </w:r>
          </w:p>
        </w:tc>
      </w:tr>
      <w:tr>
        <w:tc>
          <w:tcPr>
            <w:tcW w:type="dxa" w:w="680"/>
          </w:tcPr>
          <w:p>
            <w:r/>
            <w:r>
              <w:rPr>
                <w:sz w:val="20"/>
              </w:rPr>
              <w:t>WP5</w:t>
            </w:r>
          </w:p>
        </w:tc>
        <w:tc>
          <w:tcPr>
            <w:tcW w:type="dxa" w:w="2608"/>
          </w:tcPr>
          <w:p>
            <w:r/>
            <w:r>
              <w:rPr>
                <w:sz w:val="20"/>
              </w:rPr>
              <w:t>Broadsides Case Study</w:t>
            </w:r>
          </w:p>
        </w:tc>
        <w:tc>
          <w:tcPr>
            <w:tcW w:type="dxa" w:w="1984"/>
          </w:tcPr>
          <w:p>
            <w:r/>
            <w:r>
              <w:rPr>
                <w:sz w:val="20"/>
              </w:rPr>
              <w:t>PI + scientific worker</w:t>
            </w:r>
          </w:p>
        </w:tc>
        <w:tc>
          <w:tcPr>
            <w:tcW w:type="dxa" w:w="1020"/>
          </w:tcPr>
          <w:p>
            <w:r/>
            <w:r>
              <w:rPr>
                <w:sz w:val="20"/>
              </w:rPr>
              <w:t>M6–M60</w:t>
            </w:r>
          </w:p>
        </w:tc>
        <w:tc>
          <w:tcPr>
            <w:tcW w:type="dxa" w:w="2891"/>
          </w:tcPr>
          <w:p>
            <w:r/>
            <w:r>
              <w:rPr>
                <w:sz w:val="20"/>
              </w:rPr>
              <w:t>D1.3 Pilot dataset; D3.4 Analysis report; D5.4 Anthology vol. II</w:t>
            </w:r>
          </w:p>
        </w:tc>
      </w:tr>
      <w:tr>
        <w:tc>
          <w:tcPr>
            <w:tcW w:type="dxa" w:w="680"/>
          </w:tcPr>
          <w:p>
            <w:r/>
            <w:r>
              <w:rPr>
                <w:sz w:val="20"/>
              </w:rPr>
              <w:t>WP6</w:t>
            </w:r>
          </w:p>
        </w:tc>
        <w:tc>
          <w:tcPr>
            <w:tcW w:type="dxa" w:w="2608"/>
          </w:tcPr>
          <w:p>
            <w:r/>
            <w:r>
              <w:rPr>
                <w:sz w:val="20"/>
              </w:rPr>
              <w:t>Digital Platform &amp; Data Architecture</w:t>
            </w:r>
          </w:p>
        </w:tc>
        <w:tc>
          <w:tcPr>
            <w:tcW w:type="dxa" w:w="1984"/>
          </w:tcPr>
          <w:p>
            <w:r/>
            <w:r>
              <w:rPr>
                <w:sz w:val="20"/>
              </w:rPr>
              <w:t>Data scientist / DHSS Hub</w:t>
            </w:r>
          </w:p>
        </w:tc>
        <w:tc>
          <w:tcPr>
            <w:tcW w:type="dxa" w:w="1020"/>
          </w:tcPr>
          <w:p>
            <w:r/>
            <w:r>
              <w:rPr>
                <w:sz w:val="20"/>
              </w:rPr>
              <w:t>M1–M60</w:t>
            </w:r>
          </w:p>
        </w:tc>
        <w:tc>
          <w:tcPr>
            <w:tcW w:type="dxa" w:w="2891"/>
          </w:tcPr>
          <w:p>
            <w:r/>
            <w:r>
              <w:rPr>
                <w:sz w:val="20"/>
              </w:rPr>
              <w:t>D3.5 Platform v1; D5.5 Public launch; Zenodo deposits</w:t>
            </w:r>
          </w:p>
        </w:tc>
      </w:tr>
      <w:tr>
        <w:tc>
          <w:tcPr>
            <w:tcW w:type="dxa" w:w="680"/>
          </w:tcPr>
          <w:p>
            <w:r/>
            <w:r>
              <w:rPr>
                <w:sz w:val="20"/>
              </w:rPr>
              <w:t>WP7</w:t>
            </w:r>
          </w:p>
        </w:tc>
        <w:tc>
          <w:tcPr>
            <w:tcW w:type="dxa" w:w="2608"/>
          </w:tcPr>
          <w:p>
            <w:r/>
            <w:r>
              <w:rPr>
                <w:sz w:val="20"/>
              </w:rPr>
              <w:t>Dissemination &amp; Outreach</w:t>
            </w:r>
          </w:p>
        </w:tc>
        <w:tc>
          <w:tcPr>
            <w:tcW w:type="dxa" w:w="1984"/>
          </w:tcPr>
          <w:p>
            <w:r/>
            <w:r>
              <w:rPr>
                <w:sz w:val="20"/>
              </w:rPr>
              <w:t>PI + coordinator</w:t>
            </w:r>
          </w:p>
        </w:tc>
        <w:tc>
          <w:tcPr>
            <w:tcW w:type="dxa" w:w="1020"/>
          </w:tcPr>
          <w:p>
            <w:r/>
            <w:r>
              <w:rPr>
                <w:sz w:val="20"/>
              </w:rPr>
              <w:t>M6–M60</w:t>
            </w:r>
          </w:p>
        </w:tc>
        <w:tc>
          <w:tcPr>
            <w:tcW w:type="dxa" w:w="2891"/>
          </w:tcPr>
          <w:p>
            <w:r/>
            <w:r>
              <w:rPr>
                <w:sz w:val="20"/>
              </w:rPr>
              <w:t>Workshops; D5.6 Final conference; D5.7 Monograph series (×5)</w:t>
            </w:r>
          </w:p>
        </w:tc>
      </w:tr>
    </w:tbl>
    <w:p>
      <w:pPr>
        <w:jc w:val="center"/>
      </w:pPr>
      <w:r>
        <w:rPr>
          <w:i/>
          <w:sz w:val="18"/>
        </w:rPr>
        <w:t>Table 2. Work-package overview.</w:t>
      </w:r>
    </w:p>
    <w:p>
      <w:pPr>
        <w:pStyle w:val="Heading2"/>
      </w:pPr>
      <w:r>
        <w:t>3.2 Timeline, Milestones, and Deliverables</w:t>
      </w:r>
    </w:p>
    <w:tbl>
      <w:tblPr>
        <w:tblStyle w:val="LightGrid-Accent1"/>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680"/>
            <w:shd w:val="clear" w:color="auto" w:fill="D9E2F3"/>
          </w:tcPr>
          <w:p>
            <w:r/>
            <w:r>
              <w:rPr>
                <w:b/>
                <w:sz w:val="20"/>
              </w:rPr>
              <w:t>WP</w:t>
            </w:r>
          </w:p>
        </w:tc>
        <w:tc>
          <w:tcPr>
            <w:tcW w:type="dxa" w:w="1701"/>
            <w:shd w:val="clear" w:color="auto" w:fill="D9E2F3"/>
          </w:tcPr>
          <w:p>
            <w:r/>
            <w:r>
              <w:rPr>
                <w:b/>
                <w:sz w:val="20"/>
              </w:rPr>
              <w:t>Y1</w:t>
            </w:r>
          </w:p>
        </w:tc>
        <w:tc>
          <w:tcPr>
            <w:tcW w:type="dxa" w:w="1701"/>
            <w:shd w:val="clear" w:color="auto" w:fill="D9E2F3"/>
          </w:tcPr>
          <w:p>
            <w:r/>
            <w:r>
              <w:rPr>
                <w:b/>
                <w:sz w:val="20"/>
              </w:rPr>
              <w:t>Y2</w:t>
            </w:r>
          </w:p>
        </w:tc>
        <w:tc>
          <w:tcPr>
            <w:tcW w:type="dxa" w:w="1701"/>
            <w:shd w:val="clear" w:color="auto" w:fill="D9E2F3"/>
          </w:tcPr>
          <w:p>
            <w:r/>
            <w:r>
              <w:rPr>
                <w:b/>
                <w:sz w:val="20"/>
              </w:rPr>
              <w:t>Y3</w:t>
            </w:r>
          </w:p>
        </w:tc>
        <w:tc>
          <w:tcPr>
            <w:tcW w:type="dxa" w:w="1701"/>
            <w:shd w:val="clear" w:color="auto" w:fill="D9E2F3"/>
          </w:tcPr>
          <w:p>
            <w:r/>
            <w:r>
              <w:rPr>
                <w:b/>
                <w:sz w:val="20"/>
              </w:rPr>
              <w:t>Y4</w:t>
            </w:r>
          </w:p>
        </w:tc>
        <w:tc>
          <w:tcPr>
            <w:tcW w:type="dxa" w:w="1701"/>
            <w:shd w:val="clear" w:color="auto" w:fill="D9E2F3"/>
          </w:tcPr>
          <w:p>
            <w:r/>
            <w:r>
              <w:rPr>
                <w:b/>
                <w:sz w:val="20"/>
              </w:rPr>
              <w:t>Y5</w:t>
            </w:r>
          </w:p>
        </w:tc>
      </w:tr>
      <w:tr>
        <w:tc>
          <w:tcPr>
            <w:tcW w:type="dxa" w:w="680"/>
          </w:tcPr>
          <w:p>
            <w:r/>
            <w:r>
              <w:rPr>
                <w:sz w:val="20"/>
              </w:rPr>
              <w:t>WP1</w:t>
            </w:r>
          </w:p>
        </w:tc>
        <w:tc>
          <w:tcPr>
            <w:tcW w:type="dxa" w:w="1701"/>
          </w:tcPr>
          <w:p>
            <w:r/>
            <w:r>
              <w:rPr>
                <w:sz w:val="20"/>
              </w:rPr>
              <w:t>■■■■</w:t>
            </w:r>
          </w:p>
        </w:tc>
        <w:tc>
          <w:tcPr>
            <w:tcW w:type="dxa" w:w="1701"/>
          </w:tcPr>
          <w:p>
            <w:r/>
            <w:r>
              <w:rPr>
                <w:sz w:val="20"/>
              </w:rPr>
              <w:t>■■■■</w:t>
            </w:r>
          </w:p>
        </w:tc>
        <w:tc>
          <w:tcPr>
            <w:tcW w:type="dxa" w:w="1701"/>
          </w:tcPr>
          <w:p>
            <w:r/>
            <w:r>
              <w:rPr>
                <w:sz w:val="20"/>
              </w:rPr>
              <w:t>■■■■</w:t>
            </w:r>
          </w:p>
        </w:tc>
        <w:tc>
          <w:tcPr>
            <w:tcW w:type="dxa" w:w="1701"/>
          </w:tcPr>
          <w:p>
            <w:r/>
            <w:r>
              <w:rPr>
                <w:sz w:val="20"/>
              </w:rPr>
              <w:t>■■■■</w:t>
            </w:r>
          </w:p>
        </w:tc>
        <w:tc>
          <w:tcPr>
            <w:tcW w:type="dxa" w:w="1701"/>
          </w:tcPr>
          <w:p>
            <w:r/>
            <w:r>
              <w:rPr>
                <w:sz w:val="20"/>
              </w:rPr>
              <w:t>■■■■</w:t>
            </w:r>
          </w:p>
        </w:tc>
      </w:tr>
      <w:tr>
        <w:tc>
          <w:tcPr>
            <w:tcW w:type="dxa" w:w="680"/>
          </w:tcPr>
          <w:p>
            <w:r/>
            <w:r>
              <w:rPr>
                <w:sz w:val="20"/>
              </w:rPr>
              <w:t>WP2</w:t>
            </w:r>
          </w:p>
        </w:tc>
        <w:tc>
          <w:tcPr>
            <w:tcW w:type="dxa" w:w="1701"/>
          </w:tcPr>
          <w:p>
            <w:r/>
            <w:r>
              <w:rPr>
                <w:sz w:val="20"/>
              </w:rPr>
              <w:t>■■■</w:t>
            </w:r>
          </w:p>
        </w:tc>
        <w:tc>
          <w:tcPr>
            <w:tcW w:type="dxa" w:w="1701"/>
          </w:tcPr>
          <w:p>
            <w:r/>
            <w:r>
              <w:rPr>
                <w:sz w:val="20"/>
              </w:rPr>
              <w:t>■■■■</w:t>
            </w:r>
          </w:p>
        </w:tc>
        <w:tc>
          <w:tcPr>
            <w:tcW w:type="dxa" w:w="1701"/>
          </w:tcPr>
          <w:p>
            <w:r/>
            <w:r>
              <w:rPr>
                <w:sz w:val="20"/>
              </w:rPr>
              <w:t>■■■■</w:t>
            </w:r>
          </w:p>
        </w:tc>
        <w:tc>
          <w:tcPr>
            <w:tcW w:type="dxa" w:w="1701"/>
          </w:tcPr>
          <w:p>
            <w:r/>
            <w:r>
              <w:rPr>
                <w:sz w:val="20"/>
              </w:rPr>
              <w:t>■■■</w:t>
            </w:r>
          </w:p>
        </w:tc>
        <w:tc>
          <w:tcPr>
            <w:tcW w:type="dxa" w:w="1701"/>
          </w:tcPr>
          <w:p>
            <w:r/>
            <w:r>
              <w:rPr>
                <w:sz w:val="20"/>
              </w:rPr>
              <w:t>■■</w:t>
            </w:r>
          </w:p>
        </w:tc>
      </w:tr>
      <w:tr>
        <w:tc>
          <w:tcPr>
            <w:tcW w:type="dxa" w:w="680"/>
          </w:tcPr>
          <w:p>
            <w:r/>
            <w:r>
              <w:rPr>
                <w:sz w:val="20"/>
              </w:rPr>
              <w:t>WP3</w:t>
            </w:r>
          </w:p>
        </w:tc>
        <w:tc>
          <w:tcPr>
            <w:tcW w:type="dxa" w:w="1701"/>
          </w:tcPr>
          <w:p>
            <w:r/>
            <w:r>
              <w:rPr>
                <w:sz w:val="20"/>
              </w:rPr>
              <w:t xml:space="preserve"> ■■</w:t>
            </w:r>
          </w:p>
        </w:tc>
        <w:tc>
          <w:tcPr>
            <w:tcW w:type="dxa" w:w="1701"/>
          </w:tcPr>
          <w:p>
            <w:r/>
            <w:r>
              <w:rPr>
                <w:sz w:val="20"/>
              </w:rPr>
              <w:t>■■■■</w:t>
            </w:r>
          </w:p>
        </w:tc>
        <w:tc>
          <w:tcPr>
            <w:tcW w:type="dxa" w:w="1701"/>
          </w:tcPr>
          <w:p>
            <w:r/>
            <w:r>
              <w:rPr>
                <w:sz w:val="20"/>
              </w:rPr>
              <w:t>■■■■</w:t>
            </w:r>
          </w:p>
        </w:tc>
        <w:tc>
          <w:tcPr>
            <w:tcW w:type="dxa" w:w="1701"/>
          </w:tcPr>
          <w:p>
            <w:r/>
            <w:r>
              <w:rPr>
                <w:sz w:val="20"/>
              </w:rPr>
              <w:t>■■■</w:t>
            </w:r>
          </w:p>
        </w:tc>
        <w:tc>
          <w:tcPr>
            <w:tcW w:type="dxa" w:w="1701"/>
          </w:tcPr>
          <w:p>
            <w:r/>
            <w:r>
              <w:rPr>
                <w:sz w:val="20"/>
              </w:rPr>
              <w:t>■■</w:t>
            </w:r>
          </w:p>
        </w:tc>
      </w:tr>
      <w:tr>
        <w:tc>
          <w:tcPr>
            <w:tcW w:type="dxa" w:w="680"/>
          </w:tcPr>
          <w:p>
            <w:r/>
            <w:r>
              <w:rPr>
                <w:sz w:val="20"/>
              </w:rPr>
              <w:t>WP4</w:t>
            </w:r>
          </w:p>
        </w:tc>
        <w:tc>
          <w:tcPr>
            <w:tcW w:type="dxa" w:w="1701"/>
          </w:tcPr>
          <w:p>
            <w:r/>
            <w:r>
              <w:rPr>
                <w:sz w:val="20"/>
              </w:rPr>
              <w:t>■■■■</w:t>
            </w:r>
          </w:p>
        </w:tc>
        <w:tc>
          <w:tcPr>
            <w:tcW w:type="dxa" w:w="1701"/>
          </w:tcPr>
          <w:p>
            <w:r/>
            <w:r>
              <w:rPr>
                <w:sz w:val="20"/>
              </w:rPr>
              <w:t>■■■</w:t>
            </w:r>
          </w:p>
        </w:tc>
        <w:tc>
          <w:tcPr>
            <w:tcW w:type="dxa" w:w="1701"/>
          </w:tcPr>
          <w:p>
            <w:r/>
            <w:r>
              <w:rPr>
                <w:sz w:val="20"/>
              </w:rPr>
              <w:t>■■■</w:t>
            </w:r>
          </w:p>
        </w:tc>
        <w:tc>
          <w:tcPr>
            <w:tcW w:type="dxa" w:w="1701"/>
          </w:tcPr>
          <w:p>
            <w:r/>
            <w:r>
              <w:rPr>
                <w:sz w:val="20"/>
              </w:rPr>
              <w:t>■■■</w:t>
            </w:r>
          </w:p>
        </w:tc>
        <w:tc>
          <w:tcPr>
            <w:tcW w:type="dxa" w:w="1701"/>
          </w:tcPr>
          <w:p>
            <w:r/>
            <w:r>
              <w:rPr>
                <w:sz w:val="20"/>
              </w:rPr>
              <w:t>■■■■</w:t>
            </w:r>
          </w:p>
        </w:tc>
      </w:tr>
      <w:tr>
        <w:tc>
          <w:tcPr>
            <w:tcW w:type="dxa" w:w="680"/>
          </w:tcPr>
          <w:p>
            <w:r/>
            <w:r>
              <w:rPr>
                <w:sz w:val="20"/>
              </w:rPr>
              <w:t>WP5</w:t>
            </w:r>
          </w:p>
        </w:tc>
        <w:tc>
          <w:tcPr>
            <w:tcW w:type="dxa" w:w="1701"/>
          </w:tcPr>
          <w:p>
            <w:r/>
            <w:r>
              <w:rPr>
                <w:sz w:val="20"/>
              </w:rPr>
              <w:t xml:space="preserve">  ■</w:t>
            </w:r>
          </w:p>
        </w:tc>
        <w:tc>
          <w:tcPr>
            <w:tcW w:type="dxa" w:w="1701"/>
          </w:tcPr>
          <w:p>
            <w:r/>
            <w:r>
              <w:rPr>
                <w:sz w:val="20"/>
              </w:rPr>
              <w:t>■■</w:t>
            </w:r>
          </w:p>
        </w:tc>
        <w:tc>
          <w:tcPr>
            <w:tcW w:type="dxa" w:w="1701"/>
          </w:tcPr>
          <w:p>
            <w:r/>
            <w:r>
              <w:rPr>
                <w:sz w:val="20"/>
              </w:rPr>
              <w:t>■■■■</w:t>
            </w:r>
          </w:p>
        </w:tc>
        <w:tc>
          <w:tcPr>
            <w:tcW w:type="dxa" w:w="1701"/>
          </w:tcPr>
          <w:p>
            <w:r/>
            <w:r>
              <w:rPr>
                <w:sz w:val="20"/>
              </w:rPr>
              <w:t>■■■■</w:t>
            </w:r>
          </w:p>
        </w:tc>
        <w:tc>
          <w:tcPr>
            <w:tcW w:type="dxa" w:w="1701"/>
          </w:tcPr>
          <w:p>
            <w:r/>
            <w:r>
              <w:rPr>
                <w:sz w:val="20"/>
              </w:rPr>
              <w:t>■■■</w:t>
            </w:r>
          </w:p>
        </w:tc>
      </w:tr>
      <w:tr>
        <w:tc>
          <w:tcPr>
            <w:tcW w:type="dxa" w:w="680"/>
          </w:tcPr>
          <w:p>
            <w:r/>
            <w:r>
              <w:rPr>
                <w:sz w:val="20"/>
              </w:rPr>
              <w:t>WP6</w:t>
            </w:r>
          </w:p>
        </w:tc>
        <w:tc>
          <w:tcPr>
            <w:tcW w:type="dxa" w:w="1701"/>
          </w:tcPr>
          <w:p>
            <w:r/>
            <w:r>
              <w:rPr>
                <w:sz w:val="20"/>
              </w:rPr>
              <w:t>■■</w:t>
            </w:r>
          </w:p>
        </w:tc>
        <w:tc>
          <w:tcPr>
            <w:tcW w:type="dxa" w:w="1701"/>
          </w:tcPr>
          <w:p>
            <w:r/>
            <w:r>
              <w:rPr>
                <w:sz w:val="20"/>
              </w:rPr>
              <w:t>■■■■</w:t>
            </w:r>
          </w:p>
        </w:tc>
        <w:tc>
          <w:tcPr>
            <w:tcW w:type="dxa" w:w="1701"/>
          </w:tcPr>
          <w:p>
            <w:r/>
            <w:r>
              <w:rPr>
                <w:sz w:val="20"/>
              </w:rPr>
              <w:t>■■■■</w:t>
            </w:r>
          </w:p>
        </w:tc>
        <w:tc>
          <w:tcPr>
            <w:tcW w:type="dxa" w:w="1701"/>
          </w:tcPr>
          <w:p>
            <w:r/>
            <w:r>
              <w:rPr>
                <w:sz w:val="20"/>
              </w:rPr>
              <w:t>■■■■</w:t>
            </w:r>
          </w:p>
        </w:tc>
        <w:tc>
          <w:tcPr>
            <w:tcW w:type="dxa" w:w="1701"/>
          </w:tcPr>
          <w:p>
            <w:r/>
            <w:r>
              <w:rPr>
                <w:sz w:val="20"/>
              </w:rPr>
              <w:t>■■■■</w:t>
            </w:r>
          </w:p>
        </w:tc>
      </w:tr>
      <w:tr>
        <w:tc>
          <w:tcPr>
            <w:tcW w:type="dxa" w:w="680"/>
          </w:tcPr>
          <w:p>
            <w:r/>
            <w:r>
              <w:rPr>
                <w:sz w:val="20"/>
              </w:rPr>
              <w:t>WP7</w:t>
            </w:r>
          </w:p>
        </w:tc>
        <w:tc>
          <w:tcPr>
            <w:tcW w:type="dxa" w:w="1701"/>
          </w:tcPr>
          <w:p>
            <w:r/>
            <w:r>
              <w:rPr>
                <w:sz w:val="20"/>
              </w:rPr>
              <w:t xml:space="preserve">  ■</w:t>
            </w:r>
          </w:p>
        </w:tc>
        <w:tc>
          <w:tcPr>
            <w:tcW w:type="dxa" w:w="1701"/>
          </w:tcPr>
          <w:p>
            <w:r/>
            <w:r>
              <w:rPr>
                <w:sz w:val="20"/>
              </w:rPr>
              <w:t>■■■</w:t>
            </w:r>
          </w:p>
        </w:tc>
        <w:tc>
          <w:tcPr>
            <w:tcW w:type="dxa" w:w="1701"/>
          </w:tcPr>
          <w:p>
            <w:r/>
            <w:r>
              <w:rPr>
                <w:sz w:val="20"/>
              </w:rPr>
              <w:t>■■■</w:t>
            </w:r>
          </w:p>
        </w:tc>
        <w:tc>
          <w:tcPr>
            <w:tcW w:type="dxa" w:w="1701"/>
          </w:tcPr>
          <w:p>
            <w:r/>
            <w:r>
              <w:rPr>
                <w:sz w:val="20"/>
              </w:rPr>
              <w:t>■■■</w:t>
            </w:r>
          </w:p>
        </w:tc>
        <w:tc>
          <w:tcPr>
            <w:tcW w:type="dxa" w:w="1701"/>
          </w:tcPr>
          <w:p>
            <w:r/>
            <w:r>
              <w:rPr>
                <w:sz w:val="20"/>
              </w:rPr>
              <w:t>■■■■</w:t>
            </w:r>
          </w:p>
        </w:tc>
      </w:tr>
    </w:tbl>
    <w:p>
      <w:pPr>
        <w:jc w:val="center"/>
      </w:pPr>
      <w:r>
        <w:rPr>
          <w:i/>
          <w:sz w:val="18"/>
        </w:rPr>
        <w:t>Figure 5. Gantt overview (each ■ ≈ one quarter of effort within the work package).</w:t>
      </w:r>
    </w:p>
    <w:p>
      <w:r>
        <w:rPr>
          <w:b/>
          <w:i w:val="0"/>
        </w:rPr>
        <w:t>Year 1 — Infrastructure and seed datasets.</w:t>
      </w:r>
    </w:p>
    <w:p>
      <w:r>
        <w:rPr>
          <w:b w:val="0"/>
          <w:i w:val="0"/>
        </w:rPr>
        <w:t>Team recruitment and work-group assignments; bi-weekly reading sessions at the NLI on fonts, images, and selected paratexts and broadsides; initial sample collection; thesauri of known entities (people, printing establishments, locations); paratext HTR and TEI-XML encoding begun; pre-trained vision and text tools test-run on samples in Q4. Deliverables: D1.1 public Zotero bibliography released; D1.2 MARGINS TEI ODD v1; D1.3 broadsides pilot dataset (≈50 items).</w:t>
      </w:r>
    </w:p>
    <w:p>
      <w:r>
        <w:rPr>
          <w:b/>
          <w:i w:val="0"/>
        </w:rPr>
        <w:t>Year 2 — Prototypes and database.</w:t>
      </w:r>
    </w:p>
    <w:p>
      <w:r>
        <w:rPr>
          <w:b w:val="0"/>
          <w:i w:val="0"/>
        </w:rPr>
        <w:t>Cloud-based shared database built (font, graphic-element, source-link, and entity tables); font-recognition prototype trained on the Y1 dataset; analogous classifier for graphic elements; knowledge extraction from paratexts via expert annotation; first ontology revision cycle. Deliverables: D2.1 font-recognition prototype (open notebook); D2.2 graphic-element classifier v1; M2 first international workshop at the NLI.</w:t>
      </w:r>
    </w:p>
    <w:p>
      <w:r>
        <w:rPr>
          <w:b/>
          <w:i w:val="0"/>
        </w:rPr>
        <w:t>Year 3 — Web tools and broadsides analysis.</w:t>
      </w:r>
    </w:p>
    <w:p>
      <w:r>
        <w:rPr>
          <w:b w:val="0"/>
          <w:i w:val="0"/>
        </w:rPr>
        <w:t>Font and graphic-element classifiers deployed as web tools integrated with the platform; eXist-db document database holds annotated TEI paratexts and broadsides; broadsides team applies the integrated pipeline to recover missing date and place attributions. Deliverables: D3.1–3.2 web tools released; D3.3 annotated paratext corpus v1; D3.4 broadsides analysis report; D3.5 platform v1 (internal).</w:t>
      </w:r>
    </w:p>
    <w:p>
      <w:r>
        <w:rPr>
          <w:b/>
          <w:i w:val="0"/>
        </w:rPr>
        <w:t>Years 4–5 — Integration, public release, and dissemination.</w:t>
      </w:r>
    </w:p>
    <w:p>
      <w:r>
        <w:rPr>
          <w:b w:val="0"/>
          <w:i w:val="0"/>
        </w:rPr>
        <w:t>Remaining corpus pages, paratexts, and broadsides collected, analysed, and added to the database; public data-presentation application launched with faceting, filtering, timeline, map, and full-text search; monographs and anthologies brought to press; final conference held in Y5. Deliverables: D5.1 SKOS font taxonomy; D5.2 image-element vocabulary; D5.3–5.4 paratext and broadsides anthologies; D5.5 public platform launch; D5.6 final conference proceedings; D5.7 five open-access monographs; D5.8 Zenodo deposit of all datasets with sustainability plan jointly with the NLI.</w:t>
      </w:r>
    </w:p>
    <w:p>
      <w:pPr>
        <w:pStyle w:val="Heading2"/>
      </w:pPr>
      <w:r>
        <w:t>3.3 Team and PI Leadership</w:t>
      </w:r>
    </w:p>
    <w:p>
      <w:r>
        <w:rPr>
          <w:b w:val="0"/>
          <w:i w:val="0"/>
        </w:rPr>
        <w:t>The project consists of an administrative coordinator and two teams — Scientific and Technological — in constant collaboration. The scientific team, headed by the PI, follows four parallel lines of inquiry corresponding to the studied elements (fonts, graphics, paratexts) and one devoted to broadsides. The digital aspects are coordinated by the DHSS Hub of the Open University of Israel and supported by external experts in computer vision and machine learning. The research group is based at the NLI.</w:t>
      </w:r>
    </w:p>
    <w:tbl>
      <w:tblPr>
        <w:tblStyle w:val="LightGrid-Accent1"/>
        <w:tblW w:type="auto" w:w="0"/>
        <w:tblLayout w:type="autofit"/>
        <w:tblLook w:firstColumn="1" w:firstRow="1" w:lastColumn="0" w:lastRow="0" w:noHBand="0" w:noVBand="1" w:val="04A0"/>
      </w:tblPr>
      <w:tblGrid>
        <w:gridCol w:w="2493"/>
        <w:gridCol w:w="2493"/>
        <w:gridCol w:w="2493"/>
        <w:gridCol w:w="2493"/>
      </w:tblGrid>
      <w:tr>
        <w:tc>
          <w:tcPr>
            <w:tcW w:type="dxa" w:w="3685"/>
            <w:shd w:val="clear" w:color="auto" w:fill="D9E2F3"/>
          </w:tcPr>
          <w:p>
            <w:r/>
            <w:r>
              <w:rPr>
                <w:b/>
                <w:sz w:val="20"/>
              </w:rPr>
              <w:t>Role</w:t>
            </w:r>
          </w:p>
        </w:tc>
        <w:tc>
          <w:tcPr>
            <w:tcW w:type="dxa" w:w="2268"/>
            <w:shd w:val="clear" w:color="auto" w:fill="D9E2F3"/>
          </w:tcPr>
          <w:p>
            <w:r/>
            <w:r>
              <w:rPr>
                <w:b/>
                <w:sz w:val="20"/>
              </w:rPr>
              <w:t>WPs</w:t>
            </w:r>
          </w:p>
        </w:tc>
        <w:tc>
          <w:tcPr>
            <w:tcW w:type="dxa" w:w="1134"/>
            <w:shd w:val="clear" w:color="auto" w:fill="D9E2F3"/>
          </w:tcPr>
          <w:p>
            <w:r/>
            <w:r>
              <w:rPr>
                <w:b/>
                <w:sz w:val="20"/>
              </w:rPr>
              <w:t>FTE</w:t>
            </w:r>
          </w:p>
        </w:tc>
        <w:tc>
          <w:tcPr>
            <w:tcW w:type="dxa" w:w="1417"/>
            <w:shd w:val="clear" w:color="auto" w:fill="D9E2F3"/>
          </w:tcPr>
          <w:p>
            <w:r/>
            <w:r>
              <w:rPr>
                <w:b/>
                <w:sz w:val="20"/>
              </w:rPr>
              <w:t>Months</w:t>
            </w:r>
          </w:p>
        </w:tc>
      </w:tr>
      <w:tr>
        <w:tc>
          <w:tcPr>
            <w:tcW w:type="dxa" w:w="3685"/>
          </w:tcPr>
          <w:p>
            <w:r/>
            <w:r>
              <w:rPr>
                <w:sz w:val="20"/>
              </w:rPr>
              <w:t>PI (Bar-Levav)</w:t>
            </w:r>
          </w:p>
        </w:tc>
        <w:tc>
          <w:tcPr>
            <w:tcW w:type="dxa" w:w="2268"/>
          </w:tcPr>
          <w:p>
            <w:r/>
            <w:r>
              <w:rPr>
                <w:sz w:val="20"/>
              </w:rPr>
              <w:t>WP1, WP4, WP5, WP7</w:t>
            </w:r>
          </w:p>
        </w:tc>
        <w:tc>
          <w:tcPr>
            <w:tcW w:type="dxa" w:w="1134"/>
          </w:tcPr>
          <w:p>
            <w:r/>
            <w:r>
              <w:rPr>
                <w:sz w:val="20"/>
              </w:rPr>
              <w:t>0.40</w:t>
            </w:r>
          </w:p>
        </w:tc>
        <w:tc>
          <w:tcPr>
            <w:tcW w:type="dxa" w:w="1417"/>
          </w:tcPr>
          <w:p>
            <w:r/>
            <w:r>
              <w:rPr>
                <w:sz w:val="20"/>
              </w:rPr>
              <w:t>60</w:t>
            </w:r>
          </w:p>
        </w:tc>
      </w:tr>
      <w:tr>
        <w:tc>
          <w:tcPr>
            <w:tcW w:type="dxa" w:w="3685"/>
          </w:tcPr>
          <w:p>
            <w:r/>
            <w:r>
              <w:rPr>
                <w:sz w:val="20"/>
              </w:rPr>
              <w:t>Post-doc 1 — Fonts</w:t>
            </w:r>
          </w:p>
        </w:tc>
        <w:tc>
          <w:tcPr>
            <w:tcW w:type="dxa" w:w="2268"/>
          </w:tcPr>
          <w:p>
            <w:r/>
            <w:r>
              <w:rPr>
                <w:sz w:val="20"/>
              </w:rPr>
              <w:t>WP2</w:t>
            </w:r>
          </w:p>
        </w:tc>
        <w:tc>
          <w:tcPr>
            <w:tcW w:type="dxa" w:w="1134"/>
          </w:tcPr>
          <w:p>
            <w:r/>
            <w:r>
              <w:rPr>
                <w:sz w:val="20"/>
              </w:rPr>
              <w:t>1.00</w:t>
            </w:r>
          </w:p>
        </w:tc>
        <w:tc>
          <w:tcPr>
            <w:tcW w:type="dxa" w:w="1417"/>
          </w:tcPr>
          <w:p>
            <w:r/>
            <w:r>
              <w:rPr>
                <w:sz w:val="20"/>
              </w:rPr>
              <w:t>48</w:t>
            </w:r>
          </w:p>
        </w:tc>
      </w:tr>
      <w:tr>
        <w:tc>
          <w:tcPr>
            <w:tcW w:type="dxa" w:w="3685"/>
          </w:tcPr>
          <w:p>
            <w:r/>
            <w:r>
              <w:rPr>
                <w:sz w:val="20"/>
              </w:rPr>
              <w:t>Post-doc 2 — Graphic elements</w:t>
            </w:r>
          </w:p>
        </w:tc>
        <w:tc>
          <w:tcPr>
            <w:tcW w:type="dxa" w:w="2268"/>
          </w:tcPr>
          <w:p>
            <w:r/>
            <w:r>
              <w:rPr>
                <w:sz w:val="20"/>
              </w:rPr>
              <w:t>WP3</w:t>
            </w:r>
          </w:p>
        </w:tc>
        <w:tc>
          <w:tcPr>
            <w:tcW w:type="dxa" w:w="1134"/>
          </w:tcPr>
          <w:p>
            <w:r/>
            <w:r>
              <w:rPr>
                <w:sz w:val="20"/>
              </w:rPr>
              <w:t>1.00</w:t>
            </w:r>
          </w:p>
        </w:tc>
        <w:tc>
          <w:tcPr>
            <w:tcW w:type="dxa" w:w="1417"/>
          </w:tcPr>
          <w:p>
            <w:r/>
            <w:r>
              <w:rPr>
                <w:sz w:val="20"/>
              </w:rPr>
              <w:t>48</w:t>
            </w:r>
          </w:p>
        </w:tc>
      </w:tr>
      <w:tr>
        <w:tc>
          <w:tcPr>
            <w:tcW w:type="dxa" w:w="3685"/>
          </w:tcPr>
          <w:p>
            <w:r/>
            <w:r>
              <w:rPr>
                <w:sz w:val="20"/>
              </w:rPr>
              <w:t>Post-doc 3 — Paratexts</w:t>
            </w:r>
          </w:p>
        </w:tc>
        <w:tc>
          <w:tcPr>
            <w:tcW w:type="dxa" w:w="2268"/>
          </w:tcPr>
          <w:p>
            <w:r/>
            <w:r>
              <w:rPr>
                <w:sz w:val="20"/>
              </w:rPr>
              <w:t>WP4</w:t>
            </w:r>
          </w:p>
        </w:tc>
        <w:tc>
          <w:tcPr>
            <w:tcW w:type="dxa" w:w="1134"/>
          </w:tcPr>
          <w:p>
            <w:r/>
            <w:r>
              <w:rPr>
                <w:sz w:val="20"/>
              </w:rPr>
              <w:t>1.00</w:t>
            </w:r>
          </w:p>
        </w:tc>
        <w:tc>
          <w:tcPr>
            <w:tcW w:type="dxa" w:w="1417"/>
          </w:tcPr>
          <w:p>
            <w:r/>
            <w:r>
              <w:rPr>
                <w:sz w:val="20"/>
              </w:rPr>
              <w:t>48</w:t>
            </w:r>
          </w:p>
        </w:tc>
      </w:tr>
      <w:tr>
        <w:tc>
          <w:tcPr>
            <w:tcW w:type="dxa" w:w="3685"/>
          </w:tcPr>
          <w:p>
            <w:r/>
            <w:r>
              <w:rPr>
                <w:sz w:val="20"/>
              </w:rPr>
              <w:t>Scientific worker — Broadsides</w:t>
            </w:r>
          </w:p>
        </w:tc>
        <w:tc>
          <w:tcPr>
            <w:tcW w:type="dxa" w:w="2268"/>
          </w:tcPr>
          <w:p>
            <w:r/>
            <w:r>
              <w:rPr>
                <w:sz w:val="20"/>
              </w:rPr>
              <w:t>WP5</w:t>
            </w:r>
          </w:p>
        </w:tc>
        <w:tc>
          <w:tcPr>
            <w:tcW w:type="dxa" w:w="1134"/>
          </w:tcPr>
          <w:p>
            <w:r/>
            <w:r>
              <w:rPr>
                <w:sz w:val="20"/>
              </w:rPr>
              <w:t>1.00</w:t>
            </w:r>
          </w:p>
        </w:tc>
        <w:tc>
          <w:tcPr>
            <w:tcW w:type="dxa" w:w="1417"/>
          </w:tcPr>
          <w:p>
            <w:r/>
            <w:r>
              <w:rPr>
                <w:sz w:val="20"/>
              </w:rPr>
              <w:t>54</w:t>
            </w:r>
          </w:p>
        </w:tc>
      </w:tr>
      <w:tr>
        <w:tc>
          <w:tcPr>
            <w:tcW w:type="dxa" w:w="3685"/>
          </w:tcPr>
          <w:p>
            <w:r/>
            <w:r>
              <w:rPr>
                <w:sz w:val="20"/>
              </w:rPr>
              <w:t>Scientific worker — Encoding</w:t>
            </w:r>
          </w:p>
        </w:tc>
        <w:tc>
          <w:tcPr>
            <w:tcW w:type="dxa" w:w="2268"/>
          </w:tcPr>
          <w:p>
            <w:r/>
            <w:r>
              <w:rPr>
                <w:sz w:val="20"/>
              </w:rPr>
              <w:t>WP4, WP6</w:t>
            </w:r>
          </w:p>
        </w:tc>
        <w:tc>
          <w:tcPr>
            <w:tcW w:type="dxa" w:w="1134"/>
          </w:tcPr>
          <w:p>
            <w:r/>
            <w:r>
              <w:rPr>
                <w:sz w:val="20"/>
              </w:rPr>
              <w:t>1.00</w:t>
            </w:r>
          </w:p>
        </w:tc>
        <w:tc>
          <w:tcPr>
            <w:tcW w:type="dxa" w:w="1417"/>
          </w:tcPr>
          <w:p>
            <w:r/>
            <w:r>
              <w:rPr>
                <w:sz w:val="20"/>
              </w:rPr>
              <w:t>54</w:t>
            </w:r>
          </w:p>
        </w:tc>
      </w:tr>
      <w:tr>
        <w:tc>
          <w:tcPr>
            <w:tcW w:type="dxa" w:w="3685"/>
          </w:tcPr>
          <w:p>
            <w:r/>
            <w:r>
              <w:rPr>
                <w:sz w:val="20"/>
              </w:rPr>
              <w:t>Data scientist (DHSS Hub)</w:t>
            </w:r>
          </w:p>
        </w:tc>
        <w:tc>
          <w:tcPr>
            <w:tcW w:type="dxa" w:w="2268"/>
          </w:tcPr>
          <w:p>
            <w:r/>
            <w:r>
              <w:rPr>
                <w:sz w:val="20"/>
              </w:rPr>
              <w:t>WP6</w:t>
            </w:r>
          </w:p>
        </w:tc>
        <w:tc>
          <w:tcPr>
            <w:tcW w:type="dxa" w:w="1134"/>
          </w:tcPr>
          <w:p>
            <w:r/>
            <w:r>
              <w:rPr>
                <w:sz w:val="20"/>
              </w:rPr>
              <w:t>1.00</w:t>
            </w:r>
          </w:p>
        </w:tc>
        <w:tc>
          <w:tcPr>
            <w:tcW w:type="dxa" w:w="1417"/>
          </w:tcPr>
          <w:p>
            <w:r/>
            <w:r>
              <w:rPr>
                <w:sz w:val="20"/>
              </w:rPr>
              <w:t>60</w:t>
            </w:r>
          </w:p>
        </w:tc>
      </w:tr>
      <w:tr>
        <w:tc>
          <w:tcPr>
            <w:tcW w:type="dxa" w:w="3685"/>
          </w:tcPr>
          <w:p>
            <w:r/>
            <w:r>
              <w:rPr>
                <w:sz w:val="20"/>
              </w:rPr>
              <w:t>DHSS Hub developer support</w:t>
            </w:r>
          </w:p>
        </w:tc>
        <w:tc>
          <w:tcPr>
            <w:tcW w:type="dxa" w:w="2268"/>
          </w:tcPr>
          <w:p>
            <w:r/>
            <w:r>
              <w:rPr>
                <w:sz w:val="20"/>
              </w:rPr>
              <w:t>WP6</w:t>
            </w:r>
          </w:p>
        </w:tc>
        <w:tc>
          <w:tcPr>
            <w:tcW w:type="dxa" w:w="1134"/>
          </w:tcPr>
          <w:p>
            <w:r/>
            <w:r>
              <w:rPr>
                <w:sz w:val="20"/>
              </w:rPr>
              <w:t>0.50</w:t>
            </w:r>
          </w:p>
        </w:tc>
        <w:tc>
          <w:tcPr>
            <w:tcW w:type="dxa" w:w="1417"/>
          </w:tcPr>
          <w:p>
            <w:r/>
            <w:r>
              <w:rPr>
                <w:sz w:val="20"/>
              </w:rPr>
              <w:t>60</w:t>
            </w:r>
          </w:p>
        </w:tc>
      </w:tr>
      <w:tr>
        <w:tc>
          <w:tcPr>
            <w:tcW w:type="dxa" w:w="3685"/>
          </w:tcPr>
          <w:p>
            <w:r/>
            <w:r>
              <w:rPr>
                <w:sz w:val="20"/>
              </w:rPr>
              <w:t>Administrative coordinator</w:t>
            </w:r>
          </w:p>
        </w:tc>
        <w:tc>
          <w:tcPr>
            <w:tcW w:type="dxa" w:w="2268"/>
          </w:tcPr>
          <w:p>
            <w:r/>
            <w:r>
              <w:rPr>
                <w:sz w:val="20"/>
              </w:rPr>
              <w:t>WP1, WP7</w:t>
            </w:r>
          </w:p>
        </w:tc>
        <w:tc>
          <w:tcPr>
            <w:tcW w:type="dxa" w:w="1134"/>
          </w:tcPr>
          <w:p>
            <w:r/>
            <w:r>
              <w:rPr>
                <w:sz w:val="20"/>
              </w:rPr>
              <w:t>0.50</w:t>
            </w:r>
          </w:p>
        </w:tc>
        <w:tc>
          <w:tcPr>
            <w:tcW w:type="dxa" w:w="1417"/>
          </w:tcPr>
          <w:p>
            <w:r/>
            <w:r>
              <w:rPr>
                <w:sz w:val="20"/>
              </w:rPr>
              <w:t>60</w:t>
            </w:r>
          </w:p>
        </w:tc>
      </w:tr>
    </w:tbl>
    <w:p>
      <w:pPr>
        <w:jc w:val="center"/>
      </w:pPr>
      <w:r>
        <w:rPr>
          <w:i/>
          <w:sz w:val="18"/>
        </w:rPr>
        <w:t>Table 3. Team and effort allocation. PI commitment exceeds the 30% AdG minimum.</w:t>
      </w:r>
    </w:p>
    <w:p>
      <w:r>
        <w:rPr>
          <w:b w:val="0"/>
          <w:i w:val="0"/>
        </w:rPr>
        <w:t>The PI has a sustained record of leading funded collaborative projects: the Israel Science Foundation grant "Reclaiming the Place of Jewish Broadsheets in Jewish Culture" (468/23, 2023–2026, ≈120,000 EUR, head of a research group of four), the ISF-supported 2024 international 3-day workshop at the NLI on early modern Jewish broadsides, and the international winter school on Jewish studies co-organised since 2017 with colleagues at the University of Amsterdam (Profs. Zwiep, Wallet) and since 2021 at Université Paris 1 (Prof. Hobson-Faure). This experience, together with the institutional support of the DHSS Hub, provides the operational backbone needed to deliver an integrated five-year programme of this scale.</w:t>
      </w:r>
    </w:p>
    <w:p>
      <w:pPr>
        <w:pStyle w:val="Heading1"/>
      </w:pPr>
      <w:r>
        <w:t>4. Risk Assessment and Mitigation</w:t>
      </w:r>
    </w:p>
    <w:tbl>
      <w:tblPr>
        <w:tblStyle w:val="LightGrid-Accent1"/>
        <w:tblW w:type="auto" w:w="0"/>
        <w:tblLayout w:type="autofit"/>
        <w:tblLook w:firstColumn="1" w:firstRow="1" w:lastColumn="0" w:lastRow="0" w:noHBand="0" w:noVBand="1" w:val="04A0"/>
      </w:tblPr>
      <w:tblGrid>
        <w:gridCol w:w="2493"/>
        <w:gridCol w:w="2493"/>
        <w:gridCol w:w="2493"/>
        <w:gridCol w:w="2493"/>
      </w:tblGrid>
      <w:tr>
        <w:tc>
          <w:tcPr>
            <w:tcW w:type="dxa" w:w="3402"/>
            <w:shd w:val="clear" w:color="auto" w:fill="D9E2F3"/>
          </w:tcPr>
          <w:p>
            <w:r/>
            <w:r>
              <w:rPr>
                <w:b/>
                <w:sz w:val="20"/>
              </w:rPr>
              <w:t>Risk</w:t>
            </w:r>
          </w:p>
        </w:tc>
        <w:tc>
          <w:tcPr>
            <w:tcW w:type="dxa" w:w="1020"/>
            <w:shd w:val="clear" w:color="auto" w:fill="D9E2F3"/>
          </w:tcPr>
          <w:p>
            <w:r/>
            <w:r>
              <w:rPr>
                <w:b/>
                <w:sz w:val="20"/>
              </w:rPr>
              <w:t>Likelihood</w:t>
            </w:r>
          </w:p>
        </w:tc>
        <w:tc>
          <w:tcPr>
            <w:tcW w:type="dxa" w:w="907"/>
            <w:shd w:val="clear" w:color="auto" w:fill="D9E2F3"/>
          </w:tcPr>
          <w:p>
            <w:r/>
            <w:r>
              <w:rPr>
                <w:b/>
                <w:sz w:val="20"/>
              </w:rPr>
              <w:t>Impact</w:t>
            </w:r>
          </w:p>
        </w:tc>
        <w:tc>
          <w:tcPr>
            <w:tcW w:type="dxa" w:w="4309"/>
            <w:shd w:val="clear" w:color="auto" w:fill="D9E2F3"/>
          </w:tcPr>
          <w:p>
            <w:r/>
            <w:r>
              <w:rPr>
                <w:b/>
                <w:sz w:val="20"/>
              </w:rPr>
              <w:t>Mitigation</w:t>
            </w:r>
          </w:p>
        </w:tc>
      </w:tr>
      <w:tr>
        <w:tc>
          <w:tcPr>
            <w:tcW w:type="dxa" w:w="3402"/>
          </w:tcPr>
          <w:p>
            <w:r/>
            <w:r>
              <w:rPr>
                <w:sz w:val="20"/>
              </w:rPr>
              <w:t>Recruitment delays for specialised post-docs (esp. a data scientist with Hebrew DH experience).</w:t>
            </w:r>
          </w:p>
        </w:tc>
        <w:tc>
          <w:tcPr>
            <w:tcW w:type="dxa" w:w="1020"/>
          </w:tcPr>
          <w:p>
            <w:r/>
            <w:r>
              <w:rPr>
                <w:sz w:val="20"/>
              </w:rPr>
              <w:t>Medium</w:t>
            </w:r>
          </w:p>
        </w:tc>
        <w:tc>
          <w:tcPr>
            <w:tcW w:type="dxa" w:w="907"/>
          </w:tcPr>
          <w:p>
            <w:r/>
            <w:r>
              <w:rPr>
                <w:sz w:val="20"/>
              </w:rPr>
              <w:t>Medium</w:t>
            </w:r>
          </w:p>
        </w:tc>
        <w:tc>
          <w:tcPr>
            <w:tcW w:type="dxa" w:w="4309"/>
          </w:tcPr>
          <w:p>
            <w:r/>
            <w:r>
              <w:rPr>
                <w:sz w:val="20"/>
              </w:rPr>
              <w:t>International call launched at M0; pre-identified candidates via collaborator networks (Amsterdam, Paris, NLI, MPIWG); option to split the data-scientist role between two part-time experts.</w:t>
            </w:r>
          </w:p>
        </w:tc>
      </w:tr>
      <w:tr>
        <w:tc>
          <w:tcPr>
            <w:tcW w:type="dxa" w:w="3402"/>
          </w:tcPr>
          <w:p>
            <w:r/>
            <w:r>
              <w:rPr>
                <w:sz w:val="20"/>
              </w:rPr>
              <w:t>Restricted access to fragmentary or unique copies in partner libraries.</w:t>
            </w:r>
          </w:p>
        </w:tc>
        <w:tc>
          <w:tcPr>
            <w:tcW w:type="dxa" w:w="1020"/>
          </w:tcPr>
          <w:p>
            <w:r/>
            <w:r>
              <w:rPr>
                <w:sz w:val="20"/>
              </w:rPr>
              <w:t>Low</w:t>
            </w:r>
          </w:p>
        </w:tc>
        <w:tc>
          <w:tcPr>
            <w:tcW w:type="dxa" w:w="907"/>
          </w:tcPr>
          <w:p>
            <w:r/>
            <w:r>
              <w:rPr>
                <w:sz w:val="20"/>
              </w:rPr>
              <w:t>Medium</w:t>
            </w:r>
          </w:p>
        </w:tc>
        <w:tc>
          <w:tcPr>
            <w:tcW w:type="dxa" w:w="4309"/>
          </w:tcPr>
          <w:p>
            <w:r/>
            <w:r>
              <w:rPr>
                <w:sz w:val="20"/>
              </w:rPr>
              <w:t>Pre-secured cooperation with NLI, BL, Bodleian, BnF, JTS; IIIF-based remote inspection where digitised; comparative reconstruction across witnesses for fragments.</w:t>
            </w:r>
          </w:p>
        </w:tc>
      </w:tr>
      <w:tr>
        <w:tc>
          <w:tcPr>
            <w:tcW w:type="dxa" w:w="3402"/>
          </w:tcPr>
          <w:p>
            <w:r/>
            <w:r>
              <w:rPr>
                <w:sz w:val="20"/>
              </w:rPr>
              <w:t>Rapid obsolescence of ML/CV tools mid-project.</w:t>
            </w:r>
          </w:p>
        </w:tc>
        <w:tc>
          <w:tcPr>
            <w:tcW w:type="dxa" w:w="1020"/>
          </w:tcPr>
          <w:p>
            <w:r/>
            <w:r>
              <w:rPr>
                <w:sz w:val="20"/>
              </w:rPr>
              <w:t>High</w:t>
            </w:r>
          </w:p>
        </w:tc>
        <w:tc>
          <w:tcPr>
            <w:tcW w:type="dxa" w:w="907"/>
          </w:tcPr>
          <w:p>
            <w:r/>
            <w:r>
              <w:rPr>
                <w:sz w:val="20"/>
              </w:rPr>
              <w:t>Medium</w:t>
            </w:r>
          </w:p>
        </w:tc>
        <w:tc>
          <w:tcPr>
            <w:tcW w:type="dxa" w:w="4309"/>
          </w:tcPr>
          <w:p>
            <w:r/>
            <w:r>
              <w:rPr>
                <w:sz w:val="20"/>
              </w:rPr>
              <w:t>Modular architecture (§2.4); annual technology review with DHSS Hub; WP6 explicitly tasked with monitoring emerging tools; data formats kept tool-agnostic (TEI, IIIF, SKOS, RDF).</w:t>
            </w:r>
          </w:p>
        </w:tc>
      </w:tr>
      <w:tr>
        <w:tc>
          <w:tcPr>
            <w:tcW w:type="dxa" w:w="3402"/>
          </w:tcPr>
          <w:p>
            <w:r/>
            <w:r>
              <w:rPr>
                <w:sz w:val="20"/>
              </w:rPr>
              <w:t>HTR accuracy below target on early Hebrew typefaces.</w:t>
            </w:r>
          </w:p>
        </w:tc>
        <w:tc>
          <w:tcPr>
            <w:tcW w:type="dxa" w:w="1020"/>
          </w:tcPr>
          <w:p>
            <w:r/>
            <w:r>
              <w:rPr>
                <w:sz w:val="20"/>
              </w:rPr>
              <w:t>Medium</w:t>
            </w:r>
          </w:p>
        </w:tc>
        <w:tc>
          <w:tcPr>
            <w:tcW w:type="dxa" w:w="907"/>
          </w:tcPr>
          <w:p>
            <w:r/>
            <w:r>
              <w:rPr>
                <w:sz w:val="20"/>
              </w:rPr>
              <w:t>Medium</w:t>
            </w:r>
          </w:p>
        </w:tc>
        <w:tc>
          <w:tcPr>
            <w:tcW w:type="dxa" w:w="4309"/>
          </w:tcPr>
          <w:p>
            <w:r/>
            <w:r>
              <w:rPr>
                <w:sz w:val="20"/>
              </w:rPr>
              <w:t>Hybrid pipeline with expert transcription for priority corpus; fine-tuning cycles built into Y1–Y2; ground-truth dataset released as a public benchmark.</w:t>
            </w:r>
          </w:p>
        </w:tc>
      </w:tr>
      <w:tr>
        <w:tc>
          <w:tcPr>
            <w:tcW w:type="dxa" w:w="3402"/>
          </w:tcPr>
          <w:p>
            <w:r/>
            <w:r>
              <w:rPr>
                <w:sz w:val="20"/>
              </w:rPr>
              <w:t>Volume of broadsides exceeding cataloguing capacity.</w:t>
            </w:r>
          </w:p>
        </w:tc>
        <w:tc>
          <w:tcPr>
            <w:tcW w:type="dxa" w:w="1020"/>
          </w:tcPr>
          <w:p>
            <w:r/>
            <w:r>
              <w:rPr>
                <w:sz w:val="20"/>
              </w:rPr>
              <w:t>Medium</w:t>
            </w:r>
          </w:p>
        </w:tc>
        <w:tc>
          <w:tcPr>
            <w:tcW w:type="dxa" w:w="907"/>
          </w:tcPr>
          <w:p>
            <w:r/>
            <w:r>
              <w:rPr>
                <w:sz w:val="20"/>
              </w:rPr>
              <w:t>Low</w:t>
            </w:r>
          </w:p>
        </w:tc>
        <w:tc>
          <w:tcPr>
            <w:tcW w:type="dxa" w:w="4309"/>
          </w:tcPr>
          <w:p>
            <w:r/>
            <w:r>
              <w:rPr>
                <w:sz w:val="20"/>
              </w:rPr>
              <w:t>Chronological prioritisation; reuse of font/graphics classifiers to accelerate provenance attribution; published interim catalogue at Y3.</w:t>
            </w:r>
          </w:p>
        </w:tc>
      </w:tr>
      <w:tr>
        <w:tc>
          <w:tcPr>
            <w:tcW w:type="dxa" w:w="3402"/>
          </w:tcPr>
          <w:p>
            <w:r/>
            <w:r>
              <w:rPr>
                <w:sz w:val="20"/>
              </w:rPr>
              <w:t>Cultural interpretation risk — findings remain descriptive rather than analytical.</w:t>
            </w:r>
          </w:p>
        </w:tc>
        <w:tc>
          <w:tcPr>
            <w:tcW w:type="dxa" w:w="1020"/>
          </w:tcPr>
          <w:p>
            <w:r/>
            <w:r>
              <w:rPr>
                <w:sz w:val="20"/>
              </w:rPr>
              <w:t>Low</w:t>
            </w:r>
          </w:p>
        </w:tc>
        <w:tc>
          <w:tcPr>
            <w:tcW w:type="dxa" w:w="907"/>
          </w:tcPr>
          <w:p>
            <w:r/>
            <w:r>
              <w:rPr>
                <w:sz w:val="20"/>
              </w:rPr>
              <w:t>High</w:t>
            </w:r>
          </w:p>
        </w:tc>
        <w:tc>
          <w:tcPr>
            <w:tcW w:type="dxa" w:w="4309"/>
          </w:tcPr>
          <w:p>
            <w:r/>
            <w:r>
              <w:rPr>
                <w:sz w:val="20"/>
              </w:rPr>
              <w:t>Bi-weekly interdisciplinary reading sessions; structured engagement with external advisors; the three integrative research questions (Part B1) drive monograph planning from Y2 onward; final conference frames cumulative interpretation.</w:t>
            </w:r>
          </w:p>
        </w:tc>
      </w:tr>
    </w:tbl>
    <w:p>
      <w:pPr>
        <w:jc w:val="center"/>
      </w:pPr>
      <w:r>
        <w:rPr>
          <w:i/>
          <w:sz w:val="18"/>
        </w:rPr>
        <w:t>Table 4. Risk register with mitigations.</w:t>
      </w:r>
    </w:p>
    <w:p>
      <w:r>
        <w:rPr>
          <w:b w:val="0"/>
          <w:i w:val="0"/>
        </w:rPr>
        <w:t>Risk is not external to the methodology but internalised by it. The modular WP design, the falsifiable-ontology principle, and expert review at every iteration together ensure that the project remains coherent and productive even as the surrounding technological landscape continues to evolve.</w:t>
      </w:r>
    </w:p>
    <w:p>
      <w:pPr>
        <w:pStyle w:val="Heading1"/>
      </w:pPr>
      <w:r>
        <w:t>References (do not count toward the 7-page limit)</w:t>
      </w:r>
    </w:p>
    <w:p>
      <w:r>
        <w:rPr>
          <w:b w:val="0"/>
          <w:i w:val="0"/>
        </w:rPr>
        <w:t>[Bibliography to be inserted from the shared MARGINS Zotero library, expanded with the comparative non-Hebrew DH and book-history references (Valleriani / Sphaera; EMOP; Pettegree / USTC; BVH-Tours; CorDeep; Ravenscroft) and the updated 2024–2025 ML/CV literature (DINOv2; SigLIP; recent Hebrew HTR work). The Zotero library is exported in the project’s reference style and embedded in the final PDF.]</w:t>
      </w:r>
    </w:p>
    <w:p>
      <w:pPr>
        <w:pStyle w:val="Heading1"/>
      </w:pPr>
      <w:r>
        <w:t>Appendix — Funding ID (mandatory; does not count toward page limit)</w:t>
      </w:r>
    </w:p>
    <w:p>
      <w:r>
        <w:rPr>
          <w:b/>
          <w:i w:val="0"/>
        </w:rPr>
        <w:t>Current research grants:</w:t>
      </w:r>
    </w:p>
    <w:tbl>
      <w:tblPr>
        <w:tblStyle w:val="LightGrid-Accent1"/>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3118"/>
            <w:shd w:val="clear" w:color="auto" w:fill="D9E2F3"/>
          </w:tcPr>
          <w:p>
            <w:r/>
            <w:r>
              <w:rPr>
                <w:b/>
                <w:sz w:val="20"/>
              </w:rPr>
              <w:t>Project Title</w:t>
            </w:r>
          </w:p>
        </w:tc>
        <w:tc>
          <w:tcPr>
            <w:tcW w:type="dxa" w:w="1814"/>
            <w:shd w:val="clear" w:color="auto" w:fill="D9E2F3"/>
          </w:tcPr>
          <w:p>
            <w:r/>
            <w:r>
              <w:rPr>
                <w:b/>
                <w:sz w:val="20"/>
              </w:rPr>
              <w:t>Funding source</w:t>
            </w:r>
          </w:p>
        </w:tc>
        <w:tc>
          <w:tcPr>
            <w:tcW w:type="dxa" w:w="1361"/>
            <w:shd w:val="clear" w:color="auto" w:fill="D9E2F3"/>
          </w:tcPr>
          <w:p>
            <w:r/>
            <w:r>
              <w:rPr>
                <w:b/>
                <w:sz w:val="20"/>
              </w:rPr>
              <w:t>Amount (EUR)</w:t>
            </w:r>
          </w:p>
        </w:tc>
        <w:tc>
          <w:tcPr>
            <w:tcW w:type="dxa" w:w="1020"/>
            <w:shd w:val="clear" w:color="auto" w:fill="D9E2F3"/>
          </w:tcPr>
          <w:p>
            <w:r/>
            <w:r>
              <w:rPr>
                <w:b/>
                <w:sz w:val="20"/>
              </w:rPr>
              <w:t>Period</w:t>
            </w:r>
          </w:p>
        </w:tc>
        <w:tc>
          <w:tcPr>
            <w:tcW w:type="dxa" w:w="2268"/>
            <w:shd w:val="clear" w:color="auto" w:fill="D9E2F3"/>
          </w:tcPr>
          <w:p>
            <w:r/>
            <w:r>
              <w:rPr>
                <w:b/>
                <w:sz w:val="20"/>
              </w:rPr>
              <w:t>Role of the PI</w:t>
            </w:r>
          </w:p>
        </w:tc>
        <w:tc>
          <w:tcPr>
            <w:tcW w:type="dxa" w:w="2268"/>
            <w:shd w:val="clear" w:color="auto" w:fill="D9E2F3"/>
          </w:tcPr>
          <w:p>
            <w:r/>
            <w:r>
              <w:rPr>
                <w:b/>
                <w:sz w:val="20"/>
              </w:rPr>
              <w:t>Relation to ERC proposal</w:t>
            </w:r>
          </w:p>
        </w:tc>
      </w:tr>
      <w:tr>
        <w:tc>
          <w:tcPr>
            <w:tcW w:type="dxa" w:w="3118"/>
          </w:tcPr>
          <w:p>
            <w:r/>
            <w:r>
              <w:rPr>
                <w:sz w:val="20"/>
              </w:rPr>
              <w:t>Reclaiming the Place of Jewish Broadsheets in Jewish Culture (no. 468/23)</w:t>
            </w:r>
          </w:p>
        </w:tc>
        <w:tc>
          <w:tcPr>
            <w:tcW w:type="dxa" w:w="1814"/>
          </w:tcPr>
          <w:p>
            <w:r/>
            <w:r>
              <w:rPr>
                <w:sz w:val="20"/>
              </w:rPr>
              <w:t>Israel Science Foundation</w:t>
            </w:r>
          </w:p>
        </w:tc>
        <w:tc>
          <w:tcPr>
            <w:tcW w:type="dxa" w:w="1361"/>
          </w:tcPr>
          <w:p>
            <w:r/>
            <w:r>
              <w:rPr>
                <w:sz w:val="20"/>
              </w:rPr>
              <w:t>≈120,000 (≈30,000 p.a.)</w:t>
            </w:r>
          </w:p>
        </w:tc>
        <w:tc>
          <w:tcPr>
            <w:tcW w:type="dxa" w:w="1020"/>
          </w:tcPr>
          <w:p>
            <w:r/>
            <w:r>
              <w:rPr>
                <w:sz w:val="20"/>
              </w:rPr>
              <w:t>2023–2026</w:t>
            </w:r>
          </w:p>
        </w:tc>
        <w:tc>
          <w:tcPr>
            <w:tcW w:type="dxa" w:w="2268"/>
          </w:tcPr>
          <w:p>
            <w:r/>
            <w:r>
              <w:rPr>
                <w:sz w:val="20"/>
              </w:rPr>
              <w:t>Initiator and head of research group (1 post-graduate, 1 graduate, 2 undergraduates)</w:t>
            </w:r>
          </w:p>
        </w:tc>
        <w:tc>
          <w:tcPr>
            <w:tcW w:type="dxa" w:w="2268"/>
          </w:tcPr>
          <w:p>
            <w:r/>
            <w:r>
              <w:rPr>
                <w:sz w:val="20"/>
              </w:rPr>
              <w:t>Partly related — broadsides will be incorporated into MARGINS as the test-case (WP5)</w:t>
            </w:r>
          </w:p>
        </w:tc>
      </w:tr>
    </w:tbl>
    <w:p>
      <w:r>
        <w:rPr>
          <w:b/>
          <w:i w:val="0"/>
        </w:rPr>
        <w:t>On-going / submitted grant applications:</w:t>
      </w:r>
    </w:p>
    <w:p>
      <w:r>
        <w:rPr>
          <w:b w:val="0"/>
          <w:i w:val="0"/>
        </w:rPr>
        <w:t>None.</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