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81384163"/>
        <w:docPartObj>
          <w:docPartGallery w:val="Cover Pages"/>
          <w:docPartUnique/>
        </w:docPartObj>
      </w:sdtPr>
      <w:sdtContent>
        <w:p w:rsidR="00D5251A" w:rsidRDefault="00D5251A" w:rsidP="00D5251A">
          <w:pPr>
            <w:jc w:val="center"/>
          </w:pPr>
          <w:r>
            <w:rPr>
              <w:noProof/>
              <w:lang w:eastAsia="de-DE"/>
            </w:rPr>
            <w:drawing>
              <wp:inline distT="0" distB="0" distL="0" distR="0" wp14:anchorId="458B3818" wp14:editId="0B4FC5E4">
                <wp:extent cx="1462775" cy="1481394"/>
                <wp:effectExtent l="0" t="0" r="4445" b="5080"/>
                <wp:docPr id="21" name="Grafik 20">
                  <a:extLst xmlns:a="http://schemas.openxmlformats.org/drawingml/2006/main">
                    <a:ext uri="{FF2B5EF4-FFF2-40B4-BE49-F238E27FC236}">
                      <a16:creationId xmlns:a16="http://schemas.microsoft.com/office/drawing/2014/main" id="{CF04C91E-37D6-1E4D-8E00-38723BBA0B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0">
                          <a:extLst>
                            <a:ext uri="{FF2B5EF4-FFF2-40B4-BE49-F238E27FC236}">
                              <a16:creationId xmlns:a16="http://schemas.microsoft.com/office/drawing/2014/main" id="{CF04C91E-37D6-1E4D-8E00-38723BBA0B84}"/>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62775" cy="1481394"/>
                        </a:xfrm>
                        <a:prstGeom prst="rect">
                          <a:avLst/>
                        </a:prstGeom>
                      </pic:spPr>
                    </pic:pic>
                  </a:graphicData>
                </a:graphic>
              </wp:inline>
            </w:drawing>
          </w:r>
        </w:p>
        <w:tbl>
          <w:tblPr>
            <w:tblpPr w:leftFromText="187" w:rightFromText="187" w:vertAnchor="page" w:horzAnchor="margin" w:tblpXSpec="center" w:tblpY="4666"/>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CF1744" w:rsidTr="00CF1744">
            <w:sdt>
              <w:sdtPr>
                <w:rPr>
                  <w:color w:val="2E74B5" w:themeColor="accent1" w:themeShade="BF"/>
                  <w:sz w:val="24"/>
                  <w:szCs w:val="24"/>
                </w:rPr>
                <w:alias w:val="Firma"/>
                <w:id w:val="13406915"/>
                <w:placeholder>
                  <w:docPart w:val="F9ABDDB206344413934C1D1121DCF7C0"/>
                </w:placeholde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rsidR="00CF1744" w:rsidRDefault="00CF1744" w:rsidP="00CF1744">
                    <w:pPr>
                      <w:pStyle w:val="KeinLeerraum"/>
                      <w:rPr>
                        <w:color w:val="2E74B5" w:themeColor="accent1" w:themeShade="BF"/>
                        <w:sz w:val="24"/>
                      </w:rPr>
                    </w:pPr>
                    <w:r>
                      <w:rPr>
                        <w:color w:val="2E74B5" w:themeColor="accent1" w:themeShade="BF"/>
                        <w:sz w:val="24"/>
                        <w:szCs w:val="24"/>
                      </w:rPr>
                      <w:t>Audicon GmbH</w:t>
                    </w:r>
                  </w:p>
                </w:tc>
              </w:sdtContent>
            </w:sdt>
          </w:tr>
          <w:tr w:rsidR="00CF1744" w:rsidTr="00CF1744">
            <w:tc>
              <w:tcPr>
                <w:tcW w:w="7246" w:type="dxa"/>
              </w:tcPr>
              <w:sdt>
                <w:sdtPr>
                  <w:rPr>
                    <w:rFonts w:asciiTheme="majorHAnsi" w:eastAsiaTheme="majorEastAsia" w:hAnsiTheme="majorHAnsi" w:cstheme="majorBidi"/>
                    <w:color w:val="5B9BD5" w:themeColor="accent1"/>
                    <w:sz w:val="52"/>
                    <w:szCs w:val="52"/>
                  </w:rPr>
                  <w:alias w:val="Titel"/>
                  <w:id w:val="13406919"/>
                  <w:placeholder>
                    <w:docPart w:val="823B3416F71B4755B6CFAA46A774055D"/>
                  </w:placeholder>
                  <w:dataBinding w:prefixMappings="xmlns:ns0='http://schemas.openxmlformats.org/package/2006/metadata/core-properties' xmlns:ns1='http://purl.org/dc/elements/1.1/'" w:xpath="/ns0:coreProperties[1]/ns1:title[1]" w:storeItemID="{6C3C8BC8-F283-45AE-878A-BAB7291924A1}"/>
                  <w:text/>
                </w:sdtPr>
                <w:sdtContent>
                  <w:p w:rsidR="00CF1744" w:rsidRDefault="00CF1744" w:rsidP="00CF1744">
                    <w:pPr>
                      <w:pStyle w:val="KeinLeerraum"/>
                      <w:spacing w:line="216" w:lineRule="auto"/>
                      <w:rPr>
                        <w:rFonts w:asciiTheme="majorHAnsi" w:eastAsiaTheme="majorEastAsia" w:hAnsiTheme="majorHAnsi" w:cstheme="majorBidi"/>
                        <w:color w:val="5B9BD5" w:themeColor="accent1"/>
                        <w:sz w:val="88"/>
                        <w:szCs w:val="88"/>
                      </w:rPr>
                    </w:pPr>
                    <w:r w:rsidRPr="00D5251A">
                      <w:rPr>
                        <w:rFonts w:asciiTheme="majorHAnsi" w:eastAsiaTheme="majorEastAsia" w:hAnsiTheme="majorHAnsi" w:cstheme="majorBidi"/>
                        <w:color w:val="5B9BD5" w:themeColor="accent1"/>
                        <w:sz w:val="52"/>
                        <w:szCs w:val="52"/>
                      </w:rPr>
                      <w:t>IDEA Sparkassen App – Finanzen</w:t>
                    </w:r>
                    <w:r>
                      <w:rPr>
                        <w:rFonts w:asciiTheme="majorHAnsi" w:eastAsiaTheme="majorEastAsia" w:hAnsiTheme="majorHAnsi" w:cstheme="majorBidi"/>
                        <w:color w:val="5B9BD5" w:themeColor="accent1"/>
                        <w:sz w:val="52"/>
                        <w:szCs w:val="52"/>
                      </w:rPr>
                      <w:t>-</w:t>
                    </w:r>
                    <w:r w:rsidRPr="00D5251A">
                      <w:rPr>
                        <w:rFonts w:asciiTheme="majorHAnsi" w:eastAsiaTheme="majorEastAsia" w:hAnsiTheme="majorHAnsi" w:cstheme="majorBidi"/>
                        <w:color w:val="5B9BD5" w:themeColor="accent1"/>
                        <w:sz w:val="52"/>
                        <w:szCs w:val="52"/>
                      </w:rPr>
                      <w:t xml:space="preserve"> und Rechnungswesen 1.2.5</w:t>
                    </w:r>
                  </w:p>
                </w:sdtContent>
              </w:sdt>
            </w:tc>
          </w:tr>
          <w:tr w:rsidR="00CF1744" w:rsidTr="00CF1744">
            <w:sdt>
              <w:sdtPr>
                <w:rPr>
                  <w:color w:val="FF0000"/>
                  <w:sz w:val="32"/>
                  <w:szCs w:val="32"/>
                </w:rPr>
                <w:alias w:val="Untertitel"/>
                <w:id w:val="13406923"/>
                <w:placeholder>
                  <w:docPart w:val="D31DD4764893465B98536654EDC5A2D8"/>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rsidR="00CF1744" w:rsidRDefault="00CF1744" w:rsidP="00CF1744">
                    <w:pPr>
                      <w:pStyle w:val="KeinLeerraum"/>
                      <w:rPr>
                        <w:color w:val="2E74B5" w:themeColor="accent1" w:themeShade="BF"/>
                        <w:sz w:val="24"/>
                      </w:rPr>
                    </w:pPr>
                    <w:r w:rsidRPr="00D5251A">
                      <w:rPr>
                        <w:color w:val="FF0000"/>
                        <w:sz w:val="32"/>
                        <w:szCs w:val="32"/>
                      </w:rPr>
                      <w:t>Neuerungen</w:t>
                    </w:r>
                  </w:p>
                </w:tc>
              </w:sdtContent>
            </w:sdt>
          </w:tr>
        </w:tbl>
        <w:p w:rsidR="00D5251A" w:rsidRDefault="00D5251A">
          <w:pPr>
            <w:rPr>
              <w:rFonts w:asciiTheme="majorHAnsi" w:eastAsiaTheme="majorEastAsia" w:hAnsiTheme="majorHAnsi" w:cstheme="majorBidi"/>
              <w:color w:val="2E74B5" w:themeColor="accent1" w:themeShade="BF"/>
              <w:sz w:val="32"/>
              <w:szCs w:val="32"/>
            </w:rPr>
          </w:pPr>
          <w:r>
            <w:br w:type="page"/>
          </w:r>
        </w:p>
      </w:sdtContent>
    </w:sdt>
    <w:p w:rsidR="009C3B81" w:rsidRPr="00E3590E" w:rsidRDefault="009C3B81" w:rsidP="00E3590E">
      <w:pPr>
        <w:pStyle w:val="berschrift1"/>
      </w:pPr>
      <w:r>
        <w:lastRenderedPageBreak/>
        <w:t xml:space="preserve">Neuerungen </w:t>
      </w:r>
      <w:r w:rsidR="00E3590E" w:rsidRPr="00E3590E">
        <w:t>SK-FuR-Prüfung_Finanzen_und_Rechnungswesen_1.2.5</w:t>
      </w:r>
    </w:p>
    <w:p w:rsidR="009C3B81" w:rsidRDefault="009C3B81" w:rsidP="009C3B81">
      <w:pPr>
        <w:pStyle w:val="berschrift2"/>
      </w:pPr>
      <w:r>
        <w:t>Neue Elemente</w:t>
      </w:r>
    </w:p>
    <w:p w:rsidR="009C3B81" w:rsidRPr="00032184" w:rsidRDefault="009C3B81" w:rsidP="009C3B81">
      <w:pPr>
        <w:rPr>
          <w:b/>
        </w:rPr>
      </w:pPr>
      <w:r w:rsidRPr="00032184">
        <w:rPr>
          <w:b/>
        </w:rPr>
        <w:t>Änderungen im Workflow</w:t>
      </w:r>
    </w:p>
    <w:p w:rsidR="009C3B81" w:rsidRDefault="00E3590E" w:rsidP="00E3590E">
      <w:pPr>
        <w:pStyle w:val="Listenabsatz"/>
        <w:numPr>
          <w:ilvl w:val="0"/>
          <w:numId w:val="1"/>
        </w:numPr>
      </w:pPr>
      <w:r>
        <w:t xml:space="preserve">Die App beinhaltet nun einen </w:t>
      </w:r>
      <w:proofErr w:type="spellStart"/>
      <w:r>
        <w:t>Appleitfaden</w:t>
      </w:r>
      <w:proofErr w:type="spellEnd"/>
      <w:r>
        <w:t>, der die Elemente der App Beschreibt und erklärt, wie diese zu nutzen sind. Die ist besonders für den Einstieg in das Prüfen mit einer Sparkassen App hilfreich. Auch für die Bedienung der neuen Elemente dieser App-Version lohnt sich ein Blick in den Leitfaden.</w:t>
      </w:r>
    </w:p>
    <w:p w:rsidR="009C3B81" w:rsidRDefault="009C3B81" w:rsidP="009C3B81">
      <w:pPr>
        <w:pStyle w:val="Listenabsatz"/>
        <w:numPr>
          <w:ilvl w:val="0"/>
          <w:numId w:val="1"/>
        </w:numPr>
      </w:pPr>
      <w:r>
        <w:t xml:space="preserve">Das Dokument „enthaltenen Tabellen“ wurde um die Tabelle </w:t>
      </w:r>
      <w:proofErr w:type="spellStart"/>
      <w:r>
        <w:t>OBR_Umsetzen</w:t>
      </w:r>
      <w:proofErr w:type="spellEnd"/>
      <w:r>
        <w:t xml:space="preserve"> ergänzt (Kapitel 3 Seite 2).</w:t>
      </w:r>
    </w:p>
    <w:p w:rsidR="009C3B81" w:rsidRDefault="009C3B81" w:rsidP="009C3B81">
      <w:pPr>
        <w:pStyle w:val="Listenabsatz"/>
        <w:numPr>
          <w:ilvl w:val="0"/>
          <w:numId w:val="1"/>
        </w:numPr>
      </w:pPr>
      <w:r>
        <w:t>Es wurde ein Link zu</w:t>
      </w:r>
      <w:r w:rsidR="00E3590E">
        <w:t xml:space="preserve">m öffentlichen Forum eingefügt. Nutzen Sie diese gerne für Ihre Fragen rund um die </w:t>
      </w:r>
      <w:proofErr w:type="spellStart"/>
      <w:r w:rsidR="00E3590E">
        <w:t>FuR</w:t>
      </w:r>
      <w:proofErr w:type="spellEnd"/>
      <w:r w:rsidR="00E3590E">
        <w:t xml:space="preserve"> App.</w:t>
      </w:r>
    </w:p>
    <w:p w:rsidR="002B0B91" w:rsidRDefault="002B0B91" w:rsidP="002B0B91">
      <w:pPr>
        <w:pStyle w:val="Listenabsatz"/>
        <w:numPr>
          <w:ilvl w:val="0"/>
          <w:numId w:val="1"/>
        </w:numPr>
      </w:pPr>
      <w:r>
        <w:t>Der Workflowschritt „Datenanforderung erstellen“ ist nun der erste Workflowschritt, um die Reihenfolge an die der Aktiv-App anzugleichen und die Arbeitsreihenfolge zu verdeutlichen.</w:t>
      </w:r>
    </w:p>
    <w:p w:rsidR="002B0B91" w:rsidRDefault="002B0B91" w:rsidP="002B0B91">
      <w:pPr>
        <w:pStyle w:val="Listenabsatz"/>
      </w:pPr>
      <w:r>
        <w:t xml:space="preserve">Der Inhalt der Datenanforderung wurde um die </w:t>
      </w:r>
      <w:proofErr w:type="spellStart"/>
      <w:r>
        <w:t>OBR_Umset</w:t>
      </w:r>
      <w:r w:rsidR="00E3590E">
        <w:t>zen</w:t>
      </w:r>
      <w:proofErr w:type="spellEnd"/>
      <w:r w:rsidR="00E3590E">
        <w:t xml:space="preserve"> ergänzt (Kapitel 2.3 Seite 6</w:t>
      </w:r>
      <w:r>
        <w:t>).</w:t>
      </w:r>
    </w:p>
    <w:p w:rsidR="002B0B91" w:rsidRDefault="00E3590E" w:rsidP="002B0B91">
      <w:pPr>
        <w:pStyle w:val="Listenabsatz"/>
      </w:pPr>
      <w:r>
        <w:t xml:space="preserve">Die Daten der Dateien </w:t>
      </w:r>
      <w:proofErr w:type="spellStart"/>
      <w:r>
        <w:t>OBR_Umsetzen</w:t>
      </w:r>
      <w:proofErr w:type="spellEnd"/>
      <w:r>
        <w:t xml:space="preserve"> werden nicht für die bisherigen Prüfungen benötigt. Für diese Dateien wurde ein neuer Prüfungsbereich erstellt (s. Änderungen zu Prüfungsschritten).</w:t>
      </w:r>
    </w:p>
    <w:p w:rsidR="0012675D" w:rsidRDefault="0012675D" w:rsidP="0012675D">
      <w:pPr>
        <w:pStyle w:val="Listenabsatz"/>
        <w:numPr>
          <w:ilvl w:val="0"/>
          <w:numId w:val="1"/>
        </w:numPr>
        <w:rPr>
          <w:noProof/>
          <w:lang w:eastAsia="de-DE"/>
        </w:rPr>
      </w:pPr>
      <w:r>
        <w:rPr>
          <w:noProof/>
          <w:lang w:eastAsia="de-DE"/>
        </w:rPr>
        <w:t>Es wurde der neue Workflowschritt „Importierte Daten aufbereiten“ eingeführt. Diese dient hauptsächlich zur Identifiezierung von Fehlern während des Imports.</w:t>
      </w:r>
    </w:p>
    <w:p w:rsidR="00E3590E" w:rsidRDefault="0012675D" w:rsidP="00E3590E">
      <w:pPr>
        <w:pStyle w:val="Listenabsatz"/>
        <w:jc w:val="center"/>
      </w:pPr>
      <w:r w:rsidRPr="0012675D">
        <w:drawing>
          <wp:inline distT="0" distB="0" distL="0" distR="0" wp14:anchorId="0365A711" wp14:editId="69956683">
            <wp:extent cx="5760720" cy="47466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746625"/>
                    </a:xfrm>
                    <a:prstGeom prst="rect">
                      <a:avLst/>
                    </a:prstGeom>
                  </pic:spPr>
                </pic:pic>
              </a:graphicData>
            </a:graphic>
          </wp:inline>
        </w:drawing>
      </w:r>
    </w:p>
    <w:p w:rsidR="002B0B91" w:rsidRDefault="002B0B91">
      <w:r>
        <w:br w:type="page"/>
      </w:r>
    </w:p>
    <w:p w:rsidR="002B0B91" w:rsidRPr="00032184" w:rsidRDefault="002B0B91" w:rsidP="002B0B91">
      <w:pPr>
        <w:rPr>
          <w:b/>
        </w:rPr>
      </w:pPr>
      <w:r w:rsidRPr="00032184">
        <w:rPr>
          <w:b/>
        </w:rPr>
        <w:lastRenderedPageBreak/>
        <w:t>Änderungen der Importschnittstellen</w:t>
      </w:r>
    </w:p>
    <w:p w:rsidR="002B0B91" w:rsidRDefault="002B0B91" w:rsidP="00A46496">
      <w:pPr>
        <w:pStyle w:val="Listenabsatz"/>
        <w:numPr>
          <w:ilvl w:val="0"/>
          <w:numId w:val="6"/>
        </w:numPr>
      </w:pPr>
      <w:r>
        <w:t>Es wurde die neue Importschnittstelle „SK-</w:t>
      </w:r>
      <w:proofErr w:type="spellStart"/>
      <w:r>
        <w:t>FuR</w:t>
      </w:r>
      <w:proofErr w:type="spellEnd"/>
      <w:r>
        <w:t xml:space="preserve"> – Impor</w:t>
      </w:r>
      <w:r w:rsidR="0012675D">
        <w:t>t Routine Vergleich OBR Konten“ eingefügt.</w:t>
      </w:r>
    </w:p>
    <w:p w:rsidR="002B0B91" w:rsidRDefault="002B0B91" w:rsidP="002B0B91">
      <w:pPr>
        <w:pStyle w:val="Listenabsatz"/>
      </w:pPr>
      <w:r>
        <w:t xml:space="preserve">Es ist möglich die Schnittstelle eigenständig in einem neuen Projekt auszuführen oder in einem bereits bestehenden Projekt, in welchem bereits die </w:t>
      </w:r>
      <w:r w:rsidR="00E3590E">
        <w:t xml:space="preserve">herkömmliche </w:t>
      </w:r>
      <w:r>
        <w:t>Schnittstelle für die Umsatzdateien ausgeführt wurde</w:t>
      </w:r>
      <w:r w:rsidR="00E3590E">
        <w:t xml:space="preserve"> (</w:t>
      </w:r>
      <w:proofErr w:type="spellStart"/>
      <w:r w:rsidR="00E3590E">
        <w:t>SK_FuR</w:t>
      </w:r>
      <w:proofErr w:type="spellEnd"/>
      <w:r w:rsidR="00E3590E">
        <w:t xml:space="preserve"> – Import Routine)</w:t>
      </w:r>
      <w:r>
        <w:t>.</w:t>
      </w:r>
    </w:p>
    <w:p w:rsidR="0012675D" w:rsidRDefault="0012675D" w:rsidP="002B0B91">
      <w:pPr>
        <w:pStyle w:val="Listenabsatz"/>
      </w:pPr>
      <w:r w:rsidRPr="0012675D">
        <w:drawing>
          <wp:inline distT="0" distB="0" distL="0" distR="0" wp14:anchorId="288CCA5A" wp14:editId="27C5F878">
            <wp:extent cx="5760720" cy="491871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918710"/>
                    </a:xfrm>
                    <a:prstGeom prst="rect">
                      <a:avLst/>
                    </a:prstGeom>
                  </pic:spPr>
                </pic:pic>
              </a:graphicData>
            </a:graphic>
          </wp:inline>
        </w:drawing>
      </w:r>
    </w:p>
    <w:p w:rsidR="00A46496" w:rsidRDefault="00A46496" w:rsidP="002B0B91">
      <w:pPr>
        <w:pStyle w:val="Listenabsatz"/>
      </w:pPr>
    </w:p>
    <w:p w:rsidR="0012675D" w:rsidRDefault="0012675D" w:rsidP="002B0B91">
      <w:pPr>
        <w:pStyle w:val="Listenabsatz"/>
      </w:pPr>
      <w:r>
        <w:t xml:space="preserve">Die Schnittstelle ermöglicht den Einsatz von </w:t>
      </w:r>
      <w:r w:rsidR="00A46496">
        <w:t>5 neuen Prüfungsschritten.</w:t>
      </w:r>
    </w:p>
    <w:p w:rsidR="00A46496" w:rsidRDefault="00A46496" w:rsidP="002B0B91">
      <w:pPr>
        <w:pStyle w:val="Listenabsatz"/>
      </w:pPr>
      <w:r>
        <w:t xml:space="preserve">Im </w:t>
      </w:r>
      <w:proofErr w:type="spellStart"/>
      <w:r>
        <w:t>Appleitfaden</w:t>
      </w:r>
      <w:proofErr w:type="spellEnd"/>
      <w:r>
        <w:t xml:space="preserve"> finden Sie Hinweise zur Bedienung.</w:t>
      </w:r>
    </w:p>
    <w:p w:rsidR="008E6A31" w:rsidRDefault="008E6A31" w:rsidP="002B0B91">
      <w:pPr>
        <w:pStyle w:val="Listenabsatz"/>
      </w:pPr>
    </w:p>
    <w:p w:rsidR="008E6A31" w:rsidRDefault="008E6A31" w:rsidP="008E6A31">
      <w:pPr>
        <w:pStyle w:val="Listenabsatz"/>
        <w:numPr>
          <w:ilvl w:val="0"/>
          <w:numId w:val="6"/>
        </w:numPr>
      </w:pPr>
      <w:r>
        <w:t>Es wurde eine neue Datenquelle „SK-</w:t>
      </w:r>
      <w:proofErr w:type="spellStart"/>
      <w:r>
        <w:t>FuR</w:t>
      </w:r>
      <w:proofErr w:type="spellEnd"/>
      <w:r>
        <w:t xml:space="preserve"> Entwicklung“ eingefügt. Diese wird für den herkömmlichen Gebrauch aktuell nicht verwendet und wird nur für die Identifizierung von Fehler verwendet.</w:t>
      </w:r>
    </w:p>
    <w:p w:rsidR="00032184" w:rsidRDefault="00032184" w:rsidP="00E3590E">
      <w:r>
        <w:br w:type="page"/>
      </w:r>
    </w:p>
    <w:p w:rsidR="00032184" w:rsidRDefault="00032184" w:rsidP="009E25CA">
      <w:pPr>
        <w:ind w:left="708"/>
        <w:rPr>
          <w:b/>
        </w:rPr>
      </w:pPr>
      <w:r w:rsidRPr="00032184">
        <w:rPr>
          <w:b/>
        </w:rPr>
        <w:lastRenderedPageBreak/>
        <w:t>Änderungen an Prüfungsschritten</w:t>
      </w:r>
    </w:p>
    <w:p w:rsidR="00032184" w:rsidRDefault="00032184" w:rsidP="00032184">
      <w:pPr>
        <w:pStyle w:val="Listenabsatz"/>
        <w:numPr>
          <w:ilvl w:val="0"/>
          <w:numId w:val="4"/>
        </w:numPr>
      </w:pPr>
      <w:r>
        <w:t>Der Strukturbaum der Prüfungsschritte wurde angepasst.</w:t>
      </w:r>
    </w:p>
    <w:p w:rsidR="00032184" w:rsidRDefault="00032184" w:rsidP="00032184">
      <w:pPr>
        <w:pStyle w:val="Listenabsatz"/>
        <w:ind w:left="1440"/>
      </w:pPr>
      <w:r>
        <w:t>Die bisherigen Prüfungsschritte sind nun unter Umsatz-Prüfung zu finden.</w:t>
      </w:r>
    </w:p>
    <w:p w:rsidR="00032184" w:rsidRDefault="00032184" w:rsidP="00032184">
      <w:pPr>
        <w:pStyle w:val="Listenabsatz"/>
        <w:ind w:left="1440"/>
      </w:pPr>
      <w:r>
        <w:t>Die neunen Prüfungsschritte</w:t>
      </w:r>
      <w:r w:rsidR="00CD3DBE">
        <w:t xml:space="preserve"> sind</w:t>
      </w:r>
      <w:r>
        <w:t xml:space="preserve"> unter Salden-Prüfung </w:t>
      </w:r>
      <w:r w:rsidR="00CD3DBE">
        <w:t xml:space="preserve">zusammengefasst </w:t>
      </w:r>
      <w:r>
        <w:t>und der Stichprobenprüfungsschritt hat seinen eigenen Ordner bekommen.</w:t>
      </w:r>
    </w:p>
    <w:p w:rsidR="00032184" w:rsidRDefault="00032184" w:rsidP="00032184">
      <w:pPr>
        <w:pStyle w:val="Listenabsatz"/>
        <w:ind w:left="1440"/>
      </w:pPr>
      <w:r>
        <w:t>Wählen Sie den Überordner SK-</w:t>
      </w:r>
      <w:proofErr w:type="spellStart"/>
      <w:r>
        <w:t>FuR</w:t>
      </w:r>
      <w:proofErr w:type="spellEnd"/>
      <w:r>
        <w:t xml:space="preserve"> aus sehen Sie alle zur Verfügung stehenden Prüfungsschritte.</w:t>
      </w:r>
    </w:p>
    <w:p w:rsidR="00032184" w:rsidRDefault="00CD3DBE" w:rsidP="00032184">
      <w:pPr>
        <w:pStyle w:val="Listenabsatz"/>
        <w:ind w:left="1440"/>
      </w:pPr>
      <w:r w:rsidRPr="00CD3DBE">
        <w:drawing>
          <wp:inline distT="0" distB="0" distL="0" distR="0" wp14:anchorId="3B041C83" wp14:editId="456A34BB">
            <wp:extent cx="4066160" cy="244792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8692" cy="2455469"/>
                    </a:xfrm>
                    <a:prstGeom prst="rect">
                      <a:avLst/>
                    </a:prstGeom>
                  </pic:spPr>
                </pic:pic>
              </a:graphicData>
            </a:graphic>
          </wp:inline>
        </w:drawing>
      </w:r>
    </w:p>
    <w:p w:rsidR="003A5E0E" w:rsidRDefault="003A5E0E" w:rsidP="00032184">
      <w:pPr>
        <w:pStyle w:val="Listenabsatz"/>
        <w:ind w:left="1440"/>
      </w:pPr>
    </w:p>
    <w:p w:rsidR="003A5E0E" w:rsidRDefault="003A5E0E" w:rsidP="003A5E0E">
      <w:pPr>
        <w:pStyle w:val="Listenabsatz"/>
        <w:numPr>
          <w:ilvl w:val="0"/>
          <w:numId w:val="4"/>
        </w:numPr>
      </w:pPr>
      <w:r>
        <w:t>Neue Prüfungsschritte</w:t>
      </w:r>
    </w:p>
    <w:p w:rsidR="006F07F1" w:rsidRDefault="003A5E0E" w:rsidP="003A5E0E">
      <w:pPr>
        <w:pStyle w:val="Listenabsatz"/>
        <w:numPr>
          <w:ilvl w:val="1"/>
          <w:numId w:val="4"/>
        </w:numPr>
      </w:pPr>
      <w:r>
        <w:t>SK-FuR-0025 Saldenvergleich Geschäftsjahr mit Vorjahr</w:t>
      </w:r>
    </w:p>
    <w:p w:rsidR="006F07F1" w:rsidRDefault="003A5E0E" w:rsidP="003A5E0E">
      <w:pPr>
        <w:pStyle w:val="Listenabsatz"/>
        <w:numPr>
          <w:ilvl w:val="1"/>
          <w:numId w:val="4"/>
        </w:numPr>
      </w:pPr>
      <w:r>
        <w:t>SK-FuR-0027 Vergleich Bilanzpositionen mit dem Vorjahr</w:t>
      </w:r>
    </w:p>
    <w:p w:rsidR="006F07F1" w:rsidRDefault="003A5E0E" w:rsidP="003A5E0E">
      <w:pPr>
        <w:pStyle w:val="Listenabsatz"/>
        <w:numPr>
          <w:ilvl w:val="1"/>
          <w:numId w:val="4"/>
        </w:numPr>
      </w:pPr>
      <w:r>
        <w:t>SK-FuR-0028 Eröffnete und aufgelöste Hauptbuchkonten</w:t>
      </w:r>
    </w:p>
    <w:p w:rsidR="006F07F1" w:rsidRDefault="003A5E0E" w:rsidP="003A5E0E">
      <w:pPr>
        <w:pStyle w:val="Listenabsatz"/>
        <w:numPr>
          <w:ilvl w:val="1"/>
          <w:numId w:val="4"/>
        </w:numPr>
        <w:spacing w:after="0" w:line="240" w:lineRule="auto"/>
        <w:contextualSpacing w:val="0"/>
      </w:pPr>
      <w:r>
        <w:t>SK-FuR-0030 Vorjahresvergleich OBR Salden auf Bilanzpositionsebene summiert</w:t>
      </w:r>
    </w:p>
    <w:p w:rsidR="003A5E0E" w:rsidRDefault="003A5E0E" w:rsidP="003A5E0E">
      <w:pPr>
        <w:pStyle w:val="Listenabsatz"/>
        <w:numPr>
          <w:ilvl w:val="1"/>
          <w:numId w:val="4"/>
        </w:numPr>
        <w:spacing w:after="0" w:line="240" w:lineRule="auto"/>
        <w:contextualSpacing w:val="0"/>
      </w:pPr>
      <w:r>
        <w:t>SK-FuR-0031 Vorjahresvergleich HK-Konten mit geänderten Bezeichnungen</w:t>
      </w:r>
    </w:p>
    <w:p w:rsidR="003A5E0E" w:rsidRDefault="003A5E0E" w:rsidP="003A5E0E">
      <w:pPr>
        <w:pStyle w:val="Listenabsatz"/>
        <w:numPr>
          <w:ilvl w:val="0"/>
          <w:numId w:val="4"/>
        </w:numPr>
        <w:spacing w:after="0" w:line="240" w:lineRule="auto"/>
        <w:contextualSpacing w:val="0"/>
      </w:pPr>
      <w:r>
        <w:t>Angepasste Prüfungsschritte</w:t>
      </w:r>
    </w:p>
    <w:p w:rsidR="003A5E0E" w:rsidRDefault="006F07F1" w:rsidP="003A5E0E">
      <w:pPr>
        <w:pStyle w:val="Listenabsatz"/>
        <w:numPr>
          <w:ilvl w:val="1"/>
          <w:numId w:val="4"/>
        </w:numPr>
      </w:pPr>
      <w:r>
        <w:t xml:space="preserve">Der Stichprobenprüfungsschritt </w:t>
      </w:r>
      <w:r w:rsidR="003A5E0E">
        <w:t xml:space="preserve">„SK-FuR-0000 Stichprobenziehung (Zufallsauswahl)“ </w:t>
      </w:r>
      <w:r>
        <w:t>hat eine Überarbeitung erfahren, um die Bedienung zu vereinfachen und mögliche Fehler auszuschließen.</w:t>
      </w:r>
    </w:p>
    <w:p w:rsidR="003A5E0E" w:rsidRDefault="003A5E0E" w:rsidP="003A5E0E">
      <w:pPr>
        <w:pStyle w:val="Listenabsatz"/>
        <w:numPr>
          <w:ilvl w:val="2"/>
          <w:numId w:val="4"/>
        </w:numPr>
      </w:pPr>
      <w:r>
        <w:t>Für die Bedienung des Prüfungsschrittes wurde eine ausführliche Beschreibung unter „Hinweise“ eingefügt.</w:t>
      </w:r>
    </w:p>
    <w:p w:rsidR="003A5E0E" w:rsidRDefault="003A5E0E" w:rsidP="003A5E0E">
      <w:pPr>
        <w:pStyle w:val="Listenabsatz"/>
        <w:numPr>
          <w:ilvl w:val="2"/>
          <w:numId w:val="4"/>
        </w:numPr>
      </w:pPr>
      <w:r>
        <w:t>Diese lässt sich besser lesen indem man diese mit einem „Rechts-Klick“ anwählt und die Option „Zoom ein“ auswählt.</w:t>
      </w:r>
    </w:p>
    <w:p w:rsidR="006F07F1" w:rsidRPr="00032184" w:rsidRDefault="006F07F1" w:rsidP="006F07F1">
      <w:pPr>
        <w:pStyle w:val="Listenabsatz"/>
        <w:ind w:left="0"/>
      </w:pPr>
      <w:bookmarkStart w:id="0" w:name="_GoBack"/>
      <w:r w:rsidRPr="006F07F1">
        <w:rPr>
          <w:noProof/>
          <w:lang w:eastAsia="de-DE"/>
        </w:rPr>
        <w:drawing>
          <wp:inline distT="0" distB="0" distL="0" distR="0" wp14:anchorId="59331629" wp14:editId="1B6EFF30">
            <wp:extent cx="4591050" cy="22955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7976" cy="2298988"/>
                    </a:xfrm>
                    <a:prstGeom prst="rect">
                      <a:avLst/>
                    </a:prstGeom>
                  </pic:spPr>
                </pic:pic>
              </a:graphicData>
            </a:graphic>
          </wp:inline>
        </w:drawing>
      </w:r>
      <w:bookmarkEnd w:id="0"/>
    </w:p>
    <w:sectPr w:rsidR="006F07F1" w:rsidRPr="00032184" w:rsidSect="00D5251A">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6890"/>
    <w:multiLevelType w:val="hybridMultilevel"/>
    <w:tmpl w:val="F28EC528"/>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 w15:restartNumberingAfterBreak="0">
    <w:nsid w:val="063676AC"/>
    <w:multiLevelType w:val="hybridMultilevel"/>
    <w:tmpl w:val="0DD87EF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 w15:restartNumberingAfterBreak="0">
    <w:nsid w:val="3E2A1779"/>
    <w:multiLevelType w:val="hybridMultilevel"/>
    <w:tmpl w:val="335233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6512330"/>
    <w:multiLevelType w:val="hybridMultilevel"/>
    <w:tmpl w:val="3DBCC3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6D46C37"/>
    <w:multiLevelType w:val="hybridMultilevel"/>
    <w:tmpl w:val="2CEA7890"/>
    <w:lvl w:ilvl="0" w:tplc="0407000F">
      <w:start w:val="1"/>
      <w:numFmt w:val="decimal"/>
      <w:lvlText w:val="%1."/>
      <w:lvlJc w:val="left"/>
      <w:pPr>
        <w:ind w:left="1440" w:hanging="360"/>
      </w:p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7C6D3823"/>
    <w:multiLevelType w:val="hybridMultilevel"/>
    <w:tmpl w:val="87AE96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B81"/>
    <w:rsid w:val="00032184"/>
    <w:rsid w:val="0012675D"/>
    <w:rsid w:val="002B0B91"/>
    <w:rsid w:val="003A5E0E"/>
    <w:rsid w:val="00402448"/>
    <w:rsid w:val="005A7A0D"/>
    <w:rsid w:val="005D487A"/>
    <w:rsid w:val="006950D1"/>
    <w:rsid w:val="006F07F1"/>
    <w:rsid w:val="008E6A31"/>
    <w:rsid w:val="009C3B81"/>
    <w:rsid w:val="009E25CA"/>
    <w:rsid w:val="00A46496"/>
    <w:rsid w:val="00CD3DBE"/>
    <w:rsid w:val="00CF1744"/>
    <w:rsid w:val="00D5251A"/>
    <w:rsid w:val="00E359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1C1B4"/>
  <w15:chartTrackingRefBased/>
  <w15:docId w15:val="{7EC147E6-EA83-43E3-9983-39C37F159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C3B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C3B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C3B81"/>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C3B81"/>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9C3B81"/>
    <w:pPr>
      <w:ind w:left="720"/>
      <w:contextualSpacing/>
    </w:pPr>
  </w:style>
  <w:style w:type="paragraph" w:styleId="KeinLeerraum">
    <w:name w:val="No Spacing"/>
    <w:link w:val="KeinLeerraumZchn"/>
    <w:uiPriority w:val="1"/>
    <w:qFormat/>
    <w:rsid w:val="00D5251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D5251A"/>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286432">
      <w:bodyDiv w:val="1"/>
      <w:marLeft w:val="0"/>
      <w:marRight w:val="0"/>
      <w:marTop w:val="0"/>
      <w:marBottom w:val="0"/>
      <w:divBdr>
        <w:top w:val="none" w:sz="0" w:space="0" w:color="auto"/>
        <w:left w:val="none" w:sz="0" w:space="0" w:color="auto"/>
        <w:bottom w:val="none" w:sz="0" w:space="0" w:color="auto"/>
        <w:right w:val="none" w:sz="0" w:space="0" w:color="auto"/>
      </w:divBdr>
    </w:div>
    <w:div w:id="819074007">
      <w:bodyDiv w:val="1"/>
      <w:marLeft w:val="0"/>
      <w:marRight w:val="0"/>
      <w:marTop w:val="0"/>
      <w:marBottom w:val="0"/>
      <w:divBdr>
        <w:top w:val="none" w:sz="0" w:space="0" w:color="auto"/>
        <w:left w:val="none" w:sz="0" w:space="0" w:color="auto"/>
        <w:bottom w:val="none" w:sz="0" w:space="0" w:color="auto"/>
        <w:right w:val="none" w:sz="0" w:space="0" w:color="auto"/>
      </w:divBdr>
    </w:div>
    <w:div w:id="156409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9ABDDB206344413934C1D1121DCF7C0"/>
        <w:category>
          <w:name w:val="Allgemein"/>
          <w:gallery w:val="placeholder"/>
        </w:category>
        <w:types>
          <w:type w:val="bbPlcHdr"/>
        </w:types>
        <w:behaviors>
          <w:behavior w:val="content"/>
        </w:behaviors>
        <w:guid w:val="{6F5ABAB2-3083-456C-A6D7-5E1136039F0D}"/>
      </w:docPartPr>
      <w:docPartBody>
        <w:p w:rsidR="00000000" w:rsidRDefault="003C5B11" w:rsidP="003C5B11">
          <w:pPr>
            <w:pStyle w:val="F9ABDDB206344413934C1D1121DCF7C0"/>
          </w:pPr>
          <w:r>
            <w:rPr>
              <w:color w:val="2E74B5" w:themeColor="accent1" w:themeShade="BF"/>
              <w:sz w:val="24"/>
              <w:szCs w:val="24"/>
            </w:rPr>
            <w:t>[Firmenname]</w:t>
          </w:r>
        </w:p>
      </w:docPartBody>
    </w:docPart>
    <w:docPart>
      <w:docPartPr>
        <w:name w:val="823B3416F71B4755B6CFAA46A774055D"/>
        <w:category>
          <w:name w:val="Allgemein"/>
          <w:gallery w:val="placeholder"/>
        </w:category>
        <w:types>
          <w:type w:val="bbPlcHdr"/>
        </w:types>
        <w:behaviors>
          <w:behavior w:val="content"/>
        </w:behaviors>
        <w:guid w:val="{97305BE7-CB83-4602-9F52-89E7CB244CFB}"/>
      </w:docPartPr>
      <w:docPartBody>
        <w:p w:rsidR="00000000" w:rsidRDefault="003C5B11" w:rsidP="003C5B11">
          <w:pPr>
            <w:pStyle w:val="823B3416F71B4755B6CFAA46A774055D"/>
          </w:pPr>
          <w:r>
            <w:rPr>
              <w:rFonts w:asciiTheme="majorHAnsi" w:eastAsiaTheme="majorEastAsia" w:hAnsiTheme="majorHAnsi" w:cstheme="majorBidi"/>
              <w:color w:val="5B9BD5" w:themeColor="accent1"/>
              <w:sz w:val="88"/>
              <w:szCs w:val="88"/>
            </w:rPr>
            <w:t>[Dokumenttitel]</w:t>
          </w:r>
        </w:p>
      </w:docPartBody>
    </w:docPart>
    <w:docPart>
      <w:docPartPr>
        <w:name w:val="D31DD4764893465B98536654EDC5A2D8"/>
        <w:category>
          <w:name w:val="Allgemein"/>
          <w:gallery w:val="placeholder"/>
        </w:category>
        <w:types>
          <w:type w:val="bbPlcHdr"/>
        </w:types>
        <w:behaviors>
          <w:behavior w:val="content"/>
        </w:behaviors>
        <w:guid w:val="{637D44E0-31E0-40C5-B066-970FB30A0356}"/>
      </w:docPartPr>
      <w:docPartBody>
        <w:p w:rsidR="00000000" w:rsidRDefault="003C5B11" w:rsidP="003C5B11">
          <w:pPr>
            <w:pStyle w:val="D31DD4764893465B98536654EDC5A2D8"/>
          </w:pPr>
          <w:r>
            <w:rPr>
              <w:color w:val="2E74B5" w:themeColor="accent1" w:themeShade="BF"/>
              <w:sz w:val="24"/>
              <w:szCs w:val="24"/>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B11"/>
    <w:rsid w:val="003C5B11"/>
    <w:rsid w:val="007A0F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9C8E84C8AFE4012B65069A197D15423">
    <w:name w:val="19C8E84C8AFE4012B65069A197D15423"/>
    <w:rsid w:val="003C5B11"/>
  </w:style>
  <w:style w:type="paragraph" w:customStyle="1" w:styleId="EFAC6CD0BD494E0FA98A94F621E97A2C">
    <w:name w:val="EFAC6CD0BD494E0FA98A94F621E97A2C"/>
    <w:rsid w:val="003C5B11"/>
  </w:style>
  <w:style w:type="paragraph" w:customStyle="1" w:styleId="323C4CE0E881404F8D0463CF2A35A430">
    <w:name w:val="323C4CE0E881404F8D0463CF2A35A430"/>
    <w:rsid w:val="003C5B11"/>
  </w:style>
  <w:style w:type="paragraph" w:customStyle="1" w:styleId="DA8F65FCA3734375B1B99633BFA5456F">
    <w:name w:val="DA8F65FCA3734375B1B99633BFA5456F"/>
    <w:rsid w:val="003C5B11"/>
  </w:style>
  <w:style w:type="paragraph" w:customStyle="1" w:styleId="30FCF00936B64D0DB27F1B7F33695467">
    <w:name w:val="30FCF00936B64D0DB27F1B7F33695467"/>
    <w:rsid w:val="003C5B11"/>
  </w:style>
  <w:style w:type="paragraph" w:customStyle="1" w:styleId="D37C43548D024644B6286C078F6680AF">
    <w:name w:val="D37C43548D024644B6286C078F6680AF"/>
    <w:rsid w:val="003C5B11"/>
  </w:style>
  <w:style w:type="paragraph" w:customStyle="1" w:styleId="75DA4F08639847338CC297C9BB75B5B1">
    <w:name w:val="75DA4F08639847338CC297C9BB75B5B1"/>
    <w:rsid w:val="003C5B11"/>
  </w:style>
  <w:style w:type="paragraph" w:customStyle="1" w:styleId="060B74EBD0F4416E90EC12B1B4D93150">
    <w:name w:val="060B74EBD0F4416E90EC12B1B4D93150"/>
    <w:rsid w:val="003C5B11"/>
  </w:style>
  <w:style w:type="paragraph" w:customStyle="1" w:styleId="F9ABDDB206344413934C1D1121DCF7C0">
    <w:name w:val="F9ABDDB206344413934C1D1121DCF7C0"/>
    <w:rsid w:val="003C5B11"/>
  </w:style>
  <w:style w:type="paragraph" w:customStyle="1" w:styleId="823B3416F71B4755B6CFAA46A774055D">
    <w:name w:val="823B3416F71B4755B6CFAA46A774055D"/>
    <w:rsid w:val="003C5B11"/>
  </w:style>
  <w:style w:type="paragraph" w:customStyle="1" w:styleId="D31DD4764893465B98536654EDC5A2D8">
    <w:name w:val="D31DD4764893465B98536654EDC5A2D8"/>
    <w:rsid w:val="003C5B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434</Words>
  <Characters>2740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Audicon GmbH</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 Sparkassen App – Finanzen- und Rechnungswesen 1.2.5</dc:title>
  <dc:subject>Neuerungen</dc:subject>
  <dc:creator>Strubert, Alexander</dc:creator>
  <cp:keywords/>
  <dc:description/>
  <cp:lastModifiedBy>Strubert, Alexander</cp:lastModifiedBy>
  <cp:revision>11</cp:revision>
  <cp:lastPrinted>2021-12-20T15:44:00Z</cp:lastPrinted>
  <dcterms:created xsi:type="dcterms:W3CDTF">2021-12-20T15:02:00Z</dcterms:created>
  <dcterms:modified xsi:type="dcterms:W3CDTF">2021-12-20T15:45:00Z</dcterms:modified>
</cp:coreProperties>
</file>