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B1329"/>
          <w:sz w:val="36"/>
        </w:rPr>
        <w:t>RAPPORT TECHNIQUE D'INFRASTRUCTURE &amp; CONTENEURISATION</w:t>
      </w:r>
    </w:p>
    <w:p>
      <w:pPr>
        <w:jc w:val="center"/>
      </w:pPr>
      <w:r>
        <w:rPr>
          <w:rFonts w:ascii="Calibri" w:hAnsi="Calibri"/>
          <w:i/>
          <w:color w:val="3B82F6"/>
          <w:sz w:val="22"/>
        </w:rPr>
        <w:t>Déploiement d'une plateforme MDM et d'un Homelab Sécurisé</w:t>
        <w:br/>
        <w:t>Par Munir SINANI — BTS SIO SISR</w:t>
        <w:br/>
      </w:r>
    </w:p>
    <w:p>
      <w:r>
        <w:t>————————————————————————————————————————</w:t>
      </w:r>
    </w:p>
    <w:p>
      <w:pPr>
        <w:pStyle w:val="Heading2"/>
      </w:pPr>
      <w:r>
        <w:rPr>
          <w:rFonts w:ascii="Calibri" w:hAnsi="Calibri"/>
          <w:color w:val="06B6D4"/>
        </w:rPr>
        <w:t>1. Contexte &amp; Objectifs</w:t>
      </w:r>
    </w:p>
    <w:p>
      <w:r>
        <w:rPr>
          <w:rFonts w:ascii="Calibri" w:hAnsi="Calibri"/>
          <w:color w:val="1E293B"/>
          <w:sz w:val="21"/>
        </w:rPr>
        <w:t>Dans le cadre de mes activités d'administration système, j'ai conçu et déployé une infrastructure privée sous Ubuntu Server. L'objectif principal était d'offrir une solution centralisée de Mobile Device Management (MDM) pour le suivi et l'enrôlement de flotte, tout en intégrant des services d'observabilité et de sécurité renforcée.</w:t>
      </w:r>
    </w:p>
    <w:p>
      <w:pPr>
        <w:pStyle w:val="Heading2"/>
      </w:pPr>
      <w:r>
        <w:rPr>
          <w:rFonts w:ascii="Calibri" w:hAnsi="Calibri"/>
          <w:color w:val="06B6D4"/>
        </w:rPr>
        <w:t>2. Architecture Technique</w:t>
      </w:r>
    </w:p>
    <w:p>
      <w:r>
        <w:rPr>
          <w:rFonts w:ascii="Calibri" w:hAnsi="Calibri"/>
          <w:color w:val="1E293B"/>
          <w:sz w:val="21"/>
        </w:rPr>
        <w:t>• Système hôte : Ubuntu Server LTS</w:t>
        <w:br/>
        <w:t>• Conteneurisation : Docker Engine &amp; Docker Compose</w:t>
        <w:br/>
        <w:t>• Services déployés : Headwind MDM, PostgreSQL, Nextcloud, Pi-hole, Prometheus/Grafana, Nginx Proxy Manager, WireGuard VPN.</w:t>
      </w:r>
    </w:p>
    <w:p>
      <w:pPr>
        <w:pStyle w:val="Heading2"/>
      </w:pPr>
      <w:r>
        <w:rPr>
          <w:rFonts w:ascii="Calibri" w:hAnsi="Calibri"/>
          <w:color w:val="06B6D4"/>
        </w:rPr>
        <w:t>3. Hardening &amp; Sécurité</w:t>
      </w:r>
    </w:p>
    <w:p>
      <w:r>
        <w:rPr>
          <w:rFonts w:ascii="Calibri" w:hAnsi="Calibri"/>
          <w:color w:val="1E293B"/>
          <w:sz w:val="21"/>
        </w:rPr>
        <w:t>• SSH : Authentification par clés RSA 4096 bits uniquement.</w:t>
        <w:br/>
        <w:t>• Pare-feu : Configuration UFW / NFTables stricte.</w:t>
        <w:br/>
        <w:t>• Anti-bruteforce : Fail2ban actif sur les accès SSH et Web.</w:t>
      </w:r>
    </w:p>
    <w:p>
      <w:pPr>
        <w:pStyle w:val="Heading2"/>
      </w:pPr>
      <w:r>
        <w:rPr>
          <w:rFonts w:ascii="Calibri" w:hAnsi="Calibri"/>
          <w:color w:val="06B6D4"/>
        </w:rPr>
        <w:t>4. Conclusion</w:t>
      </w:r>
    </w:p>
    <w:p>
      <w:r>
        <w:rPr>
          <w:rFonts w:ascii="Calibri" w:hAnsi="Calibri"/>
          <w:color w:val="1E293B"/>
          <w:sz w:val="21"/>
        </w:rPr>
        <w:t>L'infrastructure garantit une haute disponibilité des services, une isolation stricte via l'étanchéité des réseaux Docker et l'enrôlement instantané d'équipements mobiles.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