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color w:val="132A44"/>
          <w:sz w:val="40"/>
        </w:rPr>
        <w:t>YAKIT İLE SOĞUTULAN FADEC</w:t>
      </w:r>
    </w:p>
    <w:p>
      <w:pPr>
        <w:spacing w:after="160"/>
      </w:pPr>
      <w:r>
        <w:rPr>
          <w:rFonts w:ascii="Aptos" w:hAnsi="Aptos"/>
          <w:b w:val="0"/>
          <w:color w:val="1F5A8D"/>
          <w:sz w:val="24"/>
        </w:rPr>
        <w:t>Muadil motor benchmark’ı ve model tabanlı termal yönetim yaklaşımları</w:t>
      </w:r>
    </w:p>
    <w:p>
      <w:pPr>
        <w:pStyle w:val="SmallNote"/>
      </w:pPr>
      <w:r>
        <w:rPr>
          <w:rFonts w:ascii="Aptos" w:hAnsi="Aptos"/>
          <w:b w:val="0"/>
          <w:color w:val="455565"/>
          <w:sz w:val="16"/>
        </w:rPr>
        <w:t xml:space="preserve">Kapsam: F100, F414 / F/A-18E/F, F119 / F-22, F135 / F-35 ve ilgili teknoloji patentleri.  </w:t>
      </w:r>
      <w:r>
        <w:rPr>
          <w:rFonts w:ascii="Aptos" w:hAnsi="Aptos"/>
          <w:b/>
          <w:color w:val="455565"/>
          <w:sz w:val="16"/>
        </w:rPr>
        <w:t>Tarih: 27 Ekim 2026</w:t>
      </w:r>
    </w:p>
    <w:p>
      <w:pPr>
        <w:pStyle w:val="Heading1"/>
      </w:pPr>
      <w:r>
        <w:t>Amaç ve kısa bulgu</w:t>
      </w:r>
    </w:p>
    <w:p>
      <w:r>
        <w:rPr>
          <w:rFonts w:ascii="Aptos" w:hAnsi="Aptos"/>
          <w:b w:val="0"/>
          <w:sz w:val="18"/>
        </w:rPr>
        <w:t xml:space="preserve">Bu çalışma, </w:t>
      </w:r>
      <w:r>
        <w:rPr>
          <w:rFonts w:ascii="Aptos" w:hAnsi="Aptos"/>
          <w:b/>
          <w:sz w:val="18"/>
        </w:rPr>
        <w:t>(i)</w:t>
      </w:r>
      <w:r>
        <w:rPr>
          <w:rFonts w:ascii="Aptos" w:hAnsi="Aptos"/>
          <w:b w:val="0"/>
          <w:sz w:val="18"/>
        </w:rPr>
        <w:t xml:space="preserve"> FADEC elektroniklerinin yakıtla fiziksel olarak nasıl soğutulduğunu, </w:t>
      </w:r>
      <w:r>
        <w:rPr>
          <w:rFonts w:ascii="Aptos" w:hAnsi="Aptos"/>
          <w:b/>
          <w:sz w:val="18"/>
        </w:rPr>
        <w:t>(ii)</w:t>
      </w:r>
      <w:r>
        <w:rPr>
          <w:rFonts w:ascii="Aptos" w:hAnsi="Aptos"/>
          <w:b w:val="0"/>
          <w:sz w:val="18"/>
        </w:rPr>
        <w:t xml:space="preserve"> FADEC’in yakıt/termal yönetimindeki olası rolünü ve </w:t>
      </w:r>
      <w:r>
        <w:rPr>
          <w:rFonts w:ascii="Aptos" w:hAnsi="Aptos"/>
          <w:b/>
          <w:sz w:val="18"/>
        </w:rPr>
        <w:t>(iii)</w:t>
      </w:r>
      <w:r>
        <w:rPr>
          <w:rFonts w:ascii="Aptos" w:hAnsi="Aptos"/>
          <w:b w:val="0"/>
          <w:sz w:val="18"/>
        </w:rPr>
        <w:t xml:space="preserve"> geri beslemeli-model tabanlı soğutma kavramını muadil sistemlerle karşılaştırır. </w:t>
      </w:r>
      <w:r>
        <w:rPr>
          <w:rFonts w:ascii="Aptos" w:hAnsi="Aptos"/>
          <w:b/>
          <w:color w:val="1F5A8D"/>
          <w:sz w:val="18"/>
        </w:rPr>
        <w:t>Motorun yakıt dozajının kapalı çevrim kontrolü ile FADEC kutusunun termal kontrolü aynı işlev değildir.</w:t>
      </w:r>
    </w:p>
    <w:p>
      <w:pPr>
        <w:pStyle w:val="Heading1"/>
      </w:pPr>
      <w:r>
        <w:t>1 | Karşılaştırmalı benchmark</w:t>
      </w:r>
    </w:p>
    <w:tbl>
      <w:tblPr>
        <w:tblW w:type="auto" w:w="0"/>
        <w:jc w:val="center"/>
        <w:tblLayout w:type="fixed"/>
        <w:tblLook w:firstColumn="1" w:firstRow="1" w:lastColumn="0" w:lastRow="0" w:noHBand="0" w:noVBand="1" w:val="04A0"/>
      </w:tblPr>
      <w:tblGrid>
        <w:gridCol w:w="1814"/>
        <w:gridCol w:w="3997"/>
        <w:gridCol w:w="3912"/>
      </w:tblGrid>
      <w:tr>
        <w:tc>
          <w:tcPr>
            <w:tcW w:type="dxa" w:w="1814"/>
            <w:vAlign w:val="center"/>
            <w:shd w:fill="1C4261"/>
            <w:tcBorders>
              <w:top w:val="single" w:sz="4" w:color="D9E3EB"/>
              <w:left w:val="single" w:sz="4" w:color="D9E3EB"/>
              <w:bottom w:val="single" w:sz="4" w:color="D9E3EB"/>
              <w:right w:val="single" w:sz="4" w:color="D9E3EB"/>
            </w:tcBorders>
          </w:tcPr>
          <w:p>
            <w:pPr>
              <w:spacing w:after="0" w:before="40" w:line="245" w:lineRule="auto"/>
            </w:pPr>
            <w:r>
              <w:rPr>
                <w:rFonts w:ascii="Aptos" w:hAnsi="Aptos"/>
                <w:b/>
                <w:color w:val="FFFFFF"/>
                <w:sz w:val="15"/>
              </w:rPr>
              <w:t>Motor / platform</w:t>
            </w:r>
          </w:p>
        </w:tc>
        <w:tc>
          <w:tcPr>
            <w:tcW w:type="dxa" w:w="3997"/>
            <w:vAlign w:val="center"/>
            <w:shd w:fill="1C4261"/>
            <w:tcBorders>
              <w:top w:val="single" w:sz="4" w:color="D9E3EB"/>
              <w:left w:val="single" w:sz="4" w:color="D9E3EB"/>
              <w:bottom w:val="single" w:sz="4" w:color="D9E3EB"/>
              <w:right w:val="single" w:sz="4" w:color="D9E3EB"/>
            </w:tcBorders>
          </w:tcPr>
          <w:p>
            <w:pPr>
              <w:spacing w:after="0" w:before="40" w:line="245" w:lineRule="auto"/>
            </w:pPr>
            <w:r>
              <w:rPr>
                <w:rFonts w:ascii="Aptos" w:hAnsi="Aptos"/>
                <w:b/>
                <w:color w:val="FFFFFF"/>
                <w:sz w:val="15"/>
              </w:rPr>
              <w:t>Kamuya açık kanıtlanan yaklaşım</w:t>
            </w:r>
          </w:p>
        </w:tc>
        <w:tc>
          <w:tcPr>
            <w:tcW w:type="dxa" w:w="3912"/>
            <w:vAlign w:val="center"/>
            <w:shd w:fill="1C4261"/>
            <w:tcBorders>
              <w:top w:val="single" w:sz="4" w:color="D9E3EB"/>
              <w:left w:val="single" w:sz="4" w:color="D9E3EB"/>
              <w:bottom w:val="single" w:sz="4" w:color="D9E3EB"/>
              <w:right w:val="single" w:sz="4" w:color="D9E3EB"/>
            </w:tcBorders>
          </w:tcPr>
          <w:p>
            <w:pPr>
              <w:spacing w:after="0" w:before="40" w:line="245" w:lineRule="auto"/>
            </w:pPr>
            <w:r>
              <w:rPr>
                <w:rFonts w:ascii="Aptos" w:hAnsi="Aptos"/>
                <w:b/>
                <w:color w:val="FFFFFF"/>
                <w:sz w:val="15"/>
              </w:rPr>
              <w:t>FADEC / kontrol açısından durum</w:t>
            </w:r>
          </w:p>
        </w:tc>
      </w:tr>
      <w:tr>
        <w:tc>
          <w:tcPr>
            <w:tcW w:type="dxa" w:w="1814"/>
            <w:vAlign w:val="center"/>
            <w:tcBorders>
              <w:top w:val="single" w:sz="4" w:color="D9E3EB"/>
              <w:left w:val="single" w:sz="4" w:color="D9E3EB"/>
              <w:bottom w:val="single" w:sz="4" w:color="D9E3EB"/>
              <w:right w:val="single" w:sz="4" w:color="D9E3EB"/>
            </w:tcBorders>
          </w:tcPr>
          <w:p>
            <w:pPr>
              <w:spacing w:after="0" w:before="40" w:line="245" w:lineRule="auto"/>
            </w:pPr>
            <w:r>
              <w:rPr>
                <w:rFonts w:ascii="Aptos" w:hAnsi="Aptos"/>
                <w:b w:val="0"/>
                <w:color w:val="132A44"/>
                <w:sz w:val="15"/>
              </w:rPr>
              <w:t>P&amp;W F100 / F-15</w:t>
            </w:r>
          </w:p>
        </w:tc>
        <w:tc>
          <w:tcPr>
            <w:tcW w:type="dxa" w:w="3997"/>
            <w:vAlign w:val="center"/>
            <w:tcBorders>
              <w:top w:val="single" w:sz="4" w:color="D9E3EB"/>
              <w:left w:val="single" w:sz="4" w:color="D9E3EB"/>
              <w:bottom w:val="single" w:sz="4" w:color="D9E3EB"/>
              <w:right w:val="single" w:sz="4" w:color="D9E3EB"/>
            </w:tcBorders>
          </w:tcPr>
          <w:p>
            <w:pPr>
              <w:spacing w:after="0" w:before="40" w:line="245" w:lineRule="auto"/>
            </w:pPr>
            <w:r>
              <w:rPr>
                <w:rFonts w:ascii="Aptos" w:hAnsi="Aptos"/>
                <w:b w:val="0"/>
                <w:color w:val="132A44"/>
                <w:sz w:val="15"/>
              </w:rPr>
              <w:t>NASA’nın DEEC uçuş araştırması: motora monte, yakıtla soğutulan dijital elektronik kontrol ünitesi. [1]</w:t>
            </w:r>
          </w:p>
        </w:tc>
        <w:tc>
          <w:tcPr>
            <w:tcW w:type="dxa" w:w="3912"/>
            <w:vAlign w:val="center"/>
            <w:tcBorders>
              <w:top w:val="single" w:sz="4" w:color="D9E3EB"/>
              <w:left w:val="single" w:sz="4" w:color="D9E3EB"/>
              <w:bottom w:val="single" w:sz="4" w:color="D9E3EB"/>
              <w:right w:val="single" w:sz="4" w:color="D9E3EB"/>
            </w:tcBorders>
          </w:tcPr>
          <w:p>
            <w:pPr>
              <w:spacing w:after="0" w:before="40" w:line="245" w:lineRule="auto"/>
            </w:pPr>
            <w:r>
              <w:rPr>
                <w:rFonts w:ascii="Aptos" w:hAnsi="Aptos"/>
                <w:b w:val="0"/>
                <w:color w:val="132A44"/>
                <w:sz w:val="15"/>
              </w:rPr>
              <w:t>Doğrudan “fuel-cooled ECU” örneği; soğutma valfi algoritması bu kaynakta tanımlı değil.</w:t>
            </w:r>
          </w:p>
        </w:tc>
      </w:tr>
      <w:tr>
        <w:tc>
          <w:tcPr>
            <w:tcW w:type="dxa" w:w="1814"/>
            <w:vAlign w:val="center"/>
            <w:shd w:fill="F0F5F8"/>
            <w:tcBorders>
              <w:top w:val="single" w:sz="4" w:color="D9E3EB"/>
              <w:left w:val="single" w:sz="4" w:color="D9E3EB"/>
              <w:bottom w:val="single" w:sz="4" w:color="D9E3EB"/>
              <w:right w:val="single" w:sz="4" w:color="D9E3EB"/>
            </w:tcBorders>
          </w:tcPr>
          <w:p>
            <w:pPr>
              <w:spacing w:after="0" w:before="40" w:line="245" w:lineRule="auto"/>
            </w:pPr>
            <w:r>
              <w:rPr>
                <w:rFonts w:ascii="Aptos" w:hAnsi="Aptos"/>
                <w:b w:val="0"/>
                <w:color w:val="132A44"/>
                <w:sz w:val="15"/>
              </w:rPr>
              <w:t>GE F414 / F/A-18E/F</w:t>
            </w:r>
          </w:p>
        </w:tc>
        <w:tc>
          <w:tcPr>
            <w:tcW w:type="dxa" w:w="3997"/>
            <w:vAlign w:val="center"/>
            <w:shd w:fill="F0F5F8"/>
            <w:tcBorders>
              <w:top w:val="single" w:sz="4" w:color="D9E3EB"/>
              <w:left w:val="single" w:sz="4" w:color="D9E3EB"/>
              <w:bottom w:val="single" w:sz="4" w:color="D9E3EB"/>
              <w:right w:val="single" w:sz="4" w:color="D9E3EB"/>
            </w:tcBorders>
          </w:tcPr>
          <w:p>
            <w:pPr>
              <w:spacing w:after="0" w:before="40" w:line="245" w:lineRule="auto"/>
            </w:pPr>
            <w:r>
              <w:rPr>
                <w:rFonts w:ascii="Aptos" w:hAnsi="Aptos"/>
                <w:b w:val="0"/>
                <w:color w:val="132A44"/>
                <w:sz w:val="15"/>
              </w:rPr>
              <w:t>Uçuş el kitabı: yüksek basınçlı yakıttan FADEC’e ayrılmış soğutma hattı ve dönüş devresi; TCV ile ek soğutma akışı. [2]</w:t>
            </w:r>
          </w:p>
        </w:tc>
        <w:tc>
          <w:tcPr>
            <w:tcW w:type="dxa" w:w="3912"/>
            <w:vAlign w:val="center"/>
            <w:shd w:fill="F0F5F8"/>
            <w:tcBorders>
              <w:top w:val="single" w:sz="4" w:color="D9E3EB"/>
              <w:left w:val="single" w:sz="4" w:color="D9E3EB"/>
              <w:bottom w:val="single" w:sz="4" w:color="D9E3EB"/>
              <w:right w:val="single" w:sz="4" w:color="D9E3EB"/>
            </w:tcBorders>
          </w:tcPr>
          <w:p>
            <w:pPr>
              <w:spacing w:after="0" w:before="40" w:line="245" w:lineRule="auto"/>
            </w:pPr>
            <w:r>
              <w:rPr>
                <w:rFonts w:ascii="Aptos" w:hAnsi="Aptos"/>
                <w:b w:val="0"/>
                <w:color w:val="132A44"/>
                <w:sz w:val="15"/>
              </w:rPr>
              <w:t>Termal kontrol valfi engine fuel control unit içinde; tam yazılım sorumluluğu belirtilmiyor.</w:t>
            </w:r>
          </w:p>
        </w:tc>
      </w:tr>
      <w:tr>
        <w:tc>
          <w:tcPr>
            <w:tcW w:type="dxa" w:w="1814"/>
            <w:vAlign w:val="center"/>
            <w:tcBorders>
              <w:top w:val="single" w:sz="4" w:color="D9E3EB"/>
              <w:left w:val="single" w:sz="4" w:color="D9E3EB"/>
              <w:bottom w:val="single" w:sz="4" w:color="D9E3EB"/>
              <w:right w:val="single" w:sz="4" w:color="D9E3EB"/>
            </w:tcBorders>
          </w:tcPr>
          <w:p>
            <w:pPr>
              <w:spacing w:after="0" w:before="40" w:line="245" w:lineRule="auto"/>
            </w:pPr>
            <w:r>
              <w:rPr>
                <w:rFonts w:ascii="Aptos" w:hAnsi="Aptos"/>
                <w:b w:val="0"/>
                <w:color w:val="132A44"/>
                <w:sz w:val="15"/>
              </w:rPr>
              <w:t>P&amp;W F119 / F-22</w:t>
            </w:r>
          </w:p>
        </w:tc>
        <w:tc>
          <w:tcPr>
            <w:tcW w:type="dxa" w:w="3997"/>
            <w:vAlign w:val="center"/>
            <w:tcBorders>
              <w:top w:val="single" w:sz="4" w:color="D9E3EB"/>
              <w:left w:val="single" w:sz="4" w:color="D9E3EB"/>
              <w:bottom w:val="single" w:sz="4" w:color="D9E3EB"/>
              <w:right w:val="single" w:sz="4" w:color="D9E3EB"/>
            </w:tcBorders>
          </w:tcPr>
          <w:p>
            <w:pPr>
              <w:spacing w:after="0" w:before="40" w:line="245" w:lineRule="auto"/>
            </w:pPr>
            <w:r>
              <w:rPr>
                <w:rFonts w:ascii="Aptos" w:hAnsi="Aptos"/>
                <w:b w:val="0"/>
                <w:color w:val="132A44"/>
                <w:sz w:val="15"/>
              </w:rPr>
              <w:t>ECS/TMS: yakıt ısı alıcı, PAO sıvı devreleri, yakıt/hava soğutucuları, dijital kontrol. [3][4]</w:t>
            </w:r>
          </w:p>
        </w:tc>
        <w:tc>
          <w:tcPr>
            <w:tcW w:type="dxa" w:w="3912"/>
            <w:vAlign w:val="center"/>
            <w:tcBorders>
              <w:top w:val="single" w:sz="4" w:color="D9E3EB"/>
              <w:left w:val="single" w:sz="4" w:color="D9E3EB"/>
              <w:bottom w:val="single" w:sz="4" w:color="D9E3EB"/>
              <w:right w:val="single" w:sz="4" w:color="D9E3EB"/>
            </w:tcBorders>
          </w:tcPr>
          <w:p>
            <w:pPr>
              <w:spacing w:after="0" w:before="40" w:line="245" w:lineRule="auto"/>
            </w:pPr>
            <w:r>
              <w:rPr>
                <w:rFonts w:ascii="Aptos" w:hAnsi="Aptos"/>
                <w:b w:val="0"/>
                <w:color w:val="132A44"/>
                <w:sz w:val="15"/>
              </w:rPr>
              <w:t>NASA: çift kanallı FADEC + STORM gerçek zamanlı teşhis modeli. ECU cold-plate ayrıntısı doğrulanamadı. [5]</w:t>
            </w:r>
          </w:p>
        </w:tc>
      </w:tr>
      <w:tr>
        <w:tc>
          <w:tcPr>
            <w:tcW w:type="dxa" w:w="1814"/>
            <w:vAlign w:val="center"/>
            <w:shd w:fill="F0F5F8"/>
            <w:tcBorders>
              <w:top w:val="single" w:sz="4" w:color="D9E3EB"/>
              <w:left w:val="single" w:sz="4" w:color="D9E3EB"/>
              <w:bottom w:val="single" w:sz="4" w:color="D9E3EB"/>
              <w:right w:val="single" w:sz="4" w:color="D9E3EB"/>
            </w:tcBorders>
          </w:tcPr>
          <w:p>
            <w:pPr>
              <w:spacing w:after="0" w:before="40" w:line="245" w:lineRule="auto"/>
            </w:pPr>
            <w:r>
              <w:rPr>
                <w:rFonts w:ascii="Aptos" w:hAnsi="Aptos"/>
                <w:b w:val="0"/>
                <w:color w:val="132A44"/>
                <w:sz w:val="15"/>
              </w:rPr>
              <w:t>P&amp;W F135 / F-35</w:t>
            </w:r>
          </w:p>
        </w:tc>
        <w:tc>
          <w:tcPr>
            <w:tcW w:type="dxa" w:w="3997"/>
            <w:vAlign w:val="center"/>
            <w:shd w:fill="F0F5F8"/>
            <w:tcBorders>
              <w:top w:val="single" w:sz="4" w:color="D9E3EB"/>
              <w:left w:val="single" w:sz="4" w:color="D9E3EB"/>
              <w:bottom w:val="single" w:sz="4" w:color="D9E3EB"/>
              <w:right w:val="single" w:sz="4" w:color="D9E3EB"/>
            </w:tcBorders>
          </w:tcPr>
          <w:p>
            <w:pPr>
              <w:spacing w:after="0" w:before="40" w:line="245" w:lineRule="auto"/>
            </w:pPr>
            <w:r>
              <w:rPr>
                <w:rFonts w:ascii="Aptos" w:hAnsi="Aptos"/>
                <w:b w:val="0"/>
                <w:color w:val="132A44"/>
                <w:sz w:val="15"/>
              </w:rPr>
              <w:t>Honeywell PTMS ile uçak seviyesinde termal yüklerin yönetimi; Fuel Thermal Management işlevi. [6]</w:t>
            </w:r>
          </w:p>
        </w:tc>
        <w:tc>
          <w:tcPr>
            <w:tcW w:type="dxa" w:w="3912"/>
            <w:vAlign w:val="center"/>
            <w:shd w:fill="F0F5F8"/>
            <w:tcBorders>
              <w:top w:val="single" w:sz="4" w:color="D9E3EB"/>
              <w:left w:val="single" w:sz="4" w:color="D9E3EB"/>
              <w:bottom w:val="single" w:sz="4" w:color="D9E3EB"/>
              <w:right w:val="single" w:sz="4" w:color="D9E3EB"/>
            </w:tcBorders>
          </w:tcPr>
          <w:p>
            <w:pPr>
              <w:spacing w:after="0" w:before="40" w:line="245" w:lineRule="auto"/>
            </w:pPr>
            <w:r>
              <w:rPr>
                <w:rFonts w:ascii="Aptos" w:hAnsi="Aptos"/>
                <w:b w:val="0"/>
                <w:color w:val="132A44"/>
                <w:sz w:val="15"/>
              </w:rPr>
              <w:t>F135 FADEC’in iç soğutma hattı ve kapalı çevrim ECU sıcaklık algoritması açık kaynakta doğrulanamadı.</w:t>
            </w:r>
          </w:p>
        </w:tc>
      </w:tr>
      <w:tr>
        <w:tc>
          <w:tcPr>
            <w:tcW w:type="dxa" w:w="1814"/>
            <w:vAlign w:val="center"/>
            <w:tcBorders>
              <w:top w:val="single" w:sz="4" w:color="D9E3EB"/>
              <w:left w:val="single" w:sz="4" w:color="D9E3EB"/>
              <w:bottom w:val="single" w:sz="4" w:color="D9E3EB"/>
              <w:right w:val="single" w:sz="4" w:color="D9E3EB"/>
            </w:tcBorders>
          </w:tcPr>
          <w:p>
            <w:pPr>
              <w:spacing w:after="0" w:before="40" w:line="245" w:lineRule="auto"/>
            </w:pPr>
            <w:r>
              <w:rPr>
                <w:rFonts w:ascii="Aptos" w:hAnsi="Aptos"/>
                <w:b w:val="0"/>
                <w:color w:val="132A44"/>
                <w:sz w:val="15"/>
              </w:rPr>
              <w:t>Endüstri patentleri</w:t>
            </w:r>
          </w:p>
        </w:tc>
        <w:tc>
          <w:tcPr>
            <w:tcW w:type="dxa" w:w="3997"/>
            <w:vAlign w:val="center"/>
            <w:tcBorders>
              <w:top w:val="single" w:sz="4" w:color="D9E3EB"/>
              <w:left w:val="single" w:sz="4" w:color="D9E3EB"/>
              <w:bottom w:val="single" w:sz="4" w:color="D9E3EB"/>
              <w:right w:val="single" w:sz="4" w:color="D9E3EB"/>
            </w:tcBorders>
          </w:tcPr>
          <w:p>
            <w:pPr>
              <w:spacing w:after="0" w:before="40" w:line="245" w:lineRule="auto"/>
            </w:pPr>
            <w:r>
              <w:rPr>
                <w:rFonts w:ascii="Aptos" w:hAnsi="Aptos"/>
                <w:b w:val="0"/>
                <w:color w:val="132A44"/>
                <w:sz w:val="15"/>
              </w:rPr>
              <w:t>Hamilton Sundstrand: FADEC/EEC’ye termal bağlı yakıt soğutuculu plaka. GE/GE Avio: model tabanlı yakıt sıcaklık ve valf kontrolü. [7][8]</w:t>
            </w:r>
          </w:p>
        </w:tc>
        <w:tc>
          <w:tcPr>
            <w:tcW w:type="dxa" w:w="3912"/>
            <w:vAlign w:val="center"/>
            <w:tcBorders>
              <w:top w:val="single" w:sz="4" w:color="D9E3EB"/>
              <w:left w:val="single" w:sz="4" w:color="D9E3EB"/>
              <w:bottom w:val="single" w:sz="4" w:color="D9E3EB"/>
              <w:right w:val="single" w:sz="4" w:color="D9E3EB"/>
            </w:tcBorders>
          </w:tcPr>
          <w:p>
            <w:pPr>
              <w:spacing w:after="0" w:before="40" w:line="245" w:lineRule="auto"/>
            </w:pPr>
            <w:r>
              <w:rPr>
                <w:rFonts w:ascii="Aptos" w:hAnsi="Aptos"/>
                <w:b w:val="0"/>
                <w:color w:val="132A44"/>
                <w:sz w:val="15"/>
              </w:rPr>
              <w:t>Tasarım prensibi çok açık; ancak patent, F119/F135’e kurulduğunun kanıtı değildir.</w:t>
            </w:r>
          </w:p>
        </w:tc>
      </w:tr>
    </w:tbl>
    <w:p>
      <w:pPr>
        <w:spacing w:after="0"/>
      </w:pPr>
    </w:p>
    <w:p>
      <w:pPr>
        <w:pStyle w:val="SmallNote"/>
      </w:pPr>
      <w:r>
        <w:rPr>
          <w:rFonts w:ascii="Aptos" w:hAnsi="Aptos"/>
          <w:b/>
          <w:color w:val="455565"/>
          <w:sz w:val="16"/>
        </w:rPr>
        <w:t xml:space="preserve">Kanıt sınıfları: </w:t>
      </w:r>
      <w:r>
        <w:rPr>
          <w:rFonts w:ascii="Aptos" w:hAnsi="Aptos"/>
          <w:b w:val="0"/>
          <w:color w:val="455565"/>
          <w:sz w:val="16"/>
        </w:rPr>
        <w:t>NASA / uçuş el kitabı = doğrudan uygulama kaydı; SAE / üretici açıklaması = platform mimarisi; patent = açıklanmış tasarım yaklaşımı (serviste kullanım kanıtı değil).</w:t>
      </w:r>
    </w:p>
    <w:p>
      <w:pPr>
        <w:pStyle w:val="Heading1"/>
      </w:pPr>
      <w:r>
        <w:t>2 | FADEC nasıl soğutulur?</w:t>
      </w:r>
    </w:p>
    <w:p>
      <w:pPr>
        <w:pStyle w:val="Heading2"/>
      </w:pPr>
      <w:r>
        <w:t>A. Doğrudan yakıt soğutmalı cold plate</w:t>
      </w:r>
    </w:p>
    <w:p>
      <w:r>
        <w:rPr>
          <w:rFonts w:ascii="Aptos" w:hAnsi="Aptos"/>
          <w:b w:val="0"/>
          <w:sz w:val="18"/>
        </w:rPr>
        <w:t>Kontrol ünitesindeki işlemci, güç elektroniği ve diğer bileşenlerin ısısı; termal arayüz ve metal gövde üzerinden yakıt geçişli soğutma plakasına iletilir. Yakıt elektronik PCB’ye temas etmez. Hamilton Sundstrand patenti, bu yapının FADEC / EEC yakınında veya Fuel Metering Unit (FMU) içerisinde uygulanabilmesini anlatır. [7]</w:t>
      </w:r>
    </w:p>
    <w:tbl>
      <w:tblPr>
        <w:tblW w:type="auto" w:w="0"/>
        <w:jc w:val="center"/>
        <w:tblLayout w:type="fixed"/>
        <w:tblLook w:firstColumn="1" w:firstRow="1" w:lastColumn="0" w:lastRow="0" w:noHBand="0" w:noVBand="1" w:val="04A0"/>
      </w:tblPr>
      <w:tblGrid>
        <w:gridCol w:w="9723"/>
      </w:tblGrid>
      <w:tr>
        <w:tc>
          <w:tcPr>
            <w:tcW w:type="dxa" w:w="9723"/>
            <w:vAlign w:val="center"/>
            <w:shd w:fill="1C4261"/>
            <w:tcBorders>
              <w:top w:val="single" w:sz="4" w:color="D9E3EB"/>
              <w:left w:val="single" w:sz="4" w:color="D9E3EB"/>
              <w:bottom w:val="single" w:sz="4" w:color="D9E3EB"/>
              <w:right w:val="single" w:sz="4" w:color="D9E3EB"/>
            </w:tcBorders>
          </w:tcPr>
          <w:p>
            <w:pPr>
              <w:spacing w:after="0" w:before="40" w:line="245" w:lineRule="auto"/>
            </w:pPr>
            <w:r>
              <w:rPr>
                <w:rFonts w:ascii="Aptos" w:hAnsi="Aptos"/>
                <w:b/>
                <w:color w:val="FFFFFF"/>
                <w:sz w:val="18"/>
              </w:rPr>
              <w:t>Isı akış yolu (kavramsal örnek)</w:t>
            </w:r>
          </w:p>
        </w:tc>
      </w:tr>
      <w:tr>
        <w:tc>
          <w:tcPr>
            <w:tcW w:type="dxa" w:w="9723"/>
            <w:vAlign w:val="center"/>
            <w:tcBorders>
              <w:top w:val="single" w:sz="4" w:color="D9E3EB"/>
              <w:left w:val="single" w:sz="4" w:color="D9E3EB"/>
              <w:bottom w:val="single" w:sz="4" w:color="D9E3EB"/>
              <w:right w:val="single" w:sz="4" w:color="D9E3EB"/>
            </w:tcBorders>
          </w:tcPr>
          <w:p>
            <w:pPr>
              <w:spacing w:after="0" w:before="40" w:line="245" w:lineRule="auto"/>
            </w:pPr>
            <w:r>
              <w:rPr>
                <w:rFonts w:ascii="Aptos" w:hAnsi="Aptos"/>
                <w:b w:val="0"/>
                <w:color w:val="132A44"/>
                <w:sz w:val="18"/>
              </w:rPr>
              <w:t>Elektronikler  →  gövde/termal arayüz  →  fuel-cooled cold plate</w:t>
            </w:r>
          </w:p>
        </w:tc>
      </w:tr>
      <w:tr>
        <w:tc>
          <w:tcPr>
            <w:tcW w:type="dxa" w:w="9723"/>
            <w:vAlign w:val="center"/>
            <w:shd w:fill="F0F5F8"/>
            <w:tcBorders>
              <w:top w:val="single" w:sz="4" w:color="D9E3EB"/>
              <w:left w:val="single" w:sz="4" w:color="D9E3EB"/>
              <w:bottom w:val="single" w:sz="4" w:color="D9E3EB"/>
              <w:right w:val="single" w:sz="4" w:color="D9E3EB"/>
            </w:tcBorders>
          </w:tcPr>
          <w:p>
            <w:pPr>
              <w:spacing w:after="0" w:before="40" w:line="245" w:lineRule="auto"/>
            </w:pPr>
            <w:r>
              <w:rPr>
                <w:rFonts w:ascii="Aptos" w:hAnsi="Aptos"/>
                <w:b w:val="0"/>
                <w:color w:val="132A44"/>
                <w:sz w:val="18"/>
              </w:rPr>
              <w:t>Yakıt girişi  →  plakadaki kapalı kanallar  →  ısınmış yakıt çıkışı / dönüşü</w:t>
            </w:r>
          </w:p>
        </w:tc>
      </w:tr>
    </w:tbl>
    <w:p>
      <w:pPr>
        <w:spacing w:after="0"/>
      </w:pPr>
    </w:p>
    <w:p>
      <w:pPr>
        <w:pStyle w:val="Heading2"/>
      </w:pPr>
      <w:r>
        <w:t>B. Ayrılmış soğutma kolu ve recirculation</w:t>
      </w:r>
    </w:p>
    <w:p>
      <w:r>
        <w:rPr>
          <w:rFonts w:ascii="Aptos" w:hAnsi="Aptos"/>
          <w:b w:val="0"/>
          <w:sz w:val="18"/>
        </w:rPr>
        <w:t>F/A-18E/F örneğinde yüksek basınçlı yakıt akışının bir kolu FADEC soğutmasına ayrılır. Soğutma sonrası yakıt dönüş hattına iletilir. Engine Thermal Control Valve (TCV), termal ihtiyaç arttığında devreye girerek eşanjörler ve FADEC üzerinden daha fazla soğutma yakıtı akmasını sağlar. El kitabı ayrıca cross-cooling valfi ile arızalı bir motive-flow tarafına karşı çapraz soğutma imkânını tarif eder. [2]</w:t>
      </w:r>
    </w:p>
    <w:p>
      <w:pPr>
        <w:pStyle w:val="Heading2"/>
      </w:pPr>
      <w:r>
        <w:t>C. Dolaylı sıvı devreleri ve ortak yakıt ısı alıcısı</w:t>
      </w:r>
    </w:p>
    <w:p>
      <w:r>
        <w:rPr>
          <w:rFonts w:ascii="Aptos" w:hAnsi="Aptos"/>
          <w:b w:val="0"/>
          <w:sz w:val="18"/>
        </w:rPr>
        <w:t>F-22 uçak seviyesindeki ECS/TMS mimarisinde ekipman ısısı PAO (polyalphaolefin) sıvı çevrimlerle yakıta taşınır; yakıt ısıyı motorda yakılmak üzere taşıyabilir veya ram-air kullanan yakıt soğutucularına aktarabilir. Bu bilgi FADEC’in doğrudan PAO ile soğutulduğunu göstermediği gibi F119 FADEC içinde fuel cold plate olduğunu da tek başına kanıtlamaz. [3][4]</w:t>
      </w:r>
    </w:p>
    <w:p>
      <w:pPr>
        <w:pStyle w:val="Heading1"/>
      </w:pPr>
      <w:r>
        <w:t>3 | Soğutmada FADEC’in rolü ve sorumluluk sınırı</w:t>
      </w:r>
    </w:p>
    <w:p>
      <w:pPr>
        <w:pStyle w:val="ListBullet"/>
        <w:spacing w:after="50"/>
        <w:ind w:left="312" w:hanging="153"/>
      </w:pPr>
      <w:r>
        <w:rPr>
          <w:rFonts w:ascii="Aptos" w:hAnsi="Aptos"/>
          <w:b/>
          <w:color w:val="1F5A8D"/>
          <w:sz w:val="18"/>
        </w:rPr>
        <w:t xml:space="preserve">Birincil fonksiyon: </w:t>
      </w:r>
      <w:r>
        <w:rPr>
          <w:rFonts w:ascii="Aptos" w:hAnsi="Aptos"/>
          <w:b w:val="0"/>
          <w:sz w:val="18"/>
        </w:rPr>
        <w:t>FADEC motor itkisi / motor çalışma talebi için yakıt metering komutlarını üretir; sensör, aktüatör ve limitlerle geri besleme uygular. Bu kapalı çevrim, kendi elektronik kutusunun sıcaklık kontrolünden farklıdır. [5][7]</w:t>
      </w:r>
    </w:p>
    <w:p>
      <w:pPr>
        <w:pStyle w:val="ListBullet"/>
        <w:spacing w:after="50"/>
        <w:ind w:left="312" w:hanging="153"/>
      </w:pPr>
      <w:r>
        <w:rPr>
          <w:rFonts w:ascii="Aptos" w:hAnsi="Aptos"/>
          <w:b/>
          <w:color w:val="1F5A8D"/>
          <w:sz w:val="18"/>
        </w:rPr>
        <w:t xml:space="preserve">Soğutma aktüatörleri: </w:t>
      </w:r>
      <w:r>
        <w:rPr>
          <w:rFonts w:ascii="Aptos" w:hAnsi="Aptos"/>
          <w:b w:val="0"/>
          <w:sz w:val="18"/>
        </w:rPr>
        <w:t>Motor yakıt kontrol birimindeki TCV, bypass/recirculation valfleri ve eşanjör valfleri termal yönetimde kullanılabilir. Bir valfin FMU/engine fuel control unit içinde bulunması, mutlaka aynı FADEC yazılımı tarafından yönetildiğini ispatlamaz. [2][8]</w:t>
      </w:r>
    </w:p>
    <w:p>
      <w:pPr>
        <w:pStyle w:val="ListBullet"/>
        <w:spacing w:after="50"/>
        <w:ind w:left="312" w:hanging="153"/>
      </w:pPr>
      <w:r>
        <w:rPr>
          <w:rFonts w:ascii="Aptos" w:hAnsi="Aptos"/>
          <w:b/>
          <w:color w:val="1F5A8D"/>
          <w:sz w:val="18"/>
        </w:rPr>
        <w:t xml:space="preserve">Uçak-motor arayüzü: </w:t>
      </w:r>
      <w:r>
        <w:rPr>
          <w:rFonts w:ascii="Aptos" w:hAnsi="Aptos"/>
          <w:b w:val="0"/>
          <w:sz w:val="18"/>
        </w:rPr>
        <w:t>F-22 ECS/TMS ve F-35 PTMS gibi platform düzeyi sistemlerde soğutma işlevinin bir bölümü ayrı kontrolörlere dağıtılabilir. Sistem sınırları motor/platform bazında doğrulanmalıdır. [3][6]</w:t>
      </w:r>
    </w:p>
    <w:p>
      <w:pPr>
        <w:pStyle w:val="ListBullet"/>
        <w:spacing w:after="50"/>
        <w:ind w:left="312" w:hanging="153"/>
      </w:pPr>
      <w:r>
        <w:rPr>
          <w:rFonts w:ascii="Aptos" w:hAnsi="Aptos"/>
          <w:b/>
          <w:color w:val="1F5A8D"/>
          <w:sz w:val="18"/>
        </w:rPr>
        <w:t xml:space="preserve">Model tabanlı kontrol: </w:t>
      </w:r>
      <w:r>
        <w:rPr>
          <w:rFonts w:ascii="Aptos" w:hAnsi="Aptos"/>
          <w:b w:val="0"/>
          <w:sz w:val="18"/>
        </w:rPr>
        <w:t>NASA, F119’da STORM adlı kendini ayarlayan gerçek zamanlı modeli teşhis bağlamında belgeler; bunun FADEC cold plate debisini kontrol ettiğine dair kaynak yoktur. [5]</w:t>
      </w:r>
    </w:p>
    <w:p>
      <w:pPr>
        <w:pStyle w:val="Heading1"/>
      </w:pPr>
      <w:r>
        <w:t>4 | Akıllı / kapalı çevrim yakıt termal yönetimi</w:t>
      </w:r>
    </w:p>
    <w:p>
      <w:r>
        <w:rPr>
          <w:rFonts w:ascii="Aptos" w:hAnsi="Aptos"/>
          <w:b/>
          <w:color w:val="1F5A8D"/>
          <w:sz w:val="18"/>
        </w:rPr>
        <w:t>GE / GE Avio, US20260022665A1, Şekil 19</w:t>
      </w:r>
      <w:r>
        <w:rPr>
          <w:rFonts w:ascii="Aptos" w:hAnsi="Aptos"/>
          <w:b w:val="0"/>
          <w:sz w:val="18"/>
        </w:rPr>
        <w:t>: Yakıt sıcaklığının model destekli geri beslemeli kontrolüne ilişkin güncel ve ayrıntılı bir referans mimari sunar. Bu yaklaşım motorun yakıt termal yönetimine ilişkindir; FADEC elektronik kutusu soğutma kontrolüyle birebir özdeş değildir. [8]</w:t>
      </w:r>
    </w:p>
    <w:tbl>
      <w:tblPr>
        <w:tblW w:type="auto" w:w="0"/>
        <w:jc w:val="center"/>
        <w:tblLayout w:type="fixed"/>
        <w:tblLook w:firstColumn="1" w:firstRow="1" w:lastColumn="0" w:lastRow="0" w:noHBand="0" w:noVBand="1" w:val="04A0"/>
      </w:tblPr>
      <w:tblGrid>
        <w:gridCol w:w="2098"/>
        <w:gridCol w:w="7625"/>
      </w:tblGrid>
      <w:tr>
        <w:tc>
          <w:tcPr>
            <w:tcW w:type="dxa" w:w="2098"/>
            <w:vAlign w:val="center"/>
            <w:shd w:fill="1C4261"/>
            <w:tcBorders>
              <w:top w:val="single" w:sz="4" w:color="D9E3EB"/>
              <w:left w:val="single" w:sz="4" w:color="D9E3EB"/>
              <w:bottom w:val="single" w:sz="4" w:color="D9E3EB"/>
              <w:right w:val="single" w:sz="4" w:color="D9E3EB"/>
            </w:tcBorders>
          </w:tcPr>
          <w:p>
            <w:pPr>
              <w:spacing w:after="0" w:before="40" w:line="245" w:lineRule="auto"/>
            </w:pPr>
            <w:r>
              <w:rPr>
                <w:rFonts w:ascii="Aptos" w:hAnsi="Aptos"/>
                <w:b/>
                <w:color w:val="FFFFFF"/>
                <w:sz w:val="16"/>
              </w:rPr>
              <w:t>Aşama</w:t>
            </w:r>
          </w:p>
        </w:tc>
        <w:tc>
          <w:tcPr>
            <w:tcW w:type="dxa" w:w="7625"/>
            <w:vAlign w:val="center"/>
            <w:shd w:fill="1C4261"/>
            <w:tcBorders>
              <w:top w:val="single" w:sz="4" w:color="D9E3EB"/>
              <w:left w:val="single" w:sz="4" w:color="D9E3EB"/>
              <w:bottom w:val="single" w:sz="4" w:color="D9E3EB"/>
              <w:right w:val="single" w:sz="4" w:color="D9E3EB"/>
            </w:tcBorders>
          </w:tcPr>
          <w:p>
            <w:pPr>
              <w:spacing w:after="0" w:before="40" w:line="245" w:lineRule="auto"/>
            </w:pPr>
            <w:r>
              <w:rPr>
                <w:rFonts w:ascii="Aptos" w:hAnsi="Aptos"/>
                <w:b/>
                <w:color w:val="FFFFFF"/>
                <w:sz w:val="16"/>
              </w:rPr>
              <w:t>İşlem / veri</w:t>
            </w:r>
          </w:p>
        </w:tc>
      </w:tr>
      <w:tr>
        <w:tc>
          <w:tcPr>
            <w:tcW w:type="dxa" w:w="2098"/>
            <w:vAlign w:val="center"/>
            <w:tcBorders>
              <w:top w:val="single" w:sz="4" w:color="D9E3EB"/>
              <w:left w:val="single" w:sz="4" w:color="D9E3EB"/>
              <w:bottom w:val="single" w:sz="4" w:color="D9E3EB"/>
              <w:right w:val="single" w:sz="4" w:color="D9E3EB"/>
            </w:tcBorders>
          </w:tcPr>
          <w:p>
            <w:pPr>
              <w:spacing w:after="0" w:before="40" w:line="245" w:lineRule="auto"/>
            </w:pPr>
            <w:r>
              <w:rPr>
                <w:rFonts w:ascii="Aptos" w:hAnsi="Aptos"/>
                <w:b w:val="0"/>
                <w:color w:val="132A44"/>
                <w:sz w:val="16"/>
              </w:rPr>
              <w:t>1. Boundary conditions</w:t>
            </w:r>
          </w:p>
        </w:tc>
        <w:tc>
          <w:tcPr>
            <w:tcW w:type="dxa" w:w="7625"/>
            <w:vAlign w:val="center"/>
            <w:tcBorders>
              <w:top w:val="single" w:sz="4" w:color="D9E3EB"/>
              <w:left w:val="single" w:sz="4" w:color="D9E3EB"/>
              <w:bottom w:val="single" w:sz="4" w:color="D9E3EB"/>
              <w:right w:val="single" w:sz="4" w:color="D9E3EB"/>
            </w:tcBorders>
          </w:tcPr>
          <w:p>
            <w:pPr>
              <w:spacing w:after="0" w:before="40" w:line="245" w:lineRule="auto"/>
            </w:pPr>
            <w:r>
              <w:rPr>
                <w:rFonts w:ascii="Aptos" w:hAnsi="Aptos"/>
                <w:b w:val="0"/>
                <w:color w:val="132A44"/>
                <w:sz w:val="16"/>
              </w:rPr>
              <w:t>Yakıt sıcaklığı, basınç, valf durumları ve ilgili motor koşullarının ölçülmesi.</w:t>
            </w:r>
          </w:p>
        </w:tc>
      </w:tr>
      <w:tr>
        <w:tc>
          <w:tcPr>
            <w:tcW w:type="dxa" w:w="2098"/>
            <w:vAlign w:val="center"/>
            <w:shd w:fill="F0F5F8"/>
            <w:tcBorders>
              <w:top w:val="single" w:sz="4" w:color="D9E3EB"/>
              <w:left w:val="single" w:sz="4" w:color="D9E3EB"/>
              <w:bottom w:val="single" w:sz="4" w:color="D9E3EB"/>
              <w:right w:val="single" w:sz="4" w:color="D9E3EB"/>
            </w:tcBorders>
          </w:tcPr>
          <w:p>
            <w:pPr>
              <w:spacing w:after="0" w:before="40" w:line="245" w:lineRule="auto"/>
            </w:pPr>
            <w:r>
              <w:rPr>
                <w:rFonts w:ascii="Aptos" w:hAnsi="Aptos"/>
                <w:b w:val="0"/>
                <w:color w:val="132A44"/>
                <w:sz w:val="16"/>
              </w:rPr>
              <w:t>2. Embedded models</w:t>
            </w:r>
          </w:p>
        </w:tc>
        <w:tc>
          <w:tcPr>
            <w:tcW w:type="dxa" w:w="7625"/>
            <w:vAlign w:val="center"/>
            <w:shd w:fill="F0F5F8"/>
            <w:tcBorders>
              <w:top w:val="single" w:sz="4" w:color="D9E3EB"/>
              <w:left w:val="single" w:sz="4" w:color="D9E3EB"/>
              <w:bottom w:val="single" w:sz="4" w:color="D9E3EB"/>
              <w:right w:val="single" w:sz="4" w:color="D9E3EB"/>
            </w:tcBorders>
          </w:tcPr>
          <w:p>
            <w:pPr>
              <w:spacing w:after="0" w:before="40" w:line="245" w:lineRule="auto"/>
            </w:pPr>
            <w:r>
              <w:rPr>
                <w:rFonts w:ascii="Aptos" w:hAnsi="Aptos"/>
                <w:b w:val="0"/>
                <w:color w:val="132A44"/>
                <w:sz w:val="16"/>
              </w:rPr>
              <w:t>Hat sıcaklık/basıncı, eşanjör/bypass yakıt debisi ve ısı transfer kapasitesinin hesaplanması.</w:t>
            </w:r>
          </w:p>
        </w:tc>
      </w:tr>
      <w:tr>
        <w:tc>
          <w:tcPr>
            <w:tcW w:type="dxa" w:w="2098"/>
            <w:vAlign w:val="center"/>
            <w:tcBorders>
              <w:top w:val="single" w:sz="4" w:color="D9E3EB"/>
              <w:left w:val="single" w:sz="4" w:color="D9E3EB"/>
              <w:bottom w:val="single" w:sz="4" w:color="D9E3EB"/>
              <w:right w:val="single" w:sz="4" w:color="D9E3EB"/>
            </w:tcBorders>
          </w:tcPr>
          <w:p>
            <w:pPr>
              <w:spacing w:after="0" w:before="40" w:line="245" w:lineRule="auto"/>
            </w:pPr>
            <w:r>
              <w:rPr>
                <w:rFonts w:ascii="Aptos" w:hAnsi="Aptos"/>
                <w:b w:val="0"/>
                <w:color w:val="132A44"/>
                <w:sz w:val="16"/>
              </w:rPr>
              <w:t>3. Predictive model</w:t>
            </w:r>
          </w:p>
        </w:tc>
        <w:tc>
          <w:tcPr>
            <w:tcW w:type="dxa" w:w="7625"/>
            <w:vAlign w:val="center"/>
            <w:tcBorders>
              <w:top w:val="single" w:sz="4" w:color="D9E3EB"/>
              <w:left w:val="single" w:sz="4" w:color="D9E3EB"/>
              <w:bottom w:val="single" w:sz="4" w:color="D9E3EB"/>
              <w:right w:val="single" w:sz="4" w:color="D9E3EB"/>
            </w:tcBorders>
          </w:tcPr>
          <w:p>
            <w:pPr>
              <w:spacing w:after="0" w:before="40" w:line="245" w:lineRule="auto"/>
            </w:pPr>
            <w:r>
              <w:rPr>
                <w:rFonts w:ascii="Aptos" w:hAnsi="Aptos"/>
                <w:b w:val="0"/>
                <w:color w:val="132A44"/>
                <w:sz w:val="16"/>
              </w:rPr>
              <w:t>Motor talebi ve hızlanma/yavaşlama gibi transient koşullara göre hedef sıcaklık aralığının öngörülmesi.</w:t>
            </w:r>
          </w:p>
        </w:tc>
      </w:tr>
      <w:tr>
        <w:tc>
          <w:tcPr>
            <w:tcW w:type="dxa" w:w="2098"/>
            <w:vAlign w:val="center"/>
            <w:shd w:fill="F0F5F8"/>
            <w:tcBorders>
              <w:top w:val="single" w:sz="4" w:color="D9E3EB"/>
              <w:left w:val="single" w:sz="4" w:color="D9E3EB"/>
              <w:bottom w:val="single" w:sz="4" w:color="D9E3EB"/>
              <w:right w:val="single" w:sz="4" w:color="D9E3EB"/>
            </w:tcBorders>
          </w:tcPr>
          <w:p>
            <w:pPr>
              <w:spacing w:after="0" w:before="40" w:line="245" w:lineRule="auto"/>
            </w:pPr>
            <w:r>
              <w:rPr>
                <w:rFonts w:ascii="Aptos" w:hAnsi="Aptos"/>
                <w:b w:val="0"/>
                <w:color w:val="132A44"/>
                <w:sz w:val="16"/>
              </w:rPr>
              <w:t>4. Closed-loop controller</w:t>
            </w:r>
          </w:p>
        </w:tc>
        <w:tc>
          <w:tcPr>
            <w:tcW w:type="dxa" w:w="7625"/>
            <w:vAlign w:val="center"/>
            <w:shd w:fill="F0F5F8"/>
            <w:tcBorders>
              <w:top w:val="single" w:sz="4" w:color="D9E3EB"/>
              <w:left w:val="single" w:sz="4" w:color="D9E3EB"/>
              <w:bottom w:val="single" w:sz="4" w:color="D9E3EB"/>
              <w:right w:val="single" w:sz="4" w:color="D9E3EB"/>
            </w:tcBorders>
          </w:tcPr>
          <w:p>
            <w:pPr>
              <w:spacing w:after="0" w:before="40" w:line="245" w:lineRule="auto"/>
            </w:pPr>
            <w:r>
              <w:rPr>
                <w:rFonts w:ascii="Aptos" w:hAnsi="Aptos"/>
                <w:b w:val="0"/>
                <w:color w:val="132A44"/>
                <w:sz w:val="16"/>
              </w:rPr>
              <w:t>Model sonuçları ve ölçümlere göre soğutma/bypass valfi konum komutlarının üretilmesi.</w:t>
            </w:r>
          </w:p>
        </w:tc>
      </w:tr>
      <w:tr>
        <w:tc>
          <w:tcPr>
            <w:tcW w:type="dxa" w:w="2098"/>
            <w:vAlign w:val="center"/>
            <w:tcBorders>
              <w:top w:val="single" w:sz="4" w:color="D9E3EB"/>
              <w:left w:val="single" w:sz="4" w:color="D9E3EB"/>
              <w:bottom w:val="single" w:sz="4" w:color="D9E3EB"/>
              <w:right w:val="single" w:sz="4" w:color="D9E3EB"/>
            </w:tcBorders>
          </w:tcPr>
          <w:p>
            <w:pPr>
              <w:spacing w:after="0" w:before="40" w:line="245" w:lineRule="auto"/>
            </w:pPr>
            <w:r>
              <w:rPr>
                <w:rFonts w:ascii="Aptos" w:hAnsi="Aptos"/>
                <w:b w:val="0"/>
                <w:color w:val="132A44"/>
                <w:sz w:val="16"/>
              </w:rPr>
              <w:t>5. Valve feedback</w:t>
            </w:r>
          </w:p>
        </w:tc>
        <w:tc>
          <w:tcPr>
            <w:tcW w:type="dxa" w:w="7625"/>
            <w:vAlign w:val="center"/>
            <w:tcBorders>
              <w:top w:val="single" w:sz="4" w:color="D9E3EB"/>
              <w:left w:val="single" w:sz="4" w:color="D9E3EB"/>
              <w:bottom w:val="single" w:sz="4" w:color="D9E3EB"/>
              <w:right w:val="single" w:sz="4" w:color="D9E3EB"/>
            </w:tcBorders>
          </w:tcPr>
          <w:p>
            <w:pPr>
              <w:spacing w:after="0" w:before="40" w:line="245" w:lineRule="auto"/>
            </w:pPr>
            <w:r>
              <w:rPr>
                <w:rFonts w:ascii="Aptos" w:hAnsi="Aptos"/>
                <w:b w:val="0"/>
                <w:color w:val="132A44"/>
                <w:sz w:val="16"/>
              </w:rPr>
              <w:t>Gerçek valf konumuyla komut karşılaştırması; yeni ölçümle çevrimin tekrarı.</w:t>
            </w:r>
          </w:p>
        </w:tc>
      </w:tr>
    </w:tbl>
    <w:p>
      <w:pPr>
        <w:spacing w:after="0"/>
      </w:pPr>
    </w:p>
    <w:p>
      <w:r>
        <w:rPr>
          <w:rFonts w:ascii="Aptos" w:hAnsi="Aptos"/>
          <w:b/>
          <w:color w:val="1F5A8D"/>
          <w:sz w:val="18"/>
        </w:rPr>
        <w:t xml:space="preserve">Kontrol fikri: </w:t>
      </w:r>
      <w:r>
        <w:rPr>
          <w:rFonts w:ascii="Aptos" w:hAnsi="Aptos"/>
          <w:b w:val="0"/>
          <w:sz w:val="18"/>
        </w:rPr>
        <w:t>“Sıcaklık eşik aşınca valfi aç” yaklaşımının ötesine geçilerek mevcut ısı transfer kapasitesi ve öngörülen motor transient’i birleştirilir. Modelin çıktıları nihai geri beslemeyi ortadan kaldırmaz; ölçüm ve valf geri bildirimi ile doğrulanır. [8]</w:t>
      </w:r>
    </w:p>
    <w:p>
      <w:pPr>
        <w:pStyle w:val="Heading1"/>
      </w:pPr>
      <w:r>
        <w:t>Benchmark sonucu</w:t>
      </w:r>
    </w:p>
    <w:p>
      <w:r>
        <w:rPr>
          <w:rFonts w:ascii="Aptos" w:hAnsi="Aptos"/>
          <w:b w:val="0"/>
          <w:sz w:val="18"/>
        </w:rPr>
        <w:t>FADEC’in bizzat yakıtla soğutulduğuna dair en net uygulama kayıtları F100 ve F/A-18E/F örnekleridir. Cold-plate’in fiziksel tasarımını Hamilton Sundstrand patenti, akıllı ve model tabanlı termal kontrol mantığını ise GE/GE Avio patenti açıklamaktadır. F119/F135 için sistem seviyesinde güçlü termal yönetim kanıtları vardır; fakat aynı kapalı çevrim algoritmanın doğrudan bu motorların FADEC kutusu soğutmasına uygulanmış olduğu kamuya açık kaynaklarda teyit edilememiştir.</w:t>
      </w:r>
    </w:p>
    <w:p>
      <w:pPr>
        <w:pStyle w:val="Heading1"/>
      </w:pPr>
      <w:r>
        <w:t>Kaynaklar</w:t>
      </w:r>
    </w:p>
    <w:p>
      <w:pPr>
        <w:pStyle w:val="SmallNote"/>
        <w:keepLines/>
      </w:pPr>
      <w:r>
        <w:rPr>
          <w:rFonts w:ascii="Aptos" w:hAnsi="Aptos"/>
          <w:b w:val="0"/>
          <w:color w:val="132A44"/>
          <w:sz w:val="15"/>
        </w:rPr>
        <w:t xml:space="preserve">[1] NASA, “Propulsion Flight Research at NASA-Dryden from 1967 to 1997”, NASA/TP—1998-206554 (1998). F100 DEEC: engine-mounted, fuel-cooled.  </w:t>
      </w:r>
      <w:hyperlink r:id="rId11">
        <w:r>
          <w:rPr>
            <w:color w:val="175E9A"/>
            <w:u w:val="single"/>
            <w:sz w:val="15"/>
          </w:rPr>
          <w:t>Bağlantı</w:t>
        </w:r>
      </w:hyperlink>
    </w:p>
    <w:p>
      <w:pPr>
        <w:pStyle w:val="SmallNote"/>
        <w:keepLines/>
      </w:pPr>
      <w:r>
        <w:rPr>
          <w:rFonts w:ascii="Aptos" w:hAnsi="Aptos"/>
          <w:b w:val="0"/>
          <w:color w:val="132A44"/>
          <w:sz w:val="15"/>
        </w:rPr>
        <w:t xml:space="preserve">[2] A1-F18EA-NFM-000, F/A-18E/F Flight Manual, §2.2.4 “Thermal Management System”, s. I-2-16–17 (erişilebilir arşiv kopyası).  </w:t>
      </w:r>
      <w:hyperlink r:id="rId12">
        <w:r>
          <w:rPr>
            <w:color w:val="175E9A"/>
            <w:u w:val="single"/>
            <w:sz w:val="15"/>
          </w:rPr>
          <w:t>Bağlantı</w:t>
        </w:r>
      </w:hyperlink>
    </w:p>
    <w:p>
      <w:pPr>
        <w:pStyle w:val="SmallNote"/>
        <w:keepLines/>
      </w:pPr>
      <w:r>
        <w:rPr>
          <w:rFonts w:ascii="Aptos" w:hAnsi="Aptos"/>
          <w:b w:val="0"/>
          <w:color w:val="132A44"/>
          <w:sz w:val="15"/>
        </w:rPr>
        <w:t xml:space="preserve">[3] Letlow &amp; Jenkins, “Development of an Integrated Environmental Control System”, SAE 981544 (1998).  </w:t>
      </w:r>
      <w:hyperlink r:id="rId13">
        <w:r>
          <w:rPr>
            <w:color w:val="175E9A"/>
            <w:u w:val="single"/>
            <w:sz w:val="15"/>
          </w:rPr>
          <w:t>Bağlantı</w:t>
        </w:r>
      </w:hyperlink>
    </w:p>
    <w:p>
      <w:pPr>
        <w:pStyle w:val="SmallNote"/>
        <w:keepLines/>
      </w:pPr>
      <w:r>
        <w:rPr>
          <w:rFonts w:ascii="Aptos" w:hAnsi="Aptos"/>
          <w:b w:val="0"/>
          <w:color w:val="132A44"/>
          <w:sz w:val="15"/>
        </w:rPr>
        <w:t xml:space="preserve">[4] Sprouse, “F-22 Environmental Control/Thermal Management Fluid Transport Optimization”, SAE 2000-01-2266 (2000).  </w:t>
      </w:r>
      <w:hyperlink r:id="rId14">
        <w:r>
          <w:rPr>
            <w:color w:val="175E9A"/>
            <w:u w:val="single"/>
            <w:sz w:val="15"/>
          </w:rPr>
          <w:t>Bağlantı</w:t>
        </w:r>
      </w:hyperlink>
    </w:p>
    <w:p>
      <w:pPr>
        <w:pStyle w:val="SmallNote"/>
        <w:keepLines/>
      </w:pPr>
      <w:r>
        <w:rPr>
          <w:rFonts w:ascii="Aptos" w:hAnsi="Aptos"/>
          <w:b w:val="0"/>
          <w:color w:val="132A44"/>
          <w:sz w:val="15"/>
        </w:rPr>
        <w:t xml:space="preserve">[5] Jaw &amp; Garg, “Propulsion Control Technology Development in the United States”, NASA/TM—2005-213978, s. 18, Tablo 8.4.  </w:t>
      </w:r>
      <w:hyperlink r:id="rId15">
        <w:r>
          <w:rPr>
            <w:color w:val="175E9A"/>
            <w:u w:val="single"/>
            <w:sz w:val="15"/>
          </w:rPr>
          <w:t>Bağlantı</w:t>
        </w:r>
      </w:hyperlink>
    </w:p>
    <w:p>
      <w:pPr>
        <w:pStyle w:val="SmallNote"/>
        <w:keepLines/>
      </w:pPr>
      <w:r>
        <w:rPr>
          <w:rFonts w:ascii="Aptos" w:hAnsi="Aptos"/>
          <w:b w:val="0"/>
          <w:color w:val="132A44"/>
          <w:sz w:val="15"/>
        </w:rPr>
        <w:t xml:space="preserve">[6] Honeywell Aerospace, “Power and Thermal Management System” ve F-35 platform bilgisi.  </w:t>
      </w:r>
      <w:hyperlink r:id="rId16">
        <w:r>
          <w:rPr>
            <w:color w:val="175E9A"/>
            <w:u w:val="single"/>
            <w:sz w:val="15"/>
          </w:rPr>
          <w:t>Bağlantı</w:t>
        </w:r>
      </w:hyperlink>
    </w:p>
    <w:p>
      <w:pPr>
        <w:pStyle w:val="SmallNote"/>
        <w:keepLines/>
      </w:pPr>
      <w:r>
        <w:rPr>
          <w:rFonts w:ascii="Aptos" w:hAnsi="Aptos"/>
          <w:b w:val="0"/>
          <w:color w:val="132A44"/>
          <w:sz w:val="15"/>
        </w:rPr>
        <w:t xml:space="preserve">[7] Hamilton Sundstrand, “Distributed Small Engine FADEC”, US20120095661A1 (2012), Fig. 2–3 / Description.  </w:t>
      </w:r>
      <w:hyperlink r:id="rId17">
        <w:r>
          <w:rPr>
            <w:color w:val="175E9A"/>
            <w:u w:val="single"/>
            <w:sz w:val="15"/>
          </w:rPr>
          <w:t>Bağlantı</w:t>
        </w:r>
      </w:hyperlink>
    </w:p>
    <w:p>
      <w:pPr>
        <w:pStyle w:val="SmallNote"/>
        <w:keepLines/>
      </w:pPr>
      <w:r>
        <w:rPr>
          <w:rFonts w:ascii="Aptos" w:hAnsi="Aptos"/>
          <w:b w:val="0"/>
          <w:color w:val="132A44"/>
          <w:sz w:val="15"/>
        </w:rPr>
        <w:t xml:space="preserve">[8] GE / GE Avio, “Fuel Thermal Management Systems and Related Methods”, US20260022665A1 (2026), özellikle Fig. 19.  </w:t>
      </w:r>
      <w:hyperlink r:id="rId18">
        <w:r>
          <w:rPr>
            <w:color w:val="175E9A"/>
            <w:u w:val="single"/>
            <w:sz w:val="15"/>
          </w:rPr>
          <w:t>Bağlantı</w:t>
        </w:r>
      </w:hyperlink>
    </w:p>
    <w:p>
      <w:pPr>
        <w:pStyle w:val="SmallNote"/>
        <w:spacing w:before="120"/>
      </w:pPr>
      <w:r>
        <w:rPr>
          <w:rFonts w:ascii="Aptos" w:hAnsi="Aptos"/>
          <w:b/>
          <w:color w:val="455565"/>
          <w:sz w:val="16"/>
        </w:rPr>
        <w:t xml:space="preserve">Not: </w:t>
      </w:r>
      <w:r>
        <w:rPr>
          <w:rFonts w:ascii="Aptos" w:hAnsi="Aptos"/>
          <w:b w:val="0"/>
          <w:color w:val="455565"/>
          <w:sz w:val="16"/>
        </w:rPr>
        <w:t>Patent yayınları doğrulanmış saha uygulaması değildir. Bilgiler kamuya açık metinlerle sınırlıdır; motor üreticilerinin özel FADEC yakıt hattı ve termal kontrol algoritmaları kapsama alınmamıştır.</w:t>
      </w:r>
    </w:p>
    <w:sectPr w:rsidR="00FC693F" w:rsidRPr="0006063C" w:rsidSect="00034616">
      <w:headerReference w:type="default" r:id="rId9"/>
      <w:footerReference w:type="default" r:id="rId10"/>
      <w:pgSz w:w="11906" w:h="16838"/>
      <w:pgMar w:top="794" w:right="1020" w:bottom="794" w:left="1020" w:header="369" w:footer="38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color w:val="455565"/>
        <w:sz w:val="15"/>
      </w:rPr>
      <w:t xml:space="preserve">FADEC • Yakıt soğutması • 27.10.2026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455565"/>
        <w:sz w:val="15"/>
      </w:rPr>
      <w:t>TEKNİK BENCHMARK  /  AÇIK KAYNAK TARAMASI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7" w:lineRule="auto"/>
    </w:pPr>
    <w:rPr>
      <w:rFonts w:ascii="Aptos" w:hAnsi="Aptos"/>
      <w:color w:val="132A44"/>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w:hAnsi="Aptos"/>
      <w:b/>
      <w:bCs/>
      <w:color w:val="1F5A8D"/>
      <w:sz w:val="2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w:hAnsi="Aptos"/>
      <w:b/>
      <w:bCs/>
      <w:color w:val="1F5A8D"/>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80" w:line="240" w:lineRule="auto" w:before="0"/>
      <w:contextualSpacing/>
    </w:pPr>
    <w:rPr>
      <w:rFonts w:asciiTheme="majorHAnsi" w:eastAsiaTheme="majorEastAsia" w:hAnsiTheme="majorHAnsi" w:cstheme="majorBidi" w:ascii="Aptos Display" w:hAnsi="Aptos Display"/>
      <w:b/>
      <w:color w:val="132A4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55565"/>
      <w:spacing w:val="15"/>
      <w:sz w:val="1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color w:val="455565"/>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basedOn w:val="Normal"/>
    <w:pPr>
      <w:spacing w:after="50"/>
    </w:pPr>
    <w:rPr>
      <w:rFonts w:ascii="Aptos" w:hAnsi="Aptos"/>
      <w:color w:val="45556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ntrs.nasa.gov/api/citations/19980218800/downloads/19980218800.pdf" TargetMode="External"/><Relationship Id="rId12" Type="http://schemas.openxmlformats.org/officeDocument/2006/relationships/hyperlink" Target="https://info.publicintelligence.net/F18-EF-000.pdf" TargetMode="External"/><Relationship Id="rId13" Type="http://schemas.openxmlformats.org/officeDocument/2006/relationships/hyperlink" Target="https://doi.org/10.4271/981544" TargetMode="External"/><Relationship Id="rId14" Type="http://schemas.openxmlformats.org/officeDocument/2006/relationships/hyperlink" Target="https://doi.org/10.4271/2000-01-2266" TargetMode="External"/><Relationship Id="rId15" Type="http://schemas.openxmlformats.org/officeDocument/2006/relationships/hyperlink" Target="https://ntrs.nasa.gov/api/citations/20050238468/downloads/20050238468.pdf" TargetMode="External"/><Relationship Id="rId16" Type="http://schemas.openxmlformats.org/officeDocument/2006/relationships/hyperlink" Target="https://www.honeywellaerospace.com/us/en/solutions/defense/platforms/lockheed-martin/f-35-lightning-ii" TargetMode="External"/><Relationship Id="rId17" Type="http://schemas.openxmlformats.org/officeDocument/2006/relationships/hyperlink" Target="https://patents.google.com/patent/US20120095661A1/en" TargetMode="External"/><Relationship Id="rId18" Type="http://schemas.openxmlformats.org/officeDocument/2006/relationships/hyperlink" Target="https://patents.google.com/patent/US20260022665A1/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Yakıt ile Soğutulan FADEC – Benchmark</dc:title>
  <dc:subject>F119/F135 ve muadil motorlar: yakıt soğutması ve model tabanlı termal yönetim</dc:subject>
  <dc:creator>Teknik araştırma</dc:creator>
  <cp:keywords/>
  <dc:description>generated by python-docx</dc:description>
  <cp:lastModifiedBy/>
  <cp:revision>1</cp:revision>
  <dcterms:created xsi:type="dcterms:W3CDTF">2013-12-23T23:15:00Z</dcterms:created>
  <dcterms:modified xsi:type="dcterms:W3CDTF">2013-12-23T23:15:00Z</dcterms:modified>
  <cp:category/>
</cp:coreProperties>
</file>