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PolarFire SEU / FIT Değerlendirmesi</w:t>
      </w:r>
    </w:p>
    <w:p>
      <w:pPr>
        <w:jc w:val="center"/>
      </w:pPr>
      <w:r>
        <w:rPr>
          <w:i/>
          <w:color w:val="505050"/>
          <w:sz w:val="22"/>
        </w:rPr>
        <w:t>MPF300TS için tasarımcı bakış açısı, ECC / scrubbing / TMR yaklaşımı ve Microchip referansları</w:t>
      </w:r>
    </w:p>
    <w:tbl>
      <w:tblPr>
        <w:tblW w:type="auto" w:w="0"/>
        <w:jc w:val="center"/>
        <w:tblLayout w:type="autofit"/>
        <w:tblLook w:firstColumn="1" w:firstRow="1" w:lastColumn="0" w:lastRow="0" w:noHBand="0" w:noVBand="1" w:val="04A0"/>
      </w:tblPr>
      <w:tblGrid>
        <w:gridCol w:w="10080"/>
      </w:tblGrid>
      <w:tr>
        <w:trPr>
          <w:cantSplit/>
        </w:trPr>
        <w:tc>
          <w:tcPr>
            <w:tcW w:type="dxa" w:w="10080"/>
            <w:shd w:fill="E2F0D9"/>
            <w:tcBorders>
              <w:top w:val="single" w:sz="8" w:color="5B9BD5"/>
              <w:left w:val="single" w:sz="8" w:color="5B9BD5"/>
              <w:bottom w:val="single" w:sz="8" w:color="5B9BD5"/>
              <w:right w:val="single" w:sz="8" w:color="5B9BD5"/>
            </w:tcBorders>
          </w:tcPr>
          <w:p>
            <w:pPr>
              <w:spacing w:after="60"/>
            </w:pPr>
            <w:r>
              <w:rPr>
                <w:b/>
                <w:sz w:val="21"/>
              </w:rPr>
              <w:t>Kısa sonuç</w:t>
            </w:r>
          </w:p>
          <w:p>
            <w:pPr>
              <w:spacing w:after="20"/>
            </w:pPr>
            <w:r>
              <w:t>Assessment bölümündeki “SEU rate is considered non-negligible” ifadesi, mevcut SEU katkısının dokümanda kullanılan kabul yaklaşımına göre ihmal edilebilir seviyede olmadığını söylüyor. LSRAM için ECC eklemek doğru ilk adımdır; ancak tasarım kapanışı için uSRAM ve kritik FF/FSM kaynaklarının da ayrıca ele alınması ve mitigasyon sonrası residual FIT değerinin yeniden hesaplanması gerekir.</w:t>
            </w:r>
          </w:p>
        </w:tc>
      </w:tr>
    </w:tbl>
    <w:p>
      <w:pPr>
        <w:spacing w:after="0"/>
      </w:pPr>
    </w:p>
    <w:p>
      <w:pPr>
        <w:pStyle w:val="Heading1"/>
      </w:pPr>
      <w:r>
        <w:t>1. Mevcut assessment ne söylüyor?</w:t>
      </w:r>
    </w:p>
    <w:p>
      <w:r>
        <w:rPr>
          <w:b w:val="0"/>
        </w:rPr>
        <w:t xml:space="preserve">Paylaşılan tabloda toplam SEU FIT değeri </w:t>
      </w:r>
      <w:r>
        <w:rPr>
          <w:b/>
        </w:rPr>
        <w:t>14,324.19 FIT</w:t>
      </w:r>
      <w:r>
        <w:t xml:space="preserve"> olarak verilmiş. Assessment metni cihazın FMEA değerini </w:t>
      </w:r>
      <w:r>
        <w:rPr>
          <w:b/>
        </w:rPr>
        <w:t>58.03 FIT</w:t>
      </w:r>
      <w:r>
        <w:t xml:space="preserve"> olarak referans alıyor ve SEU katkısını bunun 1/10’u ile kıyaslıyor.</w:t>
      </w:r>
    </w:p>
    <w:p>
      <w:r>
        <w:t xml:space="preserve">Bu kabul yaklaşımı aynen uygulanırsa hedef: </w:t>
      </w:r>
      <w:r>
        <w:rPr>
          <w:b/>
        </w:rPr>
        <w:t>58.03 / 10 = 5.803 FIT</w:t>
      </w:r>
      <w:r>
        <w:t>. Bu nedenle “non-negligible” ifadesinin anlamı, mevcut hesaplanan SEU seviyesinin hedefe göre ihmal edilemeyecek kadar yüksek olduğudur.</w:t>
      </w:r>
    </w:p>
    <w:p>
      <w:r>
        <w:rPr>
          <w:b/>
        </w:rPr>
        <w:t xml:space="preserve">Önemli nüans: </w:t>
      </w:r>
      <w:r>
        <w:t>“non-negligible” ifadesi tek başına tüm kartın veya sistemin kesin olarak emniyetsiz olduğunu kanıtlamaz. Safety kapanışı için ham upset oranının hangi koşullarda gerçek fonksiyonel arızaya dönüştüğü, diagnostic coverage ve mitigasyon etkileriyle birlikte gösterilmelidir. Ancak mevcut assessment kendi metodolojisine göre tasarım iyileştirmesi gerektiğini açıkça söylüyor.</w:t>
      </w:r>
    </w:p>
    <w:p>
      <w:pPr>
        <w:pStyle w:val="Heading1"/>
      </w:pPr>
      <w:r>
        <w:t>2. Kaynak bazında tasarımcı değerlendirmesi</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shd w:fill="D9EAF7"/>
            <w:vAlign w:val="center"/>
          </w:tcPr>
          <w:p>
            <w:r>
              <w:rPr>
                <w:b/>
              </w:rPr>
              <w:t>Kaynak</w:t>
            </w:r>
          </w:p>
        </w:tc>
        <w:tc>
          <w:tcPr>
            <w:tcW w:type="dxa" w:w="2520"/>
            <w:shd w:fill="D9EAF7"/>
            <w:vAlign w:val="center"/>
          </w:tcPr>
          <w:p>
            <w:r>
              <w:rPr>
                <w:b/>
              </w:rPr>
              <w:t>Tablodaki FIT</w:t>
            </w:r>
          </w:p>
        </w:tc>
        <w:tc>
          <w:tcPr>
            <w:tcW w:type="dxa" w:w="2520"/>
            <w:shd w:fill="D9EAF7"/>
            <w:vAlign w:val="center"/>
          </w:tcPr>
          <w:p>
            <w:r>
              <w:rPr>
                <w:b/>
              </w:rPr>
              <w:t>Tasarım yaklaşımı</w:t>
            </w:r>
          </w:p>
        </w:tc>
        <w:tc>
          <w:tcPr>
            <w:tcW w:type="dxa" w:w="2520"/>
            <w:shd w:fill="D9EAF7"/>
            <w:vAlign w:val="center"/>
          </w:tcPr>
          <w:p>
            <w:r>
              <w:rPr>
                <w:b/>
              </w:rPr>
              <w:t>Ana not</w:t>
            </w:r>
          </w:p>
        </w:tc>
      </w:tr>
      <w:tr>
        <w:trPr>
          <w:cantSplit/>
        </w:trPr>
        <w:tc>
          <w:tcPr>
            <w:tcW w:type="dxa" w:w="2520"/>
          </w:tcPr>
          <w:p>
            <w:r>
              <w:t>LSRAM</w:t>
            </w:r>
          </w:p>
        </w:tc>
        <w:tc>
          <w:tcPr>
            <w:tcW w:type="dxa" w:w="2520"/>
          </w:tcPr>
          <w:p>
            <w:r>
              <w:t>13,854.06</w:t>
            </w:r>
          </w:p>
        </w:tc>
        <w:tc>
          <w:tcPr>
            <w:tcW w:type="dxa" w:w="2520"/>
          </w:tcPr>
          <w:p>
            <w:r>
              <w:t>ECC + scrubbing</w:t>
            </w:r>
          </w:p>
        </w:tc>
        <w:tc>
          <w:tcPr>
            <w:tcW w:type="dxa" w:w="2520"/>
          </w:tcPr>
          <w:p>
            <w:r>
              <w:t>En büyük katkı. İlk mitigasyon hedefi olmalı.</w:t>
            </w:r>
          </w:p>
        </w:tc>
      </w:tr>
      <w:tr>
        <w:trPr>
          <w:cantSplit/>
        </w:trPr>
        <w:tc>
          <w:tcPr>
            <w:tcW w:type="dxa" w:w="2520"/>
          </w:tcPr>
          <w:p>
            <w:r>
              <w:t>FF bits</w:t>
            </w:r>
          </w:p>
        </w:tc>
        <w:tc>
          <w:tcPr>
            <w:tcW w:type="dxa" w:w="2520"/>
          </w:tcPr>
          <w:p>
            <w:r>
              <w:t>423.69</w:t>
            </w:r>
          </w:p>
        </w:tc>
        <w:tc>
          <w:tcPr>
            <w:tcW w:type="dxa" w:w="2520"/>
          </w:tcPr>
          <w:p>
            <w:r>
              <w:t>Selective TMR / safe FSM / recovery</w:t>
            </w:r>
          </w:p>
        </w:tc>
        <w:tc>
          <w:tcPr>
            <w:tcW w:type="dxa" w:w="2520"/>
          </w:tcPr>
          <w:p>
            <w:r>
              <w:t>ECC FF’leri korumaz.</w:t>
            </w:r>
          </w:p>
        </w:tc>
      </w:tr>
      <w:tr>
        <w:trPr>
          <w:cantSplit/>
        </w:trPr>
        <w:tc>
          <w:tcPr>
            <w:tcW w:type="dxa" w:w="2520"/>
          </w:tcPr>
          <w:p>
            <w:r>
              <w:t>uSRAM</w:t>
            </w:r>
          </w:p>
        </w:tc>
        <w:tc>
          <w:tcPr>
            <w:tcW w:type="dxa" w:w="2520"/>
          </w:tcPr>
          <w:p>
            <w:r>
              <w:t>46.44</w:t>
            </w:r>
          </w:p>
        </w:tc>
        <w:tc>
          <w:tcPr>
            <w:tcW w:type="dxa" w:w="2520"/>
          </w:tcPr>
          <w:p>
            <w:r>
              <w:t>LSRAM’e taşıma veya soft EDAC/redundancy</w:t>
            </w:r>
          </w:p>
        </w:tc>
        <w:tc>
          <w:tcPr>
            <w:tcW w:type="dxa" w:w="2520"/>
          </w:tcPr>
          <w:p>
            <w:r>
              <w:t>PolarFire uSRAM’de native ECC yok.</w:t>
            </w:r>
          </w:p>
        </w:tc>
      </w:tr>
    </w:tbl>
    <w:p>
      <w:r>
        <w:rPr>
          <w:b/>
        </w:rPr>
        <w:t xml:space="preserve">Dağılım açısından: </w:t>
      </w:r>
      <w:r>
        <w:t>tablodaki toplamın yaklaşık %97’si LSRAM satırından geliyor. Bu yüzden LSRAM mitigasyonu büyük kazanç sağlar; fakat hedef 5.803 FIT ise diğer kaynaklar tamamen göz ardı edilemez.</w:t>
      </w:r>
    </w:p>
    <w:p>
      <w:pPr>
        <w:pStyle w:val="Heading2"/>
      </w:pPr>
      <w:r>
        <w:t>2.1 LSRAM - ECC doğru, fakat konfigürasyon koşulları var</w:t>
      </w:r>
    </w:p>
    <w:p>
      <w:pPr>
        <w:pStyle w:val="ListBullet"/>
        <w:spacing w:after="80"/>
      </w:pPr>
      <w:r>
        <w:t>Microchip, PolarFire LSRAM için SECDED tipi koruma sağlar: single-bit error correction ve double-bit error detection.</w:t>
      </w:r>
    </w:p>
    <w:p>
      <w:pPr>
        <w:pStyle w:val="ListBullet"/>
        <w:spacing w:after="80"/>
      </w:pPr>
      <w:r>
        <w:t>Native LSRAM ECC yalnızca iki-port (two-port) modunda ve x33 veri genişliğinde desteklenir. Mevcut RAM mimarisinin bu konfigürasyona dönüştürülebilirliği kontrol edilmelidir.</w:t>
      </w:r>
    </w:p>
    <w:p>
      <w:pPr>
        <w:pStyle w:val="ListBullet"/>
        <w:spacing w:after="80"/>
      </w:pPr>
      <w:r>
        <w:t>SB_CORRECT, tek bit hatası algılandığında düzeltilmiş read data sağlar. DB_DETECT, çift bit hatasını bildirir fakat düzeltemez.</w:t>
      </w:r>
    </w:p>
    <w:p>
      <w:pPr>
        <w:pStyle w:val="ListBullet"/>
        <w:spacing w:after="80"/>
      </w:pPr>
      <w:r>
        <w:t>Native ECC okuma sırasında düzeltme yapar; bozuk kelimeyi bellek hücresine otomatik geri yazmaz. Kalıcı temizlik isteniyorsa user logic ile scrubbing gerekir.</w:t>
      </w:r>
    </w:p>
    <w:p>
      <w:pPr>
        <w:pStyle w:val="Heading2"/>
      </w:pPr>
      <w:r>
        <w:t>2.2 uSRAM - “ECC ekleyelim” ifadesi doğrudan native ECC anlamına gelmemeli</w:t>
      </w:r>
    </w:p>
    <w:p>
      <w:pPr>
        <w:pStyle w:val="ListBullet"/>
        <w:spacing w:after="80"/>
      </w:pPr>
      <w:r>
        <w:t>Microchip safety-critical dokümanında FPGA fabric uSRAM için ECC desteği “No” olarak belirtilir.</w:t>
      </w:r>
    </w:p>
    <w:p>
      <w:pPr>
        <w:pStyle w:val="ListBullet"/>
        <w:spacing w:after="80"/>
      </w:pPr>
      <w:r>
        <w:t>Kritik veriler uSRAM’de tutuluyorsa tercih sırası; ECC destekli LSRAM’e taşıma, CoreEDAC/soft EDAC benzeri kodlama, parity/redundancy veya uygulamaya özel recovery yaklaşımı olabilir.</w:t>
      </w:r>
    </w:p>
    <w:p>
      <w:pPr>
        <w:pStyle w:val="ListBullet"/>
        <w:spacing w:after="80"/>
      </w:pPr>
      <w:r>
        <w:t>Dolayısıyla design action maddesi “uSRAM’e native ECC enable edilecek” şeklinde yazılmamalı; uygulanacak mimari yöntem net tanımlanmalıdır.</w:t>
      </w:r>
    </w:p>
    <w:p>
      <w:pPr>
        <w:pStyle w:val="Heading2"/>
      </w:pPr>
      <w:r>
        <w:t>2.3 FF / FSM - ECC’nin kapsamadığı ikinci alan</w:t>
      </w:r>
    </w:p>
    <w:p>
      <w:pPr>
        <w:pStyle w:val="ListBullet"/>
        <w:spacing w:after="80"/>
      </w:pPr>
      <w:r>
        <w:t>Flip-flop bitlerinde oluşabilecek SEU için ECC bir çözüm değildir.</w:t>
      </w:r>
    </w:p>
    <w:p>
      <w:pPr>
        <w:pStyle w:val="ListBullet"/>
        <w:spacing w:after="80"/>
      </w:pPr>
      <w:r>
        <w:t>Safety etkisi yüksek state register, mode bit, enable/interlock, kritik sayaç ve kontrol register’larında selective TMR düşünülebilir.</w:t>
      </w:r>
    </w:p>
    <w:p>
      <w:pPr>
        <w:pStyle w:val="ListBullet"/>
        <w:spacing w:after="80"/>
      </w:pPr>
      <w:r>
        <w:t>FSM’ler için safe-state recovery / illegal-state detection de değerlendirilmelidir. Synplify Pro for Microchip, PolarFire ailesi için syn_radhardlevel=tmr desteği ve TMR raporlaması sağlar.</w:t>
      </w:r>
    </w:p>
    <w:p>
      <w:pPr>
        <w:pStyle w:val="Heading1"/>
      </w:pPr>
      <w:r>
        <w:t>3. Neden yalnızca LSRAM ECC ile kapanış garanti değil?</w:t>
      </w:r>
    </w:p>
    <w:p>
      <w:r>
        <w:t>LSRAM katkısının teorik olarak tamamen ortadan kalktığı en iyimser varsayımda bile, paylaşılan tabloya göre FF ve uSRAM toplamı:</w:t>
      </w:r>
    </w:p>
    <w:p>
      <w:pPr>
        <w:jc w:val="center"/>
      </w:pPr>
      <w:r>
        <w:rPr>
          <w:b/>
          <w:sz w:val="24"/>
        </w:rPr>
        <w:t>423.69 + 46.44 = 470.13 FIT</w:t>
      </w:r>
    </w:p>
    <w:p>
      <w:r>
        <w:t xml:space="preserve">Bu değer, 5.803 FIT hedefinin yaklaşık </w:t>
      </w:r>
      <w:r>
        <w:rPr>
          <w:b/>
        </w:rPr>
        <w:t>81 katı</w:t>
      </w:r>
      <w:r>
        <w:t>dır. Bu nedenle kabul kriteri gerçekten bu şekilde uygulanıyorsa FF/uSRAM tarafının da safety etkisine göre mitigasyon veya gerekçelendirme ile ele alınması gerekir.</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2CC"/>
            <w:tcBorders>
              <w:top w:val="single" w:sz="8" w:color="5B9BD5"/>
              <w:left w:val="single" w:sz="8" w:color="5B9BD5"/>
              <w:bottom w:val="single" w:sz="8" w:color="5B9BD5"/>
              <w:right w:val="single" w:sz="8" w:color="5B9BD5"/>
            </w:tcBorders>
          </w:tcPr>
          <w:p>
            <w:pPr>
              <w:spacing w:after="60"/>
            </w:pPr>
            <w:r>
              <w:rPr>
                <w:b/>
                <w:sz w:val="21"/>
              </w:rPr>
              <w:t>Hesap tablosu için ayrıca doğrulama önerisi</w:t>
            </w:r>
          </w:p>
          <w:p>
            <w:pPr>
              <w:spacing w:after="20"/>
            </w:pPr>
            <w:r>
              <w:t>Tablodaki “FIT per Mil. Bit” ve “Resource Usage” değerleri doğrudan çarpıldığında görünen bazı satırlar, tabloda verilen Total FIT ile birebir uyuşmuyor. Örneğin LSRAM için 2,045,952 bit x 3,490.44 FIT/Mbit yaklaşık 7,141 FIT verir; tabloda 13,854.06 FIT yazıyor. Burada ek bir çarpan, farklı bit-count tanımı veya metodoloji kullanılıyorsa dokümanda açıkça izlenebilir hale getirilmesi önerilir. Bu bir “hesap hatası” hükmü değil, traceability kontrol maddesidir.</w:t>
            </w:r>
          </w:p>
        </w:tc>
      </w:tr>
    </w:tbl>
    <w:p>
      <w:pPr>
        <w:spacing w:after="0"/>
      </w:pPr>
    </w:p>
    <w:p>
      <w:pPr>
        <w:pStyle w:val="Heading1"/>
      </w:pPr>
      <w:r>
        <w:t>4. Önerilen tasarım değişikliği / doğrulama akışı</w:t>
      </w:r>
    </w:p>
    <w:p>
      <w:pPr>
        <w:pStyle w:val="ListNumber"/>
        <w:spacing w:after="80"/>
      </w:pPr>
      <w:r>
        <w:t>Safety-relevant RAM ve FF’leri sınıflandır: hangi bellek/state gerçekten fonksiyonel hazard yaratabilir?</w:t>
      </w:r>
    </w:p>
    <w:p>
      <w:pPr>
        <w:pStyle w:val="ListNumber"/>
        <w:spacing w:after="80"/>
      </w:pPr>
      <w:r>
        <w:t>LSRAM’leri uygun yerlerde x33 two-port ECC moduna geçir; SB_CORRECT ve DB_DETECT sinyallerini health monitoring’e bağla.</w:t>
      </w:r>
    </w:p>
    <w:p>
      <w:pPr>
        <w:pStyle w:val="ListNumber"/>
        <w:spacing w:after="80"/>
      </w:pPr>
      <w:r>
        <w:t>Scrubbing stratejisini tanımla: periyodik veya idle-time scan, corrected word write-back, hata sayacı ve threshold davranışı.</w:t>
      </w:r>
    </w:p>
    <w:p>
      <w:pPr>
        <w:pStyle w:val="ListNumber"/>
        <w:spacing w:after="80"/>
      </w:pPr>
      <w:r>
        <w:t>uSRAM kritik kullanımını azalt; mümkünse LSRAM’e taşı. Taşınamıyorsa soft EDAC/parity/redundancy/recovery yöntemini açıkça tanımla.</w:t>
      </w:r>
    </w:p>
    <w:p>
      <w:pPr>
        <w:pStyle w:val="ListNumber"/>
        <w:spacing w:after="80"/>
      </w:pPr>
      <w:r>
        <w:t>Kritik FF/FSM alanlarında selective TMR ve illegal-state recovery uygula. Alan/timing etkisini sentez ve P&amp;R sonrası doğrula.</w:t>
      </w:r>
    </w:p>
    <w:p>
      <w:pPr>
        <w:pStyle w:val="ListNumber"/>
        <w:spacing w:after="80"/>
      </w:pPr>
      <w:r>
        <w:t>SEU fault-injection / upset emulation ile detection, correction ve recovery mekanizmalarını doğrula.</w:t>
      </w:r>
    </w:p>
    <w:p>
      <w:pPr>
        <w:pStyle w:val="ListNumber"/>
        <w:spacing w:after="80"/>
      </w:pPr>
      <w:r>
        <w:t>Mitigasyon sonrası residual FIT hesapla ve FMEA/FTA’ya ham upset FIT yerine sistem etkisiyle izlenebilir residual failure contribution olarak aktar.</w:t>
      </w:r>
    </w:p>
    <w:p>
      <w:pPr>
        <w:pStyle w:val="Heading1"/>
      </w:pPr>
      <w:r>
        <w:t>5. Microchip referansları</w:t>
      </w:r>
    </w:p>
    <w:p>
      <w:r>
        <w:rPr>
          <w:b/>
        </w:rPr>
        <w:t>1. Microchip AN5549 - PolarFire FPGA Safety-Critical Features</w:t>
      </w:r>
    </w:p>
    <w:p>
      <w:pPr>
        <w:spacing w:after="40"/>
        <w:ind w:left="317"/>
      </w:pPr>
      <w:r>
        <w:t>LSRAM ECC capability, uSRAM’de native ECC olmaması, SB_CORRECT / DB_DETECT ve scrubbing’in user logic tarafından yapılması gerektiği.</w:t>
      </w:r>
    </w:p>
    <w:p>
      <w:pPr>
        <w:spacing w:after="140"/>
        <w:ind w:left="317"/>
      </w:pPr>
      <w:hyperlink r:id="rId11">
        <w:r>
          <w:rPr>
            <w:color w:val="0563C1"/>
            <w:u w:val="single"/>
          </w:rPr>
          <w:t>https://ww1.microchip.com/downloads/aemDocuments/documents/FPGA/ApplicationNotes/ApplicationNotes/Microchip_PolarFire_FPGAs_for_Safety_Critical__AC478_Application_Note.pdf</w:t>
        </w:r>
      </w:hyperlink>
    </w:p>
    <w:p>
      <w:r>
        <w:rPr>
          <w:b/>
        </w:rPr>
        <w:t>2. Microchip AN4895 - PolarFire EDAC and Scrubbing of Fabric RAMs (Earlier AC491)</w:t>
      </w:r>
    </w:p>
    <w:p>
      <w:pPr>
        <w:spacing w:after="40"/>
        <w:ind w:left="317"/>
      </w:pPr>
      <w:r>
        <w:t>EDAC kodlama/çözme ve scrubbing sırasında hatalı word’ün düzeltilip aynı adrese geri yazılması yaklaşımı.</w:t>
      </w:r>
    </w:p>
    <w:p>
      <w:pPr>
        <w:spacing w:after="140"/>
        <w:ind w:left="317"/>
      </w:pPr>
      <w:hyperlink r:id="rId12">
        <w:r>
          <w:rPr>
            <w:color w:val="0563C1"/>
            <w:u w:val="single"/>
          </w:rPr>
          <w:t>https://ww1.microchip.com/downloads/aemDocuments/documents/FPGA/ApplicationNotes/ApplicationNotes/polarfire_fpga_edac_ac491_application_note_v2.pdf</w:t>
        </w:r>
      </w:hyperlink>
    </w:p>
    <w:p>
      <w:r>
        <w:rPr>
          <w:b/>
        </w:rPr>
        <w:t>3. Microchip UG0680 - PolarFire FPGA Fabric User Guide</w:t>
      </w:r>
    </w:p>
    <w:p>
      <w:pPr>
        <w:spacing w:after="40"/>
        <w:ind w:left="317"/>
      </w:pPr>
      <w:r>
        <w:t>LSRAM ECC’nin x33 two-port mod koşulu, ECC flag davranışları ve “scrubbing must be performed by user logic” detayı.</w:t>
      </w:r>
    </w:p>
    <w:p>
      <w:pPr>
        <w:spacing w:after="140"/>
        <w:ind w:left="317"/>
      </w:pPr>
      <w:hyperlink r:id="rId13">
        <w:r>
          <w:rPr>
            <w:color w:val="0563C1"/>
            <w:u w:val="single"/>
          </w:rPr>
          <w:t>https://ww1.microchip.com/downloads/aemdocuments/documents/fpga/ProductDocuments/UserGuides/polarfire_fpga_fabric_ug0680_v7.pdf</w:t>
        </w:r>
      </w:hyperlink>
    </w:p>
    <w:p>
      <w:r>
        <w:rPr>
          <w:b/>
        </w:rPr>
        <w:t>4. Synplify Pro for Microchip Attribute Reference Manual, Y-2026.03M</w:t>
      </w:r>
    </w:p>
    <w:p>
      <w:pPr>
        <w:spacing w:after="40"/>
        <w:ind w:left="317"/>
      </w:pPr>
      <w:r>
        <w:t>PolarFire için syn_radhardlevel=tmr kullanımı, register TMR davranışı ve TMR reporting bilgisi.</w:t>
      </w:r>
    </w:p>
    <w:p>
      <w:pPr>
        <w:spacing w:after="140"/>
        <w:ind w:left="317"/>
      </w:pPr>
      <w:hyperlink r:id="rId14">
        <w:r>
          <w:rPr>
            <w:color w:val="0563C1"/>
            <w:u w:val="single"/>
          </w:rPr>
          <w:t>https://ww1.microchip.com/downloads/aemDocuments/documents/FPGA/swdocs/synopsys/fpgasyn_att_ref_2026_1.pdf</w:t>
        </w:r>
      </w:hyperlink>
    </w:p>
    <w:p>
      <w:r>
        <w:rPr>
          <w:b/>
        </w:rPr>
        <w:t>5. Microchip FPGA Reliability Page</w:t>
      </w:r>
    </w:p>
    <w:p>
      <w:pPr>
        <w:spacing w:after="40"/>
        <w:ind w:left="317"/>
      </w:pPr>
      <w:r>
        <w:t>PolarFire’ın nonvolatile configuration teknolojisinin configuration SEU bağışıklığı ve genel reliability kaynakları.</w:t>
      </w:r>
    </w:p>
    <w:p>
      <w:pPr>
        <w:spacing w:after="140"/>
        <w:ind w:left="317"/>
      </w:pPr>
      <w:hyperlink r:id="rId15">
        <w:r>
          <w:rPr>
            <w:color w:val="0563C1"/>
            <w:u w:val="single"/>
          </w:rPr>
          <w:t>https://www.microchip.com/en-us/products/fpgas-and-plds/reliability</w:t>
        </w:r>
      </w:hyperlink>
    </w:p>
    <w:p>
      <w:pPr>
        <w:pStyle w:val="Heading1"/>
      </w:pPr>
      <w:r>
        <w:t>6. Toplantıda kullanılabilecek kısa ifade</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Borders>
              <w:top w:val="single" w:sz="8" w:color="5B9BD5"/>
              <w:left w:val="single" w:sz="8" w:color="5B9BD5"/>
              <w:bottom w:val="single" w:sz="8" w:color="5B9BD5"/>
              <w:right w:val="single" w:sz="8" w:color="5B9BD5"/>
            </w:tcBorders>
          </w:tcPr>
          <w:p>
            <w:pPr>
              <w:spacing w:after="60"/>
            </w:pPr>
            <w:r>
              <w:rPr>
                <w:b/>
                <w:sz w:val="21"/>
              </w:rPr>
              <w:t>Önerilen özet</w:t>
            </w:r>
          </w:p>
          <w:p>
            <w:pPr>
              <w:spacing w:after="20"/>
            </w:pPr>
            <w:r>
              <w:t>“Mevcut assessment, SEU katkısını non-negligible olarak doğru şekilde işaretliyor. Tasarım tarafında en büyük contributor olan LSRAM için ECC ve scrubbing uygulanması mantıklı. Ancak PolarFire uSRAM’de native ECC yok ve FF’ler ECC kapsamı dışında. Bu nedenle safety-critical uSRAM/FF kullanımlarını ayrıca mitigate edip, sonrasında residual SEU/FIT değerini yeniden hesaplayarak FTA/FMEA’ya taşımamız gerekir.”</w:t>
            </w:r>
          </w:p>
        </w:tc>
      </w:tr>
    </w:tbl>
    <w:p>
      <w:pPr>
        <w:spacing w:after="0"/>
      </w:pPr>
    </w:p>
    <w:p>
      <w:pPr>
        <w:jc w:val="center"/>
      </w:pPr>
      <w:r>
        <w:rPr>
          <w:i/>
          <w:color w:val="5A5A5A"/>
          <w:sz w:val="17"/>
        </w:rPr>
        <w:t>Not: Bu doküman bir tasarım / safety review çalışma notudur; nihai kabul kriteri proje safety planı, cihaz reliability verisi ve onaylı FMEA/FTA metodolojisi ile teyit edilmelidir.</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Teknik çalışma notu - 10 Ağustos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46464"/>
        <w:sz w:val="16"/>
      </w:rPr>
      <w:t>PolarFire SEU / FIT - Tasarımcı Değerlendirme Notu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1.microchip.com/downloads/aemDocuments/documents/FPGA/ApplicationNotes/ApplicationNotes/Microchip_PolarFire_FPGAs_for_Safety_Critical__AC478_Application_Note.pdf" TargetMode="External"/><Relationship Id="rId12" Type="http://schemas.openxmlformats.org/officeDocument/2006/relationships/hyperlink" Target="https://ww1.microchip.com/downloads/aemDocuments/documents/FPGA/ApplicationNotes/ApplicationNotes/polarfire_fpga_edac_ac491_application_note_v2.pdf" TargetMode="External"/><Relationship Id="rId13" Type="http://schemas.openxmlformats.org/officeDocument/2006/relationships/hyperlink" Target="https://ww1.microchip.com/downloads/aemdocuments/documents/fpga/ProductDocuments/UserGuides/polarfire_fpga_fabric_ug0680_v7.pdf" TargetMode="External"/><Relationship Id="rId14" Type="http://schemas.openxmlformats.org/officeDocument/2006/relationships/hyperlink" Target="https://ww1.microchip.com/downloads/aemDocuments/documents/FPGA/swdocs/synopsys/fpgasyn_att_ref_2026_1.pdf" TargetMode="External"/><Relationship Id="rId15" Type="http://schemas.openxmlformats.org/officeDocument/2006/relationships/hyperlink" Target="https://www.microchip.com/en-us/products/fpgas-and-plds/reli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PolarFire SEU / FIT Tasarımcı Değerlendirme Notu</dc:title>
  <dc:subject>SEU FIT, ECC, scrubbing, TMR, PolarFire MPF300TS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