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5A468" w14:textId="172CE0AA" w:rsidR="00FF1244" w:rsidRDefault="00FF1244" w:rsidP="00FF1244">
      <w:pPr>
        <w:spacing w:line="276" w:lineRule="auto"/>
        <w:rPr>
          <w:rStyle w:val="Heading1Char"/>
          <w:rFonts w:asciiTheme="majorBidi" w:hAnsiTheme="majorBidi"/>
          <w:b/>
          <w:bCs/>
          <w:color w:val="auto"/>
          <w:sz w:val="28"/>
          <w:szCs w:val="28"/>
        </w:rPr>
      </w:pPr>
      <w:r w:rsidRPr="00472D4C">
        <w:rPr>
          <w:rStyle w:val="Heading1Char"/>
          <w:rFonts w:asciiTheme="majorBidi" w:hAnsiTheme="majorBidi"/>
          <w:b/>
          <w:bCs/>
          <w:color w:val="auto"/>
          <w:sz w:val="28"/>
          <w:szCs w:val="28"/>
        </w:rPr>
        <w:t xml:space="preserve">Dataset Description – </w:t>
      </w:r>
      <w:r>
        <w:rPr>
          <w:rStyle w:val="Heading1Char"/>
          <w:rFonts w:asciiTheme="majorBidi" w:hAnsiTheme="majorBidi"/>
          <w:b/>
          <w:bCs/>
          <w:color w:val="auto"/>
          <w:sz w:val="28"/>
          <w:szCs w:val="28"/>
        </w:rPr>
        <w:t xml:space="preserve">Electric </w:t>
      </w:r>
      <w:r w:rsidRPr="00472D4C">
        <w:rPr>
          <w:rStyle w:val="Heading1Char"/>
          <w:rFonts w:asciiTheme="majorBidi" w:hAnsiTheme="majorBidi"/>
          <w:b/>
          <w:bCs/>
          <w:color w:val="auto"/>
          <w:sz w:val="28"/>
          <w:szCs w:val="28"/>
        </w:rPr>
        <w:t>Vehicle Routing Problem with</w:t>
      </w:r>
      <w:r>
        <w:rPr>
          <w:rStyle w:val="Heading1Char"/>
          <w:rFonts w:asciiTheme="majorBidi" w:hAnsiTheme="majorBidi"/>
          <w:b/>
          <w:bCs/>
          <w:color w:val="auto"/>
          <w:sz w:val="28"/>
          <w:szCs w:val="28"/>
        </w:rPr>
        <w:t xml:space="preserve"> Time Windows </w:t>
      </w:r>
      <w:r w:rsidR="00094790">
        <w:rPr>
          <w:rStyle w:val="Heading1Char"/>
          <w:rFonts w:asciiTheme="majorBidi" w:hAnsiTheme="majorBidi"/>
          <w:b/>
          <w:bCs/>
          <w:color w:val="auto"/>
          <w:sz w:val="28"/>
          <w:szCs w:val="28"/>
        </w:rPr>
        <w:t>given the</w:t>
      </w:r>
      <w:r w:rsidRPr="00472D4C">
        <w:rPr>
          <w:rStyle w:val="Heading1Char"/>
          <w:rFonts w:asciiTheme="majorBidi" w:hAnsiTheme="majorBidi"/>
          <w:b/>
          <w:bCs/>
          <w:color w:val="auto"/>
          <w:sz w:val="28"/>
          <w:szCs w:val="28"/>
        </w:rPr>
        <w:t xml:space="preserve"> Altitude Information</w:t>
      </w:r>
    </w:p>
    <w:p w14:paraId="3D6665F3" w14:textId="77777777" w:rsidR="00D229FE" w:rsidRDefault="00D229FE" w:rsidP="00FF1244">
      <w:pPr>
        <w:spacing w:line="276" w:lineRule="auto"/>
        <w:rPr>
          <w:rStyle w:val="Heading1Char"/>
          <w:rFonts w:asciiTheme="majorBidi" w:hAnsiTheme="majorBidi"/>
          <w:b/>
          <w:bCs/>
          <w:color w:val="auto"/>
          <w:sz w:val="28"/>
          <w:szCs w:val="28"/>
        </w:rPr>
      </w:pPr>
    </w:p>
    <w:p w14:paraId="6D00F861" w14:textId="77777777" w:rsidR="00FF1244" w:rsidRDefault="00FF1244" w:rsidP="00FF1244">
      <w:pPr>
        <w:spacing w:before="240" w:line="276" w:lineRule="auto"/>
        <w:rPr>
          <w:rFonts w:asciiTheme="majorBidi" w:hAnsiTheme="majorBidi" w:cstheme="majorBidi"/>
        </w:rPr>
      </w:pPr>
      <w:r w:rsidRPr="0031294B">
        <w:rPr>
          <w:rStyle w:val="Heading2Char"/>
          <w:rFonts w:asciiTheme="majorBidi" w:hAnsiTheme="majorBidi"/>
          <w:b/>
          <w:bCs/>
          <w:color w:val="auto"/>
          <w:sz w:val="28"/>
          <w:szCs w:val="28"/>
        </w:rPr>
        <w:t>1. Network size, type, and File Variants</w:t>
      </w:r>
    </w:p>
    <w:p w14:paraId="472068F3" w14:textId="17F9A9E8" w:rsidR="007D2038" w:rsidRDefault="007D2038" w:rsidP="00FF1244">
      <w:pPr>
        <w:spacing w:line="360" w:lineRule="auto"/>
        <w:jc w:val="both"/>
        <w:rPr>
          <w:rFonts w:asciiTheme="majorBidi" w:hAnsiTheme="majorBidi" w:cstheme="majorBidi"/>
          <w:lang w:val="en-US"/>
        </w:rPr>
      </w:pPr>
      <w:r w:rsidRPr="007D2038">
        <w:rPr>
          <w:rFonts w:asciiTheme="majorBidi" w:hAnsiTheme="majorBidi" w:cstheme="majorBidi"/>
          <w:lang w:val="en-US"/>
        </w:rPr>
        <w:t>This is the dataset used in the experimental study of the paper entitled “Uphill Struggles, Downhill Gains: How Road Gradients and Load Dynamics Influence Electric Vehicle Routing Decisions?” by Rastani et al. (2025). This paper deals with the Electric Vehicle Routing Problem with Time Windows by taking into account the effect of road gradient and regenerative braking on energy consumption, which is referred to as the EVRPTW-GR. The instances are generated using the EVRPTW instances of Schneider et al. (2014), modified by Rastani et al. (2025).</w:t>
      </w:r>
    </w:p>
    <w:p w14:paraId="0641D7B5" w14:textId="13ECF187" w:rsidR="008D0EE5" w:rsidRDefault="00FF1244" w:rsidP="008D0EE5">
      <w:pPr>
        <w:spacing w:line="360" w:lineRule="auto"/>
        <w:jc w:val="both"/>
        <w:rPr>
          <w:rFonts w:asciiTheme="majorBidi" w:hAnsiTheme="majorBidi" w:cstheme="majorBidi"/>
        </w:rPr>
      </w:pPr>
      <w:r>
        <w:rPr>
          <w:rFonts w:asciiTheme="majorBidi" w:hAnsiTheme="majorBidi" w:cstheme="majorBidi"/>
        </w:rPr>
        <w:t xml:space="preserve">EVRPTW-GR dataset consists of three subsets with different network sizes. </w:t>
      </w:r>
      <w:r w:rsidRPr="00B44BCF">
        <w:rPr>
          <w:rFonts w:asciiTheme="majorBidi" w:hAnsiTheme="majorBidi" w:cstheme="majorBidi"/>
        </w:rPr>
        <w:t xml:space="preserve">Small networks include </w:t>
      </w:r>
      <w:r>
        <w:rPr>
          <w:rFonts w:asciiTheme="majorBidi" w:hAnsiTheme="majorBidi" w:cstheme="majorBidi"/>
        </w:rPr>
        <w:t>three further</w:t>
      </w:r>
      <w:r w:rsidRPr="00B44BCF">
        <w:rPr>
          <w:rFonts w:asciiTheme="majorBidi" w:hAnsiTheme="majorBidi" w:cstheme="majorBidi"/>
        </w:rPr>
        <w:t xml:space="preserve"> categories with 5</w:t>
      </w:r>
      <w:r>
        <w:rPr>
          <w:rFonts w:asciiTheme="majorBidi" w:hAnsiTheme="majorBidi" w:cstheme="majorBidi"/>
        </w:rPr>
        <w:t>-</w:t>
      </w:r>
      <w:r w:rsidRPr="00B44BCF">
        <w:rPr>
          <w:rFonts w:asciiTheme="majorBidi" w:hAnsiTheme="majorBidi" w:cstheme="majorBidi"/>
        </w:rPr>
        <w:t>, 10</w:t>
      </w:r>
      <w:r>
        <w:rPr>
          <w:rFonts w:asciiTheme="majorBidi" w:hAnsiTheme="majorBidi" w:cstheme="majorBidi"/>
        </w:rPr>
        <w:t>-</w:t>
      </w:r>
      <w:r w:rsidRPr="00B44BCF">
        <w:rPr>
          <w:rFonts w:asciiTheme="majorBidi" w:hAnsiTheme="majorBidi" w:cstheme="majorBidi"/>
        </w:rPr>
        <w:t>, and 15-customer datasets</w:t>
      </w:r>
      <w:r>
        <w:rPr>
          <w:rFonts w:asciiTheme="majorBidi" w:hAnsiTheme="majorBidi" w:cstheme="majorBidi"/>
        </w:rPr>
        <w:t>, whereas m</w:t>
      </w:r>
      <w:r w:rsidRPr="00B44BCF">
        <w:rPr>
          <w:rFonts w:asciiTheme="majorBidi" w:hAnsiTheme="majorBidi" w:cstheme="majorBidi"/>
        </w:rPr>
        <w:t>edium</w:t>
      </w:r>
      <w:r>
        <w:rPr>
          <w:rFonts w:asciiTheme="majorBidi" w:hAnsiTheme="majorBidi" w:cstheme="majorBidi"/>
        </w:rPr>
        <w:t xml:space="preserve"> and large</w:t>
      </w:r>
      <w:r w:rsidRPr="00B44BCF">
        <w:rPr>
          <w:rFonts w:asciiTheme="majorBidi" w:hAnsiTheme="majorBidi" w:cstheme="majorBidi"/>
        </w:rPr>
        <w:t xml:space="preserve"> network</w:t>
      </w:r>
      <w:r>
        <w:rPr>
          <w:rFonts w:asciiTheme="majorBidi" w:hAnsiTheme="majorBidi" w:cstheme="majorBidi"/>
        </w:rPr>
        <w:t>s</w:t>
      </w:r>
      <w:r w:rsidRPr="00B44BCF">
        <w:rPr>
          <w:rFonts w:asciiTheme="majorBidi" w:hAnsiTheme="majorBidi" w:cstheme="majorBidi"/>
        </w:rPr>
        <w:t xml:space="preserve"> include 25-</w:t>
      </w:r>
      <w:r>
        <w:rPr>
          <w:rFonts w:asciiTheme="majorBidi" w:hAnsiTheme="majorBidi" w:cstheme="majorBidi"/>
        </w:rPr>
        <w:t xml:space="preserve"> and </w:t>
      </w:r>
      <w:r w:rsidR="008D0EE5">
        <w:rPr>
          <w:rFonts w:asciiTheme="majorBidi" w:hAnsiTheme="majorBidi" w:cstheme="majorBidi"/>
        </w:rPr>
        <w:t>50</w:t>
      </w:r>
      <w:r>
        <w:rPr>
          <w:rFonts w:asciiTheme="majorBidi" w:hAnsiTheme="majorBidi" w:cstheme="majorBidi"/>
        </w:rPr>
        <w:t>-</w:t>
      </w:r>
      <w:r w:rsidRPr="00B44BCF">
        <w:rPr>
          <w:rFonts w:asciiTheme="majorBidi" w:hAnsiTheme="majorBidi" w:cstheme="majorBidi"/>
        </w:rPr>
        <w:t>customer datasets</w:t>
      </w:r>
      <w:r>
        <w:rPr>
          <w:rFonts w:asciiTheme="majorBidi" w:hAnsiTheme="majorBidi" w:cstheme="majorBidi"/>
        </w:rPr>
        <w:t xml:space="preserve">, respectively. </w:t>
      </w:r>
      <w:r w:rsidRPr="00472D4C">
        <w:rPr>
          <w:rFonts w:asciiTheme="majorBidi" w:hAnsiTheme="majorBidi" w:cstheme="majorBidi"/>
        </w:rPr>
        <w:t>Each</w:t>
      </w:r>
      <w:r>
        <w:rPr>
          <w:rFonts w:asciiTheme="majorBidi" w:hAnsiTheme="majorBidi" w:cstheme="majorBidi"/>
        </w:rPr>
        <w:t xml:space="preserve"> subset</w:t>
      </w:r>
      <w:r w:rsidRPr="00472D4C">
        <w:rPr>
          <w:rFonts w:asciiTheme="majorBidi" w:hAnsiTheme="majorBidi" w:cstheme="majorBidi"/>
        </w:rPr>
        <w:t xml:space="preserve"> consists of three versions of the same instance, differentiated by the terrain altitudes assigned to each customer location</w:t>
      </w:r>
      <w:r>
        <w:rPr>
          <w:rFonts w:asciiTheme="majorBidi" w:hAnsiTheme="majorBidi" w:cstheme="majorBidi"/>
        </w:rPr>
        <w:t xml:space="preserve">, namely level, nearly level, and very gentle. Each </w:t>
      </w:r>
      <w:r w:rsidR="008D0EE5">
        <w:rPr>
          <w:rFonts w:asciiTheme="majorBidi" w:hAnsiTheme="majorBidi" w:cstheme="majorBidi"/>
        </w:rPr>
        <w:t xml:space="preserve">small and medium-size </w:t>
      </w:r>
      <w:r>
        <w:rPr>
          <w:rFonts w:asciiTheme="majorBidi" w:hAnsiTheme="majorBidi" w:cstheme="majorBidi"/>
        </w:rPr>
        <w:t>dataset includes 12 instances</w:t>
      </w:r>
      <w:r w:rsidR="008D0EE5">
        <w:rPr>
          <w:rFonts w:asciiTheme="majorBidi" w:hAnsiTheme="majorBidi" w:cstheme="majorBidi"/>
        </w:rPr>
        <w:t>, and the large-size data set contains 4 instances.</w:t>
      </w:r>
    </w:p>
    <w:p w14:paraId="405E3043" w14:textId="77777777" w:rsidR="00D229FE" w:rsidRDefault="00D229FE" w:rsidP="00FF1244">
      <w:pPr>
        <w:spacing w:line="360" w:lineRule="auto"/>
        <w:jc w:val="both"/>
        <w:rPr>
          <w:rFonts w:asciiTheme="majorBidi" w:hAnsiTheme="majorBidi" w:cstheme="majorBidi"/>
        </w:rPr>
      </w:pPr>
      <w:r w:rsidRPr="00D229FE">
        <w:rPr>
          <w:rFonts w:asciiTheme="majorBidi" w:hAnsiTheme="majorBidi" w:cstheme="majorBidi"/>
        </w:rPr>
        <w:t>It is worth noting that the level terrain, where the altitude data is neglected, is similar to Shneider et al. (2014) data, with the only difference being the demand data, as we scaled the demand to make it meaningful for large vehicles and load-dependent cases.</w:t>
      </w:r>
    </w:p>
    <w:p w14:paraId="435C874A" w14:textId="141D3A9C" w:rsidR="00FF1244" w:rsidRDefault="00FF1244" w:rsidP="00FF1244">
      <w:pPr>
        <w:spacing w:line="360" w:lineRule="auto"/>
        <w:jc w:val="both"/>
        <w:rPr>
          <w:rFonts w:asciiTheme="majorBidi" w:hAnsiTheme="majorBidi" w:cstheme="majorBidi"/>
          <w:lang w:val="en-US"/>
        </w:rPr>
      </w:pPr>
      <w:r>
        <w:rPr>
          <w:rFonts w:asciiTheme="majorBidi" w:hAnsiTheme="majorBidi" w:cstheme="majorBidi"/>
        </w:rPr>
        <w:t>Files are given names following the convention used in Schneider et al. (2014). For example, in “</w:t>
      </w:r>
      <w:r w:rsidRPr="00EF068B">
        <w:rPr>
          <w:rFonts w:asciiTheme="majorBidi" w:hAnsiTheme="majorBidi" w:cstheme="majorBidi"/>
        </w:rPr>
        <w:t>c101</w:t>
      </w:r>
      <w:r>
        <w:rPr>
          <w:rFonts w:asciiTheme="majorBidi" w:hAnsiTheme="majorBidi" w:cstheme="majorBidi"/>
        </w:rPr>
        <w:t>C</w:t>
      </w:r>
      <w:r w:rsidRPr="00EF068B">
        <w:rPr>
          <w:rFonts w:asciiTheme="majorBidi" w:hAnsiTheme="majorBidi" w:cstheme="majorBidi"/>
        </w:rPr>
        <w:t>25_L</w:t>
      </w:r>
      <w:r>
        <w:rPr>
          <w:rFonts w:asciiTheme="majorBidi" w:hAnsiTheme="majorBidi" w:cstheme="majorBidi"/>
        </w:rPr>
        <w:t>”, c101 is the identifier of the instance, where the first letter shows the</w:t>
      </w:r>
      <w:r w:rsidRPr="00EF068B">
        <w:rPr>
          <w:rFonts w:asciiTheme="majorBidi" w:hAnsiTheme="majorBidi" w:cstheme="majorBidi"/>
          <w:lang w:val="en-US"/>
        </w:rPr>
        <w:t xml:space="preserve"> categor</w:t>
      </w:r>
      <w:r>
        <w:rPr>
          <w:rFonts w:asciiTheme="majorBidi" w:hAnsiTheme="majorBidi" w:cstheme="majorBidi"/>
          <w:lang w:val="en-US"/>
        </w:rPr>
        <w:t>y</w:t>
      </w:r>
      <w:r w:rsidRPr="00EF068B">
        <w:rPr>
          <w:rFonts w:asciiTheme="majorBidi" w:hAnsiTheme="majorBidi" w:cstheme="majorBidi"/>
          <w:lang w:val="en-US"/>
        </w:rPr>
        <w:t xml:space="preserve"> </w:t>
      </w:r>
      <w:r>
        <w:rPr>
          <w:rFonts w:asciiTheme="majorBidi" w:hAnsiTheme="majorBidi" w:cstheme="majorBidi"/>
          <w:lang w:val="en-US"/>
        </w:rPr>
        <w:t xml:space="preserve">for </w:t>
      </w:r>
      <w:r w:rsidRPr="00EF068B">
        <w:rPr>
          <w:rFonts w:asciiTheme="majorBidi" w:hAnsiTheme="majorBidi" w:cstheme="majorBidi"/>
          <w:lang w:val="en-US"/>
        </w:rPr>
        <w:t>the geographic distribution of customers: clustered (c-type), random (r-type), and a combination of clustered and random (rc-type).</w:t>
      </w:r>
      <w:r>
        <w:rPr>
          <w:rFonts w:asciiTheme="majorBidi" w:hAnsiTheme="majorBidi" w:cstheme="majorBidi"/>
          <w:lang w:val="en-US"/>
        </w:rPr>
        <w:t xml:space="preserve"> </w:t>
      </w:r>
      <w:r w:rsidRPr="00EF068B">
        <w:rPr>
          <w:rFonts w:asciiTheme="majorBidi" w:hAnsiTheme="majorBidi" w:cstheme="majorBidi"/>
          <w:lang w:val="en-US"/>
        </w:rPr>
        <w:t>Additionally, type-1 problems (subsets r1, c1, rc1) feature a short planning horizon with narrow customer time windows, whereas type-2 problems (subsets r2, c2, rc2) have a long</w:t>
      </w:r>
      <w:r>
        <w:rPr>
          <w:rFonts w:asciiTheme="majorBidi" w:hAnsiTheme="majorBidi" w:cstheme="majorBidi"/>
          <w:lang w:val="en-US"/>
        </w:rPr>
        <w:t xml:space="preserve"> </w:t>
      </w:r>
      <w:r w:rsidRPr="00EF068B">
        <w:rPr>
          <w:rFonts w:asciiTheme="majorBidi" w:hAnsiTheme="majorBidi" w:cstheme="majorBidi"/>
          <w:lang w:val="en-US"/>
        </w:rPr>
        <w:t>planning horizon with wider time windows.</w:t>
      </w:r>
      <w:r>
        <w:rPr>
          <w:rFonts w:asciiTheme="majorBidi" w:hAnsiTheme="majorBidi" w:cstheme="majorBidi"/>
          <w:lang w:val="en-US"/>
        </w:rPr>
        <w:t xml:space="preserve"> The next identifier shows the number of customers in the instance. Finally, the letter at the end represents the terrain conditions, which are explained in Table 1:</w:t>
      </w:r>
    </w:p>
    <w:p w14:paraId="751C5088" w14:textId="77777777" w:rsidR="00D229FE" w:rsidRPr="00B44BCF" w:rsidRDefault="00D229FE" w:rsidP="00FF1244">
      <w:pPr>
        <w:spacing w:line="360" w:lineRule="auto"/>
        <w:jc w:val="both"/>
        <w:rPr>
          <w:rFonts w:asciiTheme="majorBidi" w:hAnsiTheme="majorBidi" w:cstheme="majorBidi"/>
        </w:rPr>
      </w:pPr>
    </w:p>
    <w:p w14:paraId="4FBF0B28" w14:textId="55937771" w:rsidR="00FF1244" w:rsidRPr="00A250CC" w:rsidRDefault="00FF1244" w:rsidP="00FF1244">
      <w:pPr>
        <w:pStyle w:val="Caption"/>
        <w:keepNext/>
        <w:spacing w:after="0" w:line="360" w:lineRule="auto"/>
        <w:jc w:val="center"/>
        <w:rPr>
          <w:rFonts w:asciiTheme="majorBidi" w:hAnsiTheme="majorBidi" w:cstheme="majorBidi"/>
          <w:i w:val="0"/>
          <w:iCs w:val="0"/>
          <w:color w:val="auto"/>
          <w:sz w:val="24"/>
          <w:szCs w:val="24"/>
        </w:rPr>
      </w:pPr>
      <w:r w:rsidRPr="00A250CC">
        <w:rPr>
          <w:rFonts w:asciiTheme="majorBidi" w:hAnsiTheme="majorBidi" w:cstheme="majorBidi"/>
          <w:i w:val="0"/>
          <w:iCs w:val="0"/>
          <w:color w:val="auto"/>
          <w:sz w:val="24"/>
          <w:szCs w:val="24"/>
        </w:rPr>
        <w:lastRenderedPageBreak/>
        <w:t xml:space="preserve">Table </w:t>
      </w:r>
      <w:r w:rsidRPr="00A250CC">
        <w:rPr>
          <w:rFonts w:asciiTheme="majorBidi" w:hAnsiTheme="majorBidi" w:cstheme="majorBidi"/>
          <w:i w:val="0"/>
          <w:iCs w:val="0"/>
          <w:color w:val="auto"/>
          <w:sz w:val="24"/>
          <w:szCs w:val="24"/>
        </w:rPr>
        <w:fldChar w:fldCharType="begin"/>
      </w:r>
      <w:r w:rsidRPr="00A250CC">
        <w:rPr>
          <w:rFonts w:asciiTheme="majorBidi" w:hAnsiTheme="majorBidi" w:cstheme="majorBidi"/>
          <w:i w:val="0"/>
          <w:iCs w:val="0"/>
          <w:color w:val="auto"/>
          <w:sz w:val="24"/>
          <w:szCs w:val="24"/>
        </w:rPr>
        <w:instrText xml:space="preserve"> SEQ Table \* ARABIC </w:instrText>
      </w:r>
      <w:r w:rsidRPr="00A250CC">
        <w:rPr>
          <w:rFonts w:asciiTheme="majorBidi" w:hAnsiTheme="majorBidi" w:cstheme="majorBidi"/>
          <w:i w:val="0"/>
          <w:iCs w:val="0"/>
          <w:color w:val="auto"/>
          <w:sz w:val="24"/>
          <w:szCs w:val="24"/>
        </w:rPr>
        <w:fldChar w:fldCharType="separate"/>
      </w:r>
      <w:r w:rsidR="009459F3">
        <w:rPr>
          <w:rFonts w:asciiTheme="majorBidi" w:hAnsiTheme="majorBidi" w:cstheme="majorBidi"/>
          <w:i w:val="0"/>
          <w:iCs w:val="0"/>
          <w:noProof/>
          <w:color w:val="auto"/>
          <w:sz w:val="24"/>
          <w:szCs w:val="24"/>
        </w:rPr>
        <w:t>1</w:t>
      </w:r>
      <w:r w:rsidRPr="00A250CC">
        <w:rPr>
          <w:rFonts w:asciiTheme="majorBidi" w:hAnsiTheme="majorBidi" w:cstheme="majorBidi"/>
          <w:i w:val="0"/>
          <w:iCs w:val="0"/>
          <w:color w:val="auto"/>
          <w:sz w:val="24"/>
          <w:szCs w:val="24"/>
        </w:rPr>
        <w:fldChar w:fldCharType="end"/>
      </w:r>
      <w:r w:rsidRPr="00A250CC">
        <w:rPr>
          <w:rFonts w:asciiTheme="majorBidi" w:hAnsiTheme="majorBidi" w:cstheme="majorBidi"/>
          <w:i w:val="0"/>
          <w:iCs w:val="0"/>
          <w:color w:val="auto"/>
          <w:sz w:val="24"/>
          <w:szCs w:val="24"/>
        </w:rPr>
        <w:t>. File Variants</w:t>
      </w:r>
    </w:p>
    <w:tbl>
      <w:tblPr>
        <w:tblW w:w="9654"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984"/>
        <w:gridCol w:w="6252"/>
      </w:tblGrid>
      <w:tr w:rsidR="00FF1244" w:rsidRPr="00472D4C" w14:paraId="13976D9F" w14:textId="77777777" w:rsidTr="005143C3">
        <w:trPr>
          <w:tblHeader/>
          <w:tblCellSpacing w:w="15" w:type="dxa"/>
        </w:trPr>
        <w:tc>
          <w:tcPr>
            <w:tcW w:w="1373" w:type="dxa"/>
            <w:tcBorders>
              <w:top w:val="single" w:sz="4" w:space="0" w:color="auto"/>
              <w:bottom w:val="single" w:sz="4" w:space="0" w:color="auto"/>
            </w:tcBorders>
            <w:vAlign w:val="center"/>
            <w:hideMark/>
          </w:tcPr>
          <w:p w14:paraId="6F1BDF3C" w14:textId="77777777" w:rsidR="00FF1244" w:rsidRPr="00472D4C" w:rsidRDefault="00FF1244" w:rsidP="005143C3">
            <w:pPr>
              <w:spacing w:line="240" w:lineRule="auto"/>
              <w:rPr>
                <w:rFonts w:asciiTheme="majorBidi" w:hAnsiTheme="majorBidi" w:cstheme="majorBidi"/>
                <w:b/>
                <w:bCs/>
              </w:rPr>
            </w:pPr>
            <w:r w:rsidRPr="00472D4C">
              <w:rPr>
                <w:rFonts w:asciiTheme="majorBidi" w:hAnsiTheme="majorBidi" w:cstheme="majorBidi"/>
                <w:b/>
                <w:bCs/>
              </w:rPr>
              <w:t>File Variant</w:t>
            </w:r>
          </w:p>
        </w:tc>
        <w:tc>
          <w:tcPr>
            <w:tcW w:w="1954" w:type="dxa"/>
            <w:tcBorders>
              <w:top w:val="single" w:sz="4" w:space="0" w:color="auto"/>
              <w:bottom w:val="single" w:sz="4" w:space="0" w:color="auto"/>
            </w:tcBorders>
            <w:vAlign w:val="center"/>
            <w:hideMark/>
          </w:tcPr>
          <w:p w14:paraId="1B4FFB9B" w14:textId="77777777" w:rsidR="00FF1244" w:rsidRPr="00472D4C" w:rsidRDefault="00FF1244" w:rsidP="005143C3">
            <w:pPr>
              <w:spacing w:line="240" w:lineRule="auto"/>
              <w:rPr>
                <w:rFonts w:asciiTheme="majorBidi" w:hAnsiTheme="majorBidi" w:cstheme="majorBidi"/>
                <w:b/>
                <w:bCs/>
              </w:rPr>
            </w:pPr>
            <w:r w:rsidRPr="00472D4C">
              <w:rPr>
                <w:rFonts w:asciiTheme="majorBidi" w:hAnsiTheme="majorBidi" w:cstheme="majorBidi"/>
                <w:b/>
                <w:bCs/>
              </w:rPr>
              <w:t>Name</w:t>
            </w:r>
          </w:p>
        </w:tc>
        <w:tc>
          <w:tcPr>
            <w:tcW w:w="0" w:type="auto"/>
            <w:tcBorders>
              <w:top w:val="single" w:sz="4" w:space="0" w:color="auto"/>
              <w:bottom w:val="single" w:sz="4" w:space="0" w:color="auto"/>
            </w:tcBorders>
            <w:vAlign w:val="center"/>
            <w:hideMark/>
          </w:tcPr>
          <w:p w14:paraId="6674380E" w14:textId="77777777" w:rsidR="00FF1244" w:rsidRPr="00472D4C" w:rsidRDefault="00FF1244" w:rsidP="005143C3">
            <w:pPr>
              <w:spacing w:line="240" w:lineRule="auto"/>
              <w:rPr>
                <w:rFonts w:asciiTheme="majorBidi" w:hAnsiTheme="majorBidi" w:cstheme="majorBidi"/>
                <w:b/>
                <w:bCs/>
              </w:rPr>
            </w:pPr>
            <w:r w:rsidRPr="00472D4C">
              <w:rPr>
                <w:rFonts w:asciiTheme="majorBidi" w:hAnsiTheme="majorBidi" w:cstheme="majorBidi"/>
                <w:b/>
                <w:bCs/>
              </w:rPr>
              <w:t>Description</w:t>
            </w:r>
          </w:p>
        </w:tc>
      </w:tr>
      <w:tr w:rsidR="00FF1244" w:rsidRPr="00472D4C" w14:paraId="07035909" w14:textId="77777777" w:rsidTr="005143C3">
        <w:trPr>
          <w:tblCellSpacing w:w="15" w:type="dxa"/>
        </w:trPr>
        <w:tc>
          <w:tcPr>
            <w:tcW w:w="1373" w:type="dxa"/>
            <w:vAlign w:val="center"/>
          </w:tcPr>
          <w:p w14:paraId="33551BE5" w14:textId="77777777" w:rsidR="00FF1244" w:rsidRPr="00A250CC" w:rsidRDefault="00FF1244" w:rsidP="005143C3">
            <w:pPr>
              <w:spacing w:line="240" w:lineRule="auto"/>
              <w:rPr>
                <w:rFonts w:asciiTheme="majorBidi" w:hAnsiTheme="majorBidi" w:cstheme="majorBidi"/>
              </w:rPr>
            </w:pPr>
            <w:r w:rsidRPr="00A250CC">
              <w:rPr>
                <w:rFonts w:asciiTheme="majorBidi" w:hAnsiTheme="majorBidi" w:cstheme="majorBidi"/>
              </w:rPr>
              <w:t>_L</w:t>
            </w:r>
          </w:p>
        </w:tc>
        <w:tc>
          <w:tcPr>
            <w:tcW w:w="1954" w:type="dxa"/>
            <w:vAlign w:val="center"/>
          </w:tcPr>
          <w:p w14:paraId="631BDD55"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Level</w:t>
            </w:r>
          </w:p>
        </w:tc>
        <w:tc>
          <w:tcPr>
            <w:tcW w:w="0" w:type="auto"/>
            <w:vAlign w:val="center"/>
          </w:tcPr>
          <w:p w14:paraId="3F06E81C"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Represents flat terrain where all altitude values are set to 0.0.</w:t>
            </w:r>
          </w:p>
        </w:tc>
      </w:tr>
      <w:tr w:rsidR="00FF1244" w:rsidRPr="00472D4C" w14:paraId="36D177DF" w14:textId="77777777" w:rsidTr="005143C3">
        <w:trPr>
          <w:tblCellSpacing w:w="15" w:type="dxa"/>
        </w:trPr>
        <w:tc>
          <w:tcPr>
            <w:tcW w:w="1373" w:type="dxa"/>
            <w:vAlign w:val="center"/>
          </w:tcPr>
          <w:p w14:paraId="267B6019" w14:textId="77777777" w:rsidR="00FF1244" w:rsidRPr="00A250CC" w:rsidRDefault="00FF1244" w:rsidP="005143C3">
            <w:pPr>
              <w:spacing w:line="240" w:lineRule="auto"/>
              <w:rPr>
                <w:rFonts w:asciiTheme="majorBidi" w:hAnsiTheme="majorBidi" w:cstheme="majorBidi"/>
              </w:rPr>
            </w:pPr>
            <w:r w:rsidRPr="00A250CC">
              <w:rPr>
                <w:rFonts w:asciiTheme="majorBidi" w:hAnsiTheme="majorBidi" w:cstheme="majorBidi"/>
              </w:rPr>
              <w:t>_NL</w:t>
            </w:r>
          </w:p>
        </w:tc>
        <w:tc>
          <w:tcPr>
            <w:tcW w:w="1954" w:type="dxa"/>
            <w:vAlign w:val="center"/>
          </w:tcPr>
          <w:p w14:paraId="662270E7" w14:textId="77777777" w:rsidR="00FF1244" w:rsidRPr="00472D4C" w:rsidRDefault="00FF1244" w:rsidP="005143C3">
            <w:pPr>
              <w:spacing w:line="240" w:lineRule="auto"/>
              <w:rPr>
                <w:rFonts w:asciiTheme="majorBidi" w:hAnsiTheme="majorBidi" w:cstheme="majorBidi"/>
              </w:rPr>
            </w:pPr>
            <w:r>
              <w:rPr>
                <w:rFonts w:asciiTheme="majorBidi" w:hAnsiTheme="majorBidi" w:cstheme="majorBidi"/>
              </w:rPr>
              <w:t>Nearly Level</w:t>
            </w:r>
          </w:p>
        </w:tc>
        <w:tc>
          <w:tcPr>
            <w:tcW w:w="0" w:type="auto"/>
            <w:vAlign w:val="center"/>
          </w:tcPr>
          <w:p w14:paraId="5252353E"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 xml:space="preserve">Contains </w:t>
            </w:r>
            <w:r>
              <w:rPr>
                <w:rFonts w:asciiTheme="majorBidi" w:hAnsiTheme="majorBidi" w:cstheme="majorBidi"/>
              </w:rPr>
              <w:t>nearly level</w:t>
            </w:r>
            <w:r w:rsidRPr="00472D4C">
              <w:rPr>
                <w:rFonts w:asciiTheme="majorBidi" w:hAnsiTheme="majorBidi" w:cstheme="majorBidi"/>
              </w:rPr>
              <w:t xml:space="preserve"> altitude values</w:t>
            </w:r>
            <w:r>
              <w:rPr>
                <w:rFonts w:asciiTheme="majorBidi" w:hAnsiTheme="majorBidi" w:cstheme="majorBidi"/>
              </w:rPr>
              <w:t>.</w:t>
            </w:r>
          </w:p>
        </w:tc>
      </w:tr>
      <w:tr w:rsidR="00FF1244" w:rsidRPr="00472D4C" w14:paraId="186046C5" w14:textId="77777777" w:rsidTr="005143C3">
        <w:trPr>
          <w:tblCellSpacing w:w="15" w:type="dxa"/>
        </w:trPr>
        <w:tc>
          <w:tcPr>
            <w:tcW w:w="1373" w:type="dxa"/>
            <w:vAlign w:val="center"/>
            <w:hideMark/>
          </w:tcPr>
          <w:p w14:paraId="1CF07284" w14:textId="77777777" w:rsidR="00FF1244" w:rsidRPr="00A250CC" w:rsidRDefault="00FF1244" w:rsidP="005143C3">
            <w:pPr>
              <w:spacing w:line="240" w:lineRule="auto"/>
              <w:rPr>
                <w:rFonts w:asciiTheme="majorBidi" w:hAnsiTheme="majorBidi" w:cstheme="majorBidi"/>
              </w:rPr>
            </w:pPr>
            <w:r w:rsidRPr="00A250CC">
              <w:rPr>
                <w:rFonts w:asciiTheme="majorBidi" w:hAnsiTheme="majorBidi" w:cstheme="majorBidi"/>
              </w:rPr>
              <w:t>_VG</w:t>
            </w:r>
          </w:p>
        </w:tc>
        <w:tc>
          <w:tcPr>
            <w:tcW w:w="1954" w:type="dxa"/>
            <w:vAlign w:val="center"/>
            <w:hideMark/>
          </w:tcPr>
          <w:p w14:paraId="4F65F6E3"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 xml:space="preserve">Very </w:t>
            </w:r>
            <w:r>
              <w:rPr>
                <w:rFonts w:asciiTheme="majorBidi" w:hAnsiTheme="majorBidi" w:cstheme="majorBidi"/>
              </w:rPr>
              <w:t>Gentle</w:t>
            </w:r>
          </w:p>
        </w:tc>
        <w:tc>
          <w:tcPr>
            <w:tcW w:w="0" w:type="auto"/>
            <w:vAlign w:val="center"/>
            <w:hideMark/>
          </w:tcPr>
          <w:p w14:paraId="15BD4081"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Represents steeper terrain. Altitude values are 1.5 times higher than those in the _NL file.</w:t>
            </w:r>
          </w:p>
        </w:tc>
      </w:tr>
    </w:tbl>
    <w:p w14:paraId="4087A5FE" w14:textId="77777777" w:rsidR="00FF1244" w:rsidRDefault="00FF1244" w:rsidP="00FF1244">
      <w:pPr>
        <w:spacing w:before="240" w:line="360" w:lineRule="auto"/>
        <w:jc w:val="both"/>
        <w:rPr>
          <w:rFonts w:asciiTheme="majorBidi" w:hAnsiTheme="majorBidi" w:cstheme="majorBidi"/>
        </w:rPr>
      </w:pPr>
      <w:r w:rsidRPr="00472D4C">
        <w:rPr>
          <w:rFonts w:asciiTheme="majorBidi" w:hAnsiTheme="majorBidi" w:cstheme="majorBidi"/>
        </w:rPr>
        <w:t>These three variants allow comparative analysis of how different terrain conditions affect routing, distance, and energy consumption.</w:t>
      </w:r>
    </w:p>
    <w:p w14:paraId="2EF7E47B" w14:textId="77777777" w:rsidR="00FF1244" w:rsidRPr="009645D7" w:rsidRDefault="00FF1244" w:rsidP="00FF1244">
      <w:pPr>
        <w:spacing w:line="360" w:lineRule="auto"/>
        <w:rPr>
          <w:rStyle w:val="Heading2Char"/>
          <w:rFonts w:asciiTheme="majorBidi" w:hAnsiTheme="majorBidi"/>
          <w:b/>
          <w:bCs/>
          <w:color w:val="auto"/>
          <w:sz w:val="28"/>
          <w:szCs w:val="28"/>
        </w:rPr>
      </w:pPr>
      <w:r w:rsidRPr="009645D7">
        <w:rPr>
          <w:rStyle w:val="Heading2Char"/>
          <w:rFonts w:asciiTheme="majorBidi" w:hAnsiTheme="majorBidi"/>
          <w:b/>
          <w:bCs/>
          <w:color w:val="auto"/>
          <w:sz w:val="28"/>
          <w:szCs w:val="28"/>
        </w:rPr>
        <w:t>2. File Structure</w:t>
      </w:r>
    </w:p>
    <w:p w14:paraId="7705090A" w14:textId="77777777" w:rsidR="00FF1244" w:rsidRPr="00472D4C" w:rsidRDefault="00FF1244" w:rsidP="00FF1244">
      <w:pPr>
        <w:spacing w:line="360" w:lineRule="auto"/>
        <w:rPr>
          <w:rFonts w:asciiTheme="majorBidi" w:hAnsiTheme="majorBidi" w:cstheme="majorBidi"/>
        </w:rPr>
      </w:pPr>
      <w:r w:rsidRPr="00472D4C">
        <w:rPr>
          <w:rFonts w:asciiTheme="majorBidi" w:hAnsiTheme="majorBidi" w:cstheme="majorBidi"/>
        </w:rPr>
        <w:t>Each file follows the same structure and contains the following columns:</w:t>
      </w:r>
    </w:p>
    <w:p w14:paraId="1738B3FB" w14:textId="39700AA1" w:rsidR="00FF1244" w:rsidRPr="00A250CC" w:rsidRDefault="00FF1244" w:rsidP="00FF1244">
      <w:pPr>
        <w:pStyle w:val="Caption"/>
        <w:keepNext/>
        <w:spacing w:after="0" w:line="360" w:lineRule="auto"/>
        <w:jc w:val="center"/>
        <w:rPr>
          <w:rFonts w:asciiTheme="majorBidi" w:hAnsiTheme="majorBidi" w:cstheme="majorBidi"/>
          <w:i w:val="0"/>
          <w:iCs w:val="0"/>
          <w:color w:val="auto"/>
          <w:sz w:val="24"/>
          <w:szCs w:val="24"/>
        </w:rPr>
      </w:pPr>
      <w:r w:rsidRPr="00A250CC">
        <w:rPr>
          <w:rFonts w:asciiTheme="majorBidi" w:hAnsiTheme="majorBidi" w:cstheme="majorBidi"/>
          <w:i w:val="0"/>
          <w:iCs w:val="0"/>
          <w:color w:val="auto"/>
          <w:sz w:val="24"/>
          <w:szCs w:val="24"/>
        </w:rPr>
        <w:t xml:space="preserve">Table </w:t>
      </w:r>
      <w:r w:rsidRPr="00A250CC">
        <w:rPr>
          <w:rFonts w:asciiTheme="majorBidi" w:hAnsiTheme="majorBidi" w:cstheme="majorBidi"/>
          <w:i w:val="0"/>
          <w:iCs w:val="0"/>
          <w:color w:val="auto"/>
          <w:sz w:val="24"/>
          <w:szCs w:val="24"/>
        </w:rPr>
        <w:fldChar w:fldCharType="begin"/>
      </w:r>
      <w:r w:rsidRPr="00A250CC">
        <w:rPr>
          <w:rFonts w:asciiTheme="majorBidi" w:hAnsiTheme="majorBidi" w:cstheme="majorBidi"/>
          <w:i w:val="0"/>
          <w:iCs w:val="0"/>
          <w:color w:val="auto"/>
          <w:sz w:val="24"/>
          <w:szCs w:val="24"/>
        </w:rPr>
        <w:instrText xml:space="preserve"> SEQ Table \* ARABIC </w:instrText>
      </w:r>
      <w:r w:rsidRPr="00A250CC">
        <w:rPr>
          <w:rFonts w:asciiTheme="majorBidi" w:hAnsiTheme="majorBidi" w:cstheme="majorBidi"/>
          <w:i w:val="0"/>
          <w:iCs w:val="0"/>
          <w:color w:val="auto"/>
          <w:sz w:val="24"/>
          <w:szCs w:val="24"/>
        </w:rPr>
        <w:fldChar w:fldCharType="separate"/>
      </w:r>
      <w:r w:rsidR="009459F3">
        <w:rPr>
          <w:rFonts w:asciiTheme="majorBidi" w:hAnsiTheme="majorBidi" w:cstheme="majorBidi"/>
          <w:i w:val="0"/>
          <w:iCs w:val="0"/>
          <w:noProof/>
          <w:color w:val="auto"/>
          <w:sz w:val="24"/>
          <w:szCs w:val="24"/>
        </w:rPr>
        <w:t>2</w:t>
      </w:r>
      <w:r w:rsidRPr="00A250CC">
        <w:rPr>
          <w:rFonts w:asciiTheme="majorBidi" w:hAnsiTheme="majorBidi" w:cstheme="majorBidi"/>
          <w:i w:val="0"/>
          <w:iCs w:val="0"/>
          <w:color w:val="auto"/>
          <w:sz w:val="24"/>
          <w:szCs w:val="24"/>
        </w:rPr>
        <w:fldChar w:fldCharType="end"/>
      </w:r>
      <w:r w:rsidRPr="00A250CC">
        <w:rPr>
          <w:rFonts w:asciiTheme="majorBidi" w:hAnsiTheme="majorBidi" w:cstheme="majorBidi"/>
          <w:i w:val="0"/>
          <w:iCs w:val="0"/>
          <w:color w:val="auto"/>
          <w:sz w:val="24"/>
          <w:szCs w:val="24"/>
        </w:rPr>
        <w:t>. File Structure</w:t>
      </w:r>
    </w:p>
    <w:tbl>
      <w:tblPr>
        <w:tblW w:w="9354"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7653"/>
      </w:tblGrid>
      <w:tr w:rsidR="00FF1244" w:rsidRPr="00472D4C" w14:paraId="5EEC9A16" w14:textId="77777777" w:rsidTr="005143C3">
        <w:trPr>
          <w:tblHeader/>
          <w:tblCellSpacing w:w="15" w:type="dxa"/>
        </w:trPr>
        <w:tc>
          <w:tcPr>
            <w:tcW w:w="1656" w:type="dxa"/>
            <w:tcBorders>
              <w:top w:val="single" w:sz="4" w:space="0" w:color="auto"/>
              <w:bottom w:val="single" w:sz="4" w:space="0" w:color="auto"/>
            </w:tcBorders>
            <w:vAlign w:val="center"/>
            <w:hideMark/>
          </w:tcPr>
          <w:p w14:paraId="755D54A9" w14:textId="77777777" w:rsidR="00FF1244" w:rsidRPr="00472D4C" w:rsidRDefault="00FF1244" w:rsidP="005143C3">
            <w:pPr>
              <w:spacing w:line="240" w:lineRule="auto"/>
              <w:rPr>
                <w:rFonts w:asciiTheme="majorBidi" w:hAnsiTheme="majorBidi" w:cstheme="majorBidi"/>
                <w:b/>
                <w:bCs/>
              </w:rPr>
            </w:pPr>
            <w:r w:rsidRPr="00472D4C">
              <w:rPr>
                <w:rFonts w:asciiTheme="majorBidi" w:hAnsiTheme="majorBidi" w:cstheme="majorBidi"/>
                <w:b/>
                <w:bCs/>
              </w:rPr>
              <w:t>Column</w:t>
            </w:r>
          </w:p>
        </w:tc>
        <w:tc>
          <w:tcPr>
            <w:tcW w:w="0" w:type="auto"/>
            <w:tcBorders>
              <w:top w:val="single" w:sz="4" w:space="0" w:color="auto"/>
              <w:bottom w:val="single" w:sz="4" w:space="0" w:color="auto"/>
            </w:tcBorders>
            <w:vAlign w:val="center"/>
            <w:hideMark/>
          </w:tcPr>
          <w:p w14:paraId="1885C53E" w14:textId="77777777" w:rsidR="00FF1244" w:rsidRPr="00472D4C" w:rsidRDefault="00FF1244" w:rsidP="005143C3">
            <w:pPr>
              <w:spacing w:line="240" w:lineRule="auto"/>
              <w:rPr>
                <w:rFonts w:asciiTheme="majorBidi" w:hAnsiTheme="majorBidi" w:cstheme="majorBidi"/>
                <w:b/>
                <w:bCs/>
              </w:rPr>
            </w:pPr>
            <w:r w:rsidRPr="00472D4C">
              <w:rPr>
                <w:rFonts w:asciiTheme="majorBidi" w:hAnsiTheme="majorBidi" w:cstheme="majorBidi"/>
                <w:b/>
                <w:bCs/>
              </w:rPr>
              <w:t>Description</w:t>
            </w:r>
          </w:p>
        </w:tc>
      </w:tr>
      <w:tr w:rsidR="00FF1244" w:rsidRPr="00472D4C" w14:paraId="45A2649C" w14:textId="77777777" w:rsidTr="005143C3">
        <w:trPr>
          <w:tblCellSpacing w:w="15" w:type="dxa"/>
        </w:trPr>
        <w:tc>
          <w:tcPr>
            <w:tcW w:w="1656" w:type="dxa"/>
            <w:vAlign w:val="center"/>
            <w:hideMark/>
          </w:tcPr>
          <w:p w14:paraId="35E03188"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StringID</w:t>
            </w:r>
          </w:p>
        </w:tc>
        <w:tc>
          <w:tcPr>
            <w:tcW w:w="0" w:type="auto"/>
            <w:vAlign w:val="center"/>
            <w:hideMark/>
          </w:tcPr>
          <w:p w14:paraId="74D90BB0"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Unique identifier for each node (e.g., depot or customer).</w:t>
            </w:r>
          </w:p>
        </w:tc>
      </w:tr>
      <w:tr w:rsidR="00FF1244" w:rsidRPr="00472D4C" w14:paraId="181C161C" w14:textId="77777777" w:rsidTr="005143C3">
        <w:trPr>
          <w:tblCellSpacing w:w="15" w:type="dxa"/>
        </w:trPr>
        <w:tc>
          <w:tcPr>
            <w:tcW w:w="1656" w:type="dxa"/>
            <w:vAlign w:val="center"/>
            <w:hideMark/>
          </w:tcPr>
          <w:p w14:paraId="01FA9050"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Type</w:t>
            </w:r>
          </w:p>
        </w:tc>
        <w:tc>
          <w:tcPr>
            <w:tcW w:w="0" w:type="auto"/>
            <w:vAlign w:val="center"/>
            <w:hideMark/>
          </w:tcPr>
          <w:p w14:paraId="047F0629"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Node type indicator (e.g., C for customer, D for depot).</w:t>
            </w:r>
          </w:p>
        </w:tc>
      </w:tr>
      <w:tr w:rsidR="00FF1244" w:rsidRPr="00472D4C" w14:paraId="4D42E938" w14:textId="77777777" w:rsidTr="005143C3">
        <w:trPr>
          <w:tblCellSpacing w:w="15" w:type="dxa"/>
        </w:trPr>
        <w:tc>
          <w:tcPr>
            <w:tcW w:w="1656" w:type="dxa"/>
            <w:vAlign w:val="center"/>
            <w:hideMark/>
          </w:tcPr>
          <w:p w14:paraId="0888F806"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x</w:t>
            </w:r>
          </w:p>
        </w:tc>
        <w:tc>
          <w:tcPr>
            <w:tcW w:w="0" w:type="auto"/>
            <w:vAlign w:val="center"/>
            <w:hideMark/>
          </w:tcPr>
          <w:p w14:paraId="099FA9D4"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X coordinate of the node location.</w:t>
            </w:r>
          </w:p>
        </w:tc>
      </w:tr>
      <w:tr w:rsidR="00FF1244" w:rsidRPr="00472D4C" w14:paraId="508876BB" w14:textId="77777777" w:rsidTr="005143C3">
        <w:trPr>
          <w:tblCellSpacing w:w="15" w:type="dxa"/>
        </w:trPr>
        <w:tc>
          <w:tcPr>
            <w:tcW w:w="1656" w:type="dxa"/>
            <w:vAlign w:val="center"/>
            <w:hideMark/>
          </w:tcPr>
          <w:p w14:paraId="1AF9D835"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y</w:t>
            </w:r>
          </w:p>
        </w:tc>
        <w:tc>
          <w:tcPr>
            <w:tcW w:w="0" w:type="auto"/>
            <w:vAlign w:val="center"/>
            <w:hideMark/>
          </w:tcPr>
          <w:p w14:paraId="7DE836BA"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Y coordinate of the node location.</w:t>
            </w:r>
          </w:p>
        </w:tc>
      </w:tr>
      <w:tr w:rsidR="00FF1244" w:rsidRPr="00472D4C" w14:paraId="358D574D" w14:textId="77777777" w:rsidTr="005143C3">
        <w:trPr>
          <w:tblCellSpacing w:w="15" w:type="dxa"/>
        </w:trPr>
        <w:tc>
          <w:tcPr>
            <w:tcW w:w="1656" w:type="dxa"/>
            <w:vAlign w:val="center"/>
            <w:hideMark/>
          </w:tcPr>
          <w:p w14:paraId="1E3FB2D6"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demand</w:t>
            </w:r>
          </w:p>
        </w:tc>
        <w:tc>
          <w:tcPr>
            <w:tcW w:w="0" w:type="auto"/>
            <w:vAlign w:val="center"/>
            <w:hideMark/>
          </w:tcPr>
          <w:p w14:paraId="0CBC797D"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Customer demand at the node.</w:t>
            </w:r>
          </w:p>
        </w:tc>
      </w:tr>
      <w:tr w:rsidR="00FF1244" w:rsidRPr="00472D4C" w14:paraId="25FDE4F9" w14:textId="77777777" w:rsidTr="005143C3">
        <w:trPr>
          <w:tblCellSpacing w:w="15" w:type="dxa"/>
        </w:trPr>
        <w:tc>
          <w:tcPr>
            <w:tcW w:w="1656" w:type="dxa"/>
            <w:vAlign w:val="center"/>
            <w:hideMark/>
          </w:tcPr>
          <w:p w14:paraId="0A5AE2DE"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ReadyTime</w:t>
            </w:r>
          </w:p>
        </w:tc>
        <w:tc>
          <w:tcPr>
            <w:tcW w:w="0" w:type="auto"/>
            <w:vAlign w:val="center"/>
            <w:hideMark/>
          </w:tcPr>
          <w:p w14:paraId="5BBE1379"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Earliest allowable service start time.</w:t>
            </w:r>
          </w:p>
        </w:tc>
      </w:tr>
      <w:tr w:rsidR="00FF1244" w:rsidRPr="00472D4C" w14:paraId="4B1B1F77" w14:textId="77777777" w:rsidTr="005143C3">
        <w:trPr>
          <w:tblCellSpacing w:w="15" w:type="dxa"/>
        </w:trPr>
        <w:tc>
          <w:tcPr>
            <w:tcW w:w="1656" w:type="dxa"/>
            <w:vAlign w:val="center"/>
            <w:hideMark/>
          </w:tcPr>
          <w:p w14:paraId="1845DA09"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DueDate</w:t>
            </w:r>
          </w:p>
        </w:tc>
        <w:tc>
          <w:tcPr>
            <w:tcW w:w="0" w:type="auto"/>
            <w:vAlign w:val="center"/>
            <w:hideMark/>
          </w:tcPr>
          <w:p w14:paraId="4ACA39E0"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Latest allowable service start time.</w:t>
            </w:r>
          </w:p>
        </w:tc>
      </w:tr>
      <w:tr w:rsidR="00FF1244" w:rsidRPr="00472D4C" w14:paraId="7F39B2A5" w14:textId="77777777" w:rsidTr="005143C3">
        <w:trPr>
          <w:tblCellSpacing w:w="15" w:type="dxa"/>
        </w:trPr>
        <w:tc>
          <w:tcPr>
            <w:tcW w:w="1656" w:type="dxa"/>
            <w:vAlign w:val="center"/>
            <w:hideMark/>
          </w:tcPr>
          <w:p w14:paraId="6A92F0F1"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ServiceTime</w:t>
            </w:r>
          </w:p>
        </w:tc>
        <w:tc>
          <w:tcPr>
            <w:tcW w:w="0" w:type="auto"/>
            <w:vAlign w:val="center"/>
            <w:hideMark/>
          </w:tcPr>
          <w:p w14:paraId="22325027"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Duration of service required at the node.</w:t>
            </w:r>
          </w:p>
        </w:tc>
      </w:tr>
      <w:tr w:rsidR="00FF1244" w:rsidRPr="00472D4C" w14:paraId="4D6C3BF1" w14:textId="77777777" w:rsidTr="005143C3">
        <w:trPr>
          <w:tblCellSpacing w:w="15" w:type="dxa"/>
        </w:trPr>
        <w:tc>
          <w:tcPr>
            <w:tcW w:w="1656" w:type="dxa"/>
            <w:vAlign w:val="center"/>
            <w:hideMark/>
          </w:tcPr>
          <w:p w14:paraId="638752E9"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b/>
                <w:bCs/>
              </w:rPr>
              <w:t>altitude</w:t>
            </w:r>
          </w:p>
        </w:tc>
        <w:tc>
          <w:tcPr>
            <w:tcW w:w="0" w:type="auto"/>
            <w:vAlign w:val="center"/>
            <w:hideMark/>
          </w:tcPr>
          <w:p w14:paraId="59848EEF" w14:textId="77777777" w:rsidR="00FF1244" w:rsidRPr="00472D4C" w:rsidRDefault="00FF1244" w:rsidP="005143C3">
            <w:pPr>
              <w:spacing w:line="240" w:lineRule="auto"/>
              <w:rPr>
                <w:rFonts w:asciiTheme="majorBidi" w:hAnsiTheme="majorBidi" w:cstheme="majorBidi"/>
              </w:rPr>
            </w:pPr>
            <w:r w:rsidRPr="00472D4C">
              <w:rPr>
                <w:rFonts w:asciiTheme="majorBidi" w:hAnsiTheme="majorBidi" w:cstheme="majorBidi"/>
              </w:rPr>
              <w:t>Elevation of the node, varying according to the file variant (_NL, _VG, or _L).</w:t>
            </w:r>
          </w:p>
        </w:tc>
      </w:tr>
    </w:tbl>
    <w:p w14:paraId="4C447394" w14:textId="77777777" w:rsidR="00FF1244" w:rsidRDefault="00FF1244" w:rsidP="00FF1244">
      <w:pPr>
        <w:spacing w:line="360" w:lineRule="auto"/>
        <w:rPr>
          <w:rFonts w:asciiTheme="majorBidi" w:hAnsiTheme="majorBidi" w:cstheme="majorBidi"/>
        </w:rPr>
      </w:pPr>
    </w:p>
    <w:p w14:paraId="7912C53C" w14:textId="77777777" w:rsidR="00FF1244" w:rsidRPr="00B44BCF" w:rsidRDefault="00FF1244" w:rsidP="00FF1244">
      <w:pPr>
        <w:spacing w:line="360" w:lineRule="auto"/>
        <w:rPr>
          <w:rFonts w:asciiTheme="majorBidi" w:hAnsiTheme="majorBidi" w:cstheme="majorBidi"/>
          <w:lang w:val="de-DE"/>
        </w:rPr>
      </w:pPr>
      <w:r w:rsidRPr="00B44BCF">
        <w:rPr>
          <w:rFonts w:asciiTheme="majorBidi" w:hAnsiTheme="majorBidi" w:cstheme="majorBidi"/>
          <w:lang w:val="de-DE"/>
        </w:rPr>
        <w:t xml:space="preserve">References </w:t>
      </w:r>
    </w:p>
    <w:p w14:paraId="66CA4738" w14:textId="77777777" w:rsidR="00666F48" w:rsidRDefault="00666F48" w:rsidP="00FF1244">
      <w:pPr>
        <w:spacing w:line="276" w:lineRule="auto"/>
        <w:jc w:val="both"/>
        <w:rPr>
          <w:rFonts w:asciiTheme="majorBidi" w:hAnsiTheme="majorBidi" w:cstheme="majorBidi"/>
          <w:lang w:val="de-DE"/>
        </w:rPr>
      </w:pPr>
      <w:r w:rsidRPr="00666F48">
        <w:rPr>
          <w:rFonts w:asciiTheme="majorBidi" w:hAnsiTheme="majorBidi" w:cstheme="majorBidi"/>
        </w:rPr>
        <w:t xml:space="preserve">Schneider, M., Stenger, A. and Goeke, D., 2014. The Electric Vehicle-Routing Problem with Time Windows and Recharging Stations. </w:t>
      </w:r>
      <w:r w:rsidRPr="00666F48">
        <w:rPr>
          <w:rFonts w:asciiTheme="majorBidi" w:hAnsiTheme="majorBidi" w:cstheme="majorBidi"/>
          <w:lang w:val="de-DE"/>
        </w:rPr>
        <w:t>Transportation Science, 48(4), pp.500-520.</w:t>
      </w:r>
    </w:p>
    <w:p w14:paraId="0B8FA2B8" w14:textId="5A4A768D" w:rsidR="004A123C" w:rsidRPr="00D229FE" w:rsidRDefault="00FF1244" w:rsidP="00D229FE">
      <w:pPr>
        <w:spacing w:before="240" w:line="276" w:lineRule="auto"/>
        <w:jc w:val="both"/>
        <w:rPr>
          <w:rFonts w:asciiTheme="majorBidi" w:hAnsiTheme="majorBidi" w:cstheme="majorBidi"/>
        </w:rPr>
      </w:pPr>
      <w:r w:rsidRPr="007D2038">
        <w:rPr>
          <w:rFonts w:asciiTheme="majorBidi" w:hAnsiTheme="majorBidi" w:cstheme="majorBidi"/>
          <w:lang w:val="de-DE"/>
        </w:rPr>
        <w:t xml:space="preserve">Rastani, S., Keskin, M., Yüksel, T., Çatay, B., 2025. </w:t>
      </w:r>
      <w:r w:rsidRPr="00B44BCF">
        <w:rPr>
          <w:rFonts w:asciiTheme="majorBidi" w:hAnsiTheme="majorBidi" w:cstheme="majorBidi"/>
        </w:rPr>
        <w:t>Uphill Struggles, Downhill Gains: How Road Gradients and Load Dynamics Influence</w:t>
      </w:r>
      <w:r>
        <w:rPr>
          <w:rFonts w:asciiTheme="majorBidi" w:hAnsiTheme="majorBidi" w:cstheme="majorBidi"/>
        </w:rPr>
        <w:t xml:space="preserve"> </w:t>
      </w:r>
      <w:r w:rsidRPr="00B44BCF">
        <w:rPr>
          <w:rFonts w:asciiTheme="majorBidi" w:hAnsiTheme="majorBidi" w:cstheme="majorBidi"/>
        </w:rPr>
        <w:t>Electric Vehicle Routing Decisions?</w:t>
      </w:r>
      <w:r>
        <w:rPr>
          <w:rFonts w:asciiTheme="majorBidi" w:hAnsiTheme="majorBidi" w:cstheme="majorBidi"/>
        </w:rPr>
        <w:t xml:space="preserve"> European Journal of Operational Research, to appear.</w:t>
      </w:r>
    </w:p>
    <w:sectPr w:rsidR="004A123C" w:rsidRPr="00D22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15B"/>
    <w:rsid w:val="000544EA"/>
    <w:rsid w:val="00056EB7"/>
    <w:rsid w:val="00094790"/>
    <w:rsid w:val="000A3C01"/>
    <w:rsid w:val="000C476F"/>
    <w:rsid w:val="00121FC5"/>
    <w:rsid w:val="0017434F"/>
    <w:rsid w:val="0024312B"/>
    <w:rsid w:val="002469F5"/>
    <w:rsid w:val="00252A8C"/>
    <w:rsid w:val="00371023"/>
    <w:rsid w:val="003746F7"/>
    <w:rsid w:val="003E292E"/>
    <w:rsid w:val="004A123C"/>
    <w:rsid w:val="004D208B"/>
    <w:rsid w:val="00502FE1"/>
    <w:rsid w:val="00524F99"/>
    <w:rsid w:val="005A333A"/>
    <w:rsid w:val="00614EAD"/>
    <w:rsid w:val="0061715B"/>
    <w:rsid w:val="0064498B"/>
    <w:rsid w:val="00666F48"/>
    <w:rsid w:val="006A22E3"/>
    <w:rsid w:val="00735EE8"/>
    <w:rsid w:val="00766C3B"/>
    <w:rsid w:val="007D2038"/>
    <w:rsid w:val="00807053"/>
    <w:rsid w:val="008D0EE5"/>
    <w:rsid w:val="009459F3"/>
    <w:rsid w:val="009C24DF"/>
    <w:rsid w:val="009E7F39"/>
    <w:rsid w:val="00A77DE5"/>
    <w:rsid w:val="00AB1B16"/>
    <w:rsid w:val="00AD2A4A"/>
    <w:rsid w:val="00AD55E2"/>
    <w:rsid w:val="00AF181D"/>
    <w:rsid w:val="00B20F86"/>
    <w:rsid w:val="00B26C16"/>
    <w:rsid w:val="00B46B9E"/>
    <w:rsid w:val="00BA5635"/>
    <w:rsid w:val="00BC5593"/>
    <w:rsid w:val="00BD3840"/>
    <w:rsid w:val="00BF19FF"/>
    <w:rsid w:val="00D00377"/>
    <w:rsid w:val="00D10882"/>
    <w:rsid w:val="00D229FE"/>
    <w:rsid w:val="00D7490E"/>
    <w:rsid w:val="00DE6BE1"/>
    <w:rsid w:val="00DF159A"/>
    <w:rsid w:val="00E8254F"/>
    <w:rsid w:val="00ED2BBC"/>
    <w:rsid w:val="00ED66AD"/>
    <w:rsid w:val="00F57F42"/>
    <w:rsid w:val="00F60868"/>
    <w:rsid w:val="00FF12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3F8F4"/>
  <w15:chartTrackingRefBased/>
  <w15:docId w15:val="{EB6D0D1E-3105-4C06-ADB4-D3DB5871C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244"/>
  </w:style>
  <w:style w:type="paragraph" w:styleId="Heading1">
    <w:name w:val="heading 1"/>
    <w:basedOn w:val="Normal"/>
    <w:next w:val="Normal"/>
    <w:link w:val="Heading1Char"/>
    <w:uiPriority w:val="9"/>
    <w:qFormat/>
    <w:rsid w:val="00617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7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7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15B"/>
    <w:rPr>
      <w:rFonts w:eastAsiaTheme="majorEastAsia" w:cstheme="majorBidi"/>
      <w:color w:val="272727" w:themeColor="text1" w:themeTint="D8"/>
    </w:rPr>
  </w:style>
  <w:style w:type="paragraph" w:styleId="Title">
    <w:name w:val="Title"/>
    <w:basedOn w:val="Normal"/>
    <w:next w:val="Normal"/>
    <w:link w:val="TitleChar"/>
    <w:uiPriority w:val="10"/>
    <w:qFormat/>
    <w:rsid w:val="00617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15B"/>
    <w:pPr>
      <w:spacing w:before="160"/>
      <w:jc w:val="center"/>
    </w:pPr>
    <w:rPr>
      <w:i/>
      <w:iCs/>
      <w:color w:val="404040" w:themeColor="text1" w:themeTint="BF"/>
    </w:rPr>
  </w:style>
  <w:style w:type="character" w:customStyle="1" w:styleId="QuoteChar">
    <w:name w:val="Quote Char"/>
    <w:basedOn w:val="DefaultParagraphFont"/>
    <w:link w:val="Quote"/>
    <w:uiPriority w:val="29"/>
    <w:rsid w:val="0061715B"/>
    <w:rPr>
      <w:i/>
      <w:iCs/>
      <w:color w:val="404040" w:themeColor="text1" w:themeTint="BF"/>
    </w:rPr>
  </w:style>
  <w:style w:type="paragraph" w:styleId="ListParagraph">
    <w:name w:val="List Paragraph"/>
    <w:basedOn w:val="Normal"/>
    <w:uiPriority w:val="34"/>
    <w:qFormat/>
    <w:rsid w:val="0061715B"/>
    <w:pPr>
      <w:ind w:left="720"/>
      <w:contextualSpacing/>
    </w:pPr>
  </w:style>
  <w:style w:type="character" w:styleId="IntenseEmphasis">
    <w:name w:val="Intense Emphasis"/>
    <w:basedOn w:val="DefaultParagraphFont"/>
    <w:uiPriority w:val="21"/>
    <w:qFormat/>
    <w:rsid w:val="0061715B"/>
    <w:rPr>
      <w:i/>
      <w:iCs/>
      <w:color w:val="0F4761" w:themeColor="accent1" w:themeShade="BF"/>
    </w:rPr>
  </w:style>
  <w:style w:type="paragraph" w:styleId="IntenseQuote">
    <w:name w:val="Intense Quote"/>
    <w:basedOn w:val="Normal"/>
    <w:next w:val="Normal"/>
    <w:link w:val="IntenseQuoteChar"/>
    <w:uiPriority w:val="30"/>
    <w:qFormat/>
    <w:rsid w:val="00617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15B"/>
    <w:rPr>
      <w:i/>
      <w:iCs/>
      <w:color w:val="0F4761" w:themeColor="accent1" w:themeShade="BF"/>
    </w:rPr>
  </w:style>
  <w:style w:type="character" w:styleId="IntenseReference">
    <w:name w:val="Intense Reference"/>
    <w:basedOn w:val="DefaultParagraphFont"/>
    <w:uiPriority w:val="32"/>
    <w:qFormat/>
    <w:rsid w:val="0061715B"/>
    <w:rPr>
      <w:b/>
      <w:bCs/>
      <w:smallCaps/>
      <w:color w:val="0F4761" w:themeColor="accent1" w:themeShade="BF"/>
      <w:spacing w:val="5"/>
    </w:rPr>
  </w:style>
  <w:style w:type="paragraph" w:styleId="Caption">
    <w:name w:val="caption"/>
    <w:basedOn w:val="Normal"/>
    <w:next w:val="Normal"/>
    <w:uiPriority w:val="35"/>
    <w:unhideWhenUsed/>
    <w:qFormat/>
    <w:rsid w:val="00FF124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 Rastani</dc:creator>
  <cp:keywords/>
  <dc:description/>
  <cp:lastModifiedBy>Sina Rastani</cp:lastModifiedBy>
  <cp:revision>10</cp:revision>
  <cp:lastPrinted>2025-12-08T21:23:00Z</cp:lastPrinted>
  <dcterms:created xsi:type="dcterms:W3CDTF">2025-10-14T13:34:00Z</dcterms:created>
  <dcterms:modified xsi:type="dcterms:W3CDTF">2025-12-08T21:23:00Z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d3c7a4db-370f-42e7-ab05-592ecef2e099</vt:lpwstr>
  </property>
</Properties>
</file>