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40" w:before="0"/>
        <w:jc w:val="left"/>
      </w:pPr>
      <w:r>
        <w:rPr>
          <w:rFonts w:ascii="Georgia" w:cs="Georgia" w:eastAsia="Georgia" w:hAnsi="Georgia"/>
          <w:b/>
          <w:bCs/>
          <w:caps/>
          <w:color w:val="0A0A0A"/>
          <w:sz w:val="80"/>
          <w:szCs w:val="80"/>
        </w:rPr>
        <w:t xml:space="preserve">JURISDICTIQ</w:t>
      </w:r>
    </w:p>
    <w:p>
      <w:pPr>
        <w:spacing w:after="80" w:before="0"/>
        <w:jc w:val="left"/>
      </w:pPr>
      <w:r>
        <w:rPr>
          <w:rFonts w:ascii="Georgia" w:cs="Georgia" w:eastAsia="Georgia" w:hAnsi="Georgia"/>
          <w:i/>
          <w:iCs/>
          <w:color w:val="2C3E50"/>
          <w:sz w:val="34"/>
          <w:szCs w:val="34"/>
        </w:rPr>
        <w:t xml:space="preserve">Pre-Mandate Intelligence Engine for Law Firms</w:t>
      </w:r>
    </w:p>
    <w:p>
      <w:pPr>
        <w:pBdr>
          <w:bottom w:val="single" w:color="0A0A0A" w:sz="20"/>
        </w:pBdr>
        <w:spacing w:after="240" w:before="40"/>
      </w:pPr>
      <w:r>
        <w:rPr>
          <w:rFonts w:ascii="Georgia" w:cs="Georgia" w:eastAsia="Georgia" w:hAnsi="Georgia"/>
          <w:b w:val="false"/>
          <w:bCs w:val="false"/>
          <w:i w:val="false"/>
          <w:iCs w:val="false"/>
          <w:caps w:val="false"/>
          <w:color w:val="0A0A0A"/>
          <w:sz w:val="22"/>
          <w:szCs w:val="22"/>
        </w:rPr>
        <w:t xml:space="preserve"/>
      </w:r>
    </w:p>
    <w:p>
      <w:pPr>
        <w:spacing w:after="80" w:before="0"/>
      </w:pPr>
      <w:r>
        <w:rPr>
          <w:rFonts w:ascii="Courier New" w:cs="Courier New" w:eastAsia="Courier New" w:hAnsi="Courier New"/>
          <w:caps/>
          <w:color w:val="888888"/>
          <w:sz w:val="20"/>
          <w:szCs w:val="20"/>
        </w:rPr>
        <w:t xml:space="preserve">PRODUCT REQUIREMENTS DOCUMENT</w:t>
      </w:r>
    </w:p>
    <w:p>
      <w:pPr>
        <w:spacing w:after="480" w:before="0"/>
      </w:pPr>
      <w:r>
        <w:rPr>
          <w:rFonts w:ascii="Courier New" w:cs="Courier New" w:eastAsia="Courier New" w:hAnsi="Courier New"/>
          <w:color w:val="888888"/>
          <w:sz w:val="20"/>
          <w:szCs w:val="20"/>
        </w:rPr>
        <w:t xml:space="preserve">Version 1.0  ·  Hackathon Build  ·  Track 2: GT Challenge — Borderless Business</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200"/>
        <w:gridCol w:w="7160"/>
      </w:tblGrid>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Classification</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Confidential — Hackathon Working Document</w:t>
            </w:r>
          </w:p>
        </w:tc>
      </w:tr>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Product Name</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JurisdictIQ</w:t>
            </w:r>
          </w:p>
        </w:tc>
      </w:tr>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Version</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1.0 — MVP / Demo Build</w:t>
            </w:r>
          </w:p>
        </w:tc>
      </w:tr>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Primary User</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Law firm partners, associates, and legal advisory professionals</w:t>
            </w:r>
          </w:p>
        </w:tc>
      </w:tr>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Target Exit</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Acquisition by Legora, Vesence, or strategic legal AI platform</w:t>
            </w:r>
          </w:p>
        </w:tc>
      </w:tr>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Tech Stack</w:t>
            </w:r>
          </w:p>
        </w:tc>
        <w:tc>
          <w:tcPr>
            <w:tcW w:type="dxa" w:w="7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Node.js / TypeScript · LangGraph · Claude Sonnet 4.5 · Next.js</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 Executive Summary</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is an AI-powered pre-mandate intelligence engine built specifically for law firm partners and associates handling cross-border corporate mandates. It solves the single most expensive and error-prone phase of international legal work: the reconnaissance period before any document is drafted.</w:t>
      </w:r>
    </w:p>
    <w:p>
      <w:pPr>
        <w:spacing w:after="120" w:before="0"/>
        <w:jc w:val="left"/>
      </w:pPr>
      <w:r>
        <w:rPr>
          <w:rFonts w:ascii="Georgia" w:cs="Georgia" w:eastAsia="Georgia" w:hAnsi="Georgia"/>
          <w:b w:val="false"/>
          <w:bCs w:val="false"/>
          <w:i w:val="false"/>
          <w:iCs w:val="false"/>
          <w:caps w:val="false"/>
          <w:color w:val="0A0A0A"/>
          <w:sz w:val="22"/>
          <w:szCs w:val="22"/>
        </w:rPr>
        <w:t xml:space="preserve">When a client says "we are expanding into Germany and Vietnam next quarter," the lawyer currently spends two to three days manually researching what obligations apply, which jurisdictions conflict, and what structure minimises risk. JurisdictIQ compresses that into minutes — producing a partner-grade conflict map, jurisdiction matrix, scenario comparison, and evidence-backed briefing memo, all with live citations from authoritative legal sources.</w:t>
      </w:r>
    </w:p>
    <w:p>
      <w:pPr>
        <w:spacing w:after="120" w:before="0"/>
        <w:jc w:val="left"/>
      </w:pPr>
      <w:r>
        <w:rPr>
          <w:rFonts w:ascii="Georgia" w:cs="Georgia" w:eastAsia="Georgia" w:hAnsi="Georgia"/>
          <w:b w:val="false"/>
          <w:bCs w:val="false"/>
          <w:i w:val="false"/>
          <w:iCs w:val="false"/>
          <w:caps w:val="false"/>
          <w:color w:val="0A0A0A"/>
          <w:sz w:val="22"/>
          <w:szCs w:val="22"/>
        </w:rPr>
        <w:t xml:space="preserve">This is not a document review tool. It is not a legal chatbot. It is a constraint-resolution engine for cross-border expansion — the first product to detect and resolve contradictions between jurisdictions automatically, before any drafting begins.</w:t>
      </w:r>
    </w:p>
    <w:p>
      <w:pPr>
        <w:pBdr>
          <w:bottom w:val="single" w:color="C8C4BB" w:sz="4" w:space="1"/>
        </w:pBdr>
        <w:spacing w:after="240" w:before="240"/>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The core insight</w:t>
      </w:r>
    </w:p>
    <w:p>
      <w:pPr>
        <w:spacing w:after="120" w:before="0"/>
        <w:jc w:val="left"/>
      </w:pPr>
      <w:r>
        <w:rPr>
          <w:rFonts w:ascii="Georgia" w:cs="Georgia" w:eastAsia="Georgia" w:hAnsi="Georgia"/>
          <w:b w:val="false"/>
          <w:bCs w:val="false"/>
          <w:i w:val="false"/>
          <w:iCs w:val="false"/>
          <w:caps w:val="false"/>
          <w:color w:val="0A0A0A"/>
          <w:sz w:val="22"/>
          <w:szCs w:val="22"/>
        </w:rPr>
        <w:t xml:space="preserve">Every existing legal AI tool operates on documents the lawyer already has. JurisdictIQ operates on the facts of the client's business — their operating model, their people, their data, their structure — and reasons forward to produce the legal architecture the lawyer will eventually need to implement. The document comes later. The intelligence comes first.</w:t>
      </w:r>
    </w:p>
    <w:p>
      <w:pPr>
        <w:pStyle w:val="Heading2"/>
        <w:spacing w:after="120" w:before="360"/>
      </w:pPr>
      <w:r>
        <w:rPr>
          <w:rFonts w:ascii="Georgia" w:cs="Georgia" w:eastAsia="Georgia" w:hAnsi="Georgia"/>
          <w:b/>
          <w:bCs/>
          <w:color w:val="2C3E50"/>
          <w:sz w:val="28"/>
          <w:szCs w:val="28"/>
        </w:rPr>
        <w:t xml:space="preserve">Strategic positioning</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targets law firms as its sole customer. It is designed to amplify the partner's advisory value, not replace it. Every output is framed as the partner's work product: cited, auditable, and ready for client delivery. This positions JurisdictIQ as a direct acquisition target for Legora (currently at $5.55B valuation, actively expanding its product surface via acquisition) as a natural extension of their Portal and Workflows modules into the pre-mandate layer.</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2. Problem Statement</w:t>
      </w:r>
    </w:p>
    <w:p>
      <w:pPr>
        <w:pStyle w:val="Heading2"/>
        <w:spacing w:after="120" w:before="360"/>
      </w:pPr>
      <w:r>
        <w:rPr>
          <w:rFonts w:ascii="Georgia" w:cs="Georgia" w:eastAsia="Georgia" w:hAnsi="Georgia"/>
          <w:b/>
          <w:bCs/>
          <w:color w:val="2C3E50"/>
          <w:sz w:val="28"/>
          <w:szCs w:val="28"/>
        </w:rPr>
        <w:t xml:space="preserve">2.1  The pre-mandate gap</w:t>
      </w:r>
    </w:p>
    <w:p>
      <w:pPr>
        <w:spacing w:after="120" w:before="0"/>
        <w:jc w:val="left"/>
      </w:pPr>
      <w:r>
        <w:rPr>
          <w:rFonts w:ascii="Georgia" w:cs="Georgia" w:eastAsia="Georgia" w:hAnsi="Georgia"/>
          <w:b w:val="false"/>
          <w:bCs w:val="false"/>
          <w:i w:val="false"/>
          <w:iCs w:val="false"/>
          <w:caps w:val="false"/>
          <w:color w:val="0A0A0A"/>
          <w:sz w:val="22"/>
          <w:szCs w:val="22"/>
        </w:rPr>
        <w:t xml:space="preserve">Cross-border legal work has a structural blind spot. Every major legal AI tool — Legora, Harvey, Luminance, Kira, Ironclad — operates on documents. They answer: "what does this contract say?" or "does this clause comply with X?" But before any document exists, a lawyer must answer a harder question: "what does my client need to do to legally operate in this country, given everything about how they run their business?"</w:t>
      </w:r>
    </w:p>
    <w:p>
      <w:pPr>
        <w:spacing w:after="120" w:before="0"/>
        <w:jc w:val="left"/>
      </w:pPr>
      <w:r>
        <w:rPr>
          <w:rFonts w:ascii="Georgia" w:cs="Georgia" w:eastAsia="Georgia" w:hAnsi="Georgia"/>
          <w:b w:val="false"/>
          <w:bCs w:val="false"/>
          <w:i w:val="false"/>
          <w:iCs w:val="false"/>
          <w:caps w:val="false"/>
          <w:color w:val="0A0A0A"/>
          <w:sz w:val="22"/>
          <w:szCs w:val="22"/>
        </w:rPr>
        <w:t xml:space="preserve">That question requires synthesising employment law, corporate law, tax obligations, data protection rules, sector-specific licensing, sanctions exposure, and treaty applicability — across multiple jurisdictions simultaneously — and detecting where those jurisdictions' rules contradict each other. Today, this is done manually, slowly, and inconsistently.</w:t>
      </w:r>
    </w:p>
    <w:p>
      <w:pPr>
        <w:pStyle w:val="Heading2"/>
        <w:spacing w:after="120" w:before="360"/>
      </w:pPr>
      <w:r>
        <w:rPr>
          <w:rFonts w:ascii="Georgia" w:cs="Georgia" w:eastAsia="Georgia" w:hAnsi="Georgia"/>
          <w:b/>
          <w:bCs/>
          <w:color w:val="2C3E50"/>
          <w:sz w:val="28"/>
          <w:szCs w:val="28"/>
        </w:rPr>
        <w:t xml:space="preserve">2.2  Quantified pain</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120"/>
        <w:gridCol w:w="3120"/>
        <w:gridCol w:w="3120"/>
      </w:tblGrid>
      <w:tr>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Pain point</w:t>
            </w:r>
          </w:p>
        </w:tc>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Current state</w:t>
            </w:r>
          </w:p>
        </w:tc>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Cost</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Jurisdiction research</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Manual, 2–3 days per mandate</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~€800–2,400 in associate time</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Cross-jurisdiction conflict detection</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Ad hoc, often missed</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Discovered post-launch, €50K+ remediation</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Scenario comparison (EOR vs subsidiary)</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Not systematically done</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Suboptimal client advice, competitive loss</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Trigger-based obligation tracking</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Missed entirely without specialist</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Regulatory fines, PE exposure</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Evidence-backed partner memo</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Hours of formatting and citation</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€400–800 per memo in senior time</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2.3  Why existing tools do not solve this</w:t>
      </w:r>
    </w:p>
    <w:p>
      <w:pPr>
        <w:spacing w:after="120" w:before="0"/>
        <w:jc w:val="left"/>
      </w:pPr>
      <w:r>
        <w:rPr>
          <w:rFonts w:ascii="Georgia" w:cs="Georgia" w:eastAsia="Georgia" w:hAnsi="Georgia"/>
          <w:b w:val="false"/>
          <w:bCs w:val="false"/>
          <w:i w:val="false"/>
          <w:iCs w:val="false"/>
          <w:caps w:val="false"/>
          <w:color w:val="0A0A0A"/>
          <w:sz w:val="22"/>
          <w:szCs w:val="22"/>
        </w:rPr>
        <w:t xml:space="preserve">The market has divided into two inadequate halves. Document AI tools (Legora, Harvey, Luminance) handle drafting and review after a mandate is scoped. Global employment platforms (Deel, Remote, Rippling) handle execution after a structure is chosen. Nobody handles the reasoning that determines the structure. JurisdictIQ occupies the gap between "client brief received" and "first document drafted."</w:t>
      </w:r>
    </w:p>
    <w:p>
      <w:pPr>
        <w:pStyle w:val="Heading2"/>
        <w:spacing w:after="120" w:before="360"/>
      </w:pPr>
      <w:r>
        <w:rPr>
          <w:rFonts w:ascii="Georgia" w:cs="Georgia" w:eastAsia="Georgia" w:hAnsi="Georgia"/>
          <w:b/>
          <w:bCs/>
          <w:color w:val="2C3E50"/>
          <w:sz w:val="28"/>
          <w:szCs w:val="28"/>
        </w:rPr>
        <w:t xml:space="preserve">2.4  The structural novelty</w:t>
      </w:r>
    </w:p>
    <w:p>
      <w:pPr>
        <w:spacing w:after="120" w:before="0"/>
        <w:jc w:val="left"/>
      </w:pPr>
      <w:r>
        <w:rPr>
          <w:rFonts w:ascii="Georgia" w:cs="Georgia" w:eastAsia="Georgia" w:hAnsi="Georgia"/>
          <w:b w:val="false"/>
          <w:bCs w:val="false"/>
          <w:i w:val="false"/>
          <w:iCs w:val="false"/>
          <w:caps w:val="false"/>
          <w:color w:val="0A0A0A"/>
          <w:sz w:val="22"/>
          <w:szCs w:val="22"/>
        </w:rPr>
        <w:t xml:space="preserve">The key insight is that cross-border expansion is not a research problem — it is a constraint-resolution problem. Germany's GDPR implementation and Vietnam's Cybersecurity Law do not simply impose different requirements; they impose contradictory requirements on a company that processes data centrally. Detecting that contradiction, explaining why it exists, and proposing the minimum viable architecture to resolve it — without losing either market — is the core value. No current product does this.</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3. Product Vision</w:t>
      </w:r>
    </w:p>
    <w:p>
      <w:pPr>
        <w:pStyle w:val="Heading2"/>
        <w:spacing w:after="120" w:before="360"/>
      </w:pPr>
      <w:r>
        <w:rPr>
          <w:rFonts w:ascii="Georgia" w:cs="Georgia" w:eastAsia="Georgia" w:hAnsi="Georgia"/>
          <w:b/>
          <w:bCs/>
          <w:color w:val="2C3E50"/>
          <w:sz w:val="28"/>
          <w:szCs w:val="28"/>
        </w:rPr>
        <w:t xml:space="preserve">3.1  Vision statement</w:t>
      </w:r>
    </w:p>
    <w:p>
      <w:pPr>
        <w:pBdr>
          <w:left w:val="single" w:color="0A0A0A" w:sz="16" w:space="8"/>
        </w:pBdr>
        <w:spacing w:after="160" w:before="80"/>
        <w:ind w:left="720"/>
        <w:jc w:val="left"/>
      </w:pPr>
      <w:r>
        <w:rPr>
          <w:rFonts w:ascii="Georgia" w:cs="Georgia" w:eastAsia="Georgia" w:hAnsi="Georgia"/>
          <w:i/>
          <w:iCs/>
          <w:color w:val="2C3E50"/>
          <w:sz w:val="24"/>
          <w:szCs w:val="24"/>
        </w:rPr>
        <w:t xml:space="preserve">"Give any law firm partner the cross-border legal intelligence of a specialist multi-jurisdiction team — in minutes, not days."</w:t>
      </w:r>
    </w:p>
    <w:p>
      <w:pPr>
        <w:pStyle w:val="Heading2"/>
        <w:spacing w:after="120" w:before="360"/>
      </w:pPr>
      <w:r>
        <w:rPr>
          <w:rFonts w:ascii="Georgia" w:cs="Georgia" w:eastAsia="Georgia" w:hAnsi="Georgia"/>
          <w:b/>
          <w:bCs/>
          <w:color w:val="2C3E50"/>
          <w:sz w:val="28"/>
          <w:szCs w:val="28"/>
        </w:rPr>
        <w:t xml:space="preserve">3.2  What the product is</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is a multi-agent AI system that takes a client's expansion brief — provided by the lawyer — and produces a structured, cited, partner-ready intelligence package covering obligations, conflicts, recommended structures, and a 30/60/90-day execution plan.</w:t>
      </w:r>
    </w:p>
    <w:p>
      <w:pPr>
        <w:spacing w:after="120" w:before="0"/>
        <w:jc w:val="left"/>
      </w:pPr>
      <w:r>
        <w:rPr>
          <w:rFonts w:ascii="Georgia" w:cs="Georgia" w:eastAsia="Georgia" w:hAnsi="Georgia"/>
          <w:b w:val="false"/>
          <w:bCs w:val="false"/>
          <w:i w:val="false"/>
          <w:iCs w:val="false"/>
          <w:caps w:val="false"/>
          <w:color w:val="0A0A0A"/>
          <w:sz w:val="22"/>
          <w:szCs w:val="22"/>
        </w:rPr>
        <w:t xml:space="preserve">It is a professional tool used inside a law firm workflow. The client never touches it. The partner controls it. The output carries the firm's authority.</w:t>
      </w:r>
    </w:p>
    <w:p>
      <w:pPr>
        <w:pStyle w:val="Heading2"/>
        <w:spacing w:after="120" w:before="360"/>
      </w:pPr>
      <w:r>
        <w:rPr>
          <w:rFonts w:ascii="Georgia" w:cs="Georgia" w:eastAsia="Georgia" w:hAnsi="Georgia"/>
          <w:b/>
          <w:bCs/>
          <w:color w:val="2C3E50"/>
          <w:sz w:val="28"/>
          <w:szCs w:val="28"/>
        </w:rPr>
        <w:t xml:space="preserve">3.3  What the product is not</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 legal chatbot or Q&amp;A interface</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 document review or contract analysis tool</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 client-facing self-service compliance product</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 global employment or payroll platform</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 real-time regulatory monitoring subscription service</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3.4  The three-layer value stack</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080"/>
        <w:gridCol w:w="3640"/>
        <w:gridCol w:w="3640"/>
      </w:tblGrid>
      <w:tr>
        <w:tc>
          <w:tcPr>
            <w:tcW w:type="dxa" w:w="208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Layer</w:t>
            </w:r>
          </w:p>
        </w:tc>
        <w:tc>
          <w:tcPr>
            <w:tcW w:type="dxa" w:w="364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What it does</w:t>
            </w:r>
          </w:p>
        </w:tc>
        <w:tc>
          <w:tcPr>
            <w:tcW w:type="dxa" w:w="364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Why it matters</w:t>
            </w:r>
          </w:p>
        </w:tc>
      </w:tr>
      <w:tr>
        <w:tc>
          <w:tcPr>
            <w:tcW w:type="dxa" w:w="2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bCs/>
                <w:color w:val="0A0A0A"/>
                <w:sz w:val="20"/>
                <w:szCs w:val="20"/>
              </w:rPr>
              <w:t xml:space="preserve">Intelligence</w:t>
            </w:r>
          </w:p>
        </w:tc>
        <w:tc>
          <w:tcPr>
            <w:tcW w:type="dxa" w:w="36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Retrieves jurisdiction-specific obligations from authoritative sources with live citations</w:t>
            </w:r>
          </w:p>
        </w:tc>
        <w:tc>
          <w:tcPr>
            <w:tcW w:type="dxa" w:w="36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Replaces 2–3 days of associate research with cited, structured output in minutes</w:t>
            </w:r>
          </w:p>
        </w:tc>
      </w:tr>
      <w:tr>
        <w:tc>
          <w:tcPr>
            <w:tcW w:type="dxa" w:w="20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bCs/>
                <w:color w:val="C0392B"/>
                <w:sz w:val="20"/>
                <w:szCs w:val="20"/>
              </w:rPr>
              <w:t xml:space="preserve">Conflict detection</w:t>
            </w:r>
          </w:p>
        </w:tc>
        <w:tc>
          <w:tcPr>
            <w:tcW w:type="dxa" w:w="36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Detects contradictions between jurisdictions and classifies them by severity and type</w:t>
            </w:r>
          </w:p>
        </w:tc>
        <w:tc>
          <w:tcPr>
            <w:tcW w:type="dxa" w:w="36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Surfaces risks that are routinely missed until post-launch, when they are expensive</w:t>
            </w:r>
          </w:p>
        </w:tc>
      </w:tr>
      <w:tr>
        <w:tc>
          <w:tcPr>
            <w:tcW w:type="dxa" w:w="2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bCs/>
                <w:color w:val="2C3E50"/>
                <w:sz w:val="20"/>
                <w:szCs w:val="20"/>
              </w:rPr>
              <w:t xml:space="preserve">Decision support</w:t>
            </w:r>
          </w:p>
        </w:tc>
        <w:tc>
          <w:tcPr>
            <w:tcW w:type="dxa" w:w="36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Simulates alternative entry strategies and recommends the minimum-viable compliant architecture</w:t>
            </w:r>
          </w:p>
        </w:tc>
        <w:tc>
          <w:tcPr>
            <w:tcW w:type="dxa" w:w="36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Elevates the partner's advisory value from "summarising rules" to "designing the structure"</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4. Target Users</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has a single customer type: law firms. Within that customer, two user personas interact with the product directly.</w:t>
      </w:r>
    </w:p>
    <w:p>
      <w:pPr>
        <w:pStyle w:val="Heading2"/>
        <w:spacing w:after="120" w:before="360"/>
      </w:pPr>
      <w:r>
        <w:rPr>
          <w:rFonts w:ascii="Georgia" w:cs="Georgia" w:eastAsia="Georgia" w:hAnsi="Georgia"/>
          <w:b/>
          <w:bCs/>
          <w:color w:val="2C3E50"/>
          <w:sz w:val="28"/>
          <w:szCs w:val="28"/>
        </w:rPr>
        <w:t xml:space="preserve">4.1  Primary persona — Law firm partner</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000"/>
        <w:gridCol w:w="6360"/>
      </w:tblGrid>
      <w:tr>
        <w:tc>
          <w:tcPr>
            <w:tcW w:type="dxa" w:w="30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Attribute</w:t>
            </w:r>
          </w:p>
        </w:tc>
        <w:tc>
          <w:tcPr>
            <w:tcW w:type="dxa" w:w="63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Detail</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Role</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Partner or senior associate at a firm handling international corporate or M&amp;A work</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Context</w:t>
            </w:r>
          </w:p>
        </w:tc>
        <w:tc>
          <w:tcPr>
            <w:tcW w:type="dxa" w:w="63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Client has just engaged the firm for a cross-border expansion mandate. The partner needs to scope the matter, identify key risks, and produce an initial advisory memo within 48 hours.</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Core job</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Produce a credible, defensible, partner-signed risk assessment without spending three days on it.</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Current pain</w:t>
            </w:r>
          </w:p>
        </w:tc>
        <w:tc>
          <w:tcPr>
            <w:tcW w:type="dxa" w:w="63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Relies on associate research that is inconsistent across jurisdictions, lacks citations, and often misses cross-border conflicts that only a specialist would catch.</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Definition of success</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Client receives a structured, cited risk memo within one working day. Partner's name is on it. The analysis is correct and defensible.</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Willingness to pay</w:t>
            </w:r>
          </w:p>
        </w:tc>
        <w:tc>
          <w:tcPr>
            <w:tcW w:type="dxa" w:w="63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€500–2,000 per seat per month. Comparable to existing legal research subscriptions (Westlaw, Practical Law).</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4.2  Secondary persona — Senior associate / legal researcher</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000"/>
        <w:gridCol w:w="6360"/>
      </w:tblGrid>
      <w:tr>
        <w:tc>
          <w:tcPr>
            <w:tcW w:type="dxa" w:w="30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Attribute</w:t>
            </w:r>
          </w:p>
        </w:tc>
        <w:tc>
          <w:tcPr>
            <w:tcW w:type="dxa" w:w="63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Detail</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Role</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Associate responsible for jurisdiction research and first-draft memos on cross-border matters</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Context</w:t>
            </w:r>
          </w:p>
        </w:tc>
        <w:tc>
          <w:tcPr>
            <w:tcW w:type="dxa" w:w="63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Partner has received a client brief and assigns the associate to do the preliminary research and flag key issues.</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Core job</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Produce a comprehensive, cited jurisdiction analysis that the partner can rely on and present to the client.</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Current pain</w:t>
            </w:r>
          </w:p>
        </w:tc>
        <w:tc>
          <w:tcPr>
            <w:tcW w:type="dxa" w:w="63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Research is fragmented across EUR-Lex, national government portals, firm databases, and Google. Cross-referencing multiple jurisdictions for conflicts requires specialist knowledge that junior associates often lack.</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Definition of success</w:t>
            </w:r>
          </w:p>
        </w:tc>
        <w:tc>
          <w:tcPr>
            <w:tcW w:type="dxa" w:w="63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First-pass analysis is 80–90% complete with citations. Partner edits for judgement and tone, not for research completeness.</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4.3  Out-of-scope users</w:t>
      </w:r>
    </w:p>
    <w:p>
      <w:pPr>
        <w:spacing w:after="120" w:before="0"/>
        <w:jc w:val="left"/>
      </w:pPr>
      <w:r>
        <w:rPr>
          <w:rFonts w:ascii="Georgia" w:cs="Georgia" w:eastAsia="Georgia" w:hAnsi="Georgia"/>
          <w:b w:val="false"/>
          <w:bCs w:val="false"/>
          <w:i w:val="false"/>
          <w:iCs w:val="false"/>
          <w:caps w:val="false"/>
          <w:color w:val="0A0A0A"/>
          <w:sz w:val="22"/>
          <w:szCs w:val="22"/>
        </w:rPr>
        <w:t xml:space="preserve">The following user types are explicitly out of scope for version 1. They may be addressed in future releases.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Company founders or executives making self-service compliance decisions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In-house legal teams without external counsel relationship</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HR, payroll, or finance teams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Grant Thornton tax advisors (potential v2 persona for a GT-licensed version)</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5. Core Architecture</w:t>
      </w:r>
    </w:p>
    <w:p>
      <w:pPr>
        <w:pStyle w:val="Heading2"/>
        <w:spacing w:after="120" w:before="360"/>
      </w:pPr>
      <w:r>
        <w:rPr>
          <w:rFonts w:ascii="Georgia" w:cs="Georgia" w:eastAsia="Georgia" w:hAnsi="Georgia"/>
          <w:b/>
          <w:bCs/>
          <w:color w:val="2C3E50"/>
          <w:sz w:val="28"/>
          <w:szCs w:val="28"/>
        </w:rPr>
        <w:t xml:space="preserve">5.1  Conceptual model</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is built on four architectural principles that distinguish it from existing legal AI products.</w:t>
      </w:r>
    </w:p>
    <w:p>
      <w:pPr>
        <w:pStyle w:val="Heading3"/>
        <w:spacing w:after="80" w:before="240"/>
      </w:pPr>
      <w:r>
        <w:rPr>
          <w:rFonts w:ascii="Georgia" w:cs="Georgia" w:eastAsia="Georgia" w:hAnsi="Georgia"/>
          <w:b/>
          <w:bCs/>
          <w:i/>
          <w:iCs/>
          <w:color w:val="1A1A2E"/>
          <w:sz w:val="24"/>
          <w:szCs w:val="24"/>
        </w:rPr>
        <w:t xml:space="preserve">Principle 1 — Fact-first, not query-first</w:t>
      </w:r>
    </w:p>
    <w:p>
      <w:pPr>
        <w:spacing w:after="120" w:before="0"/>
        <w:jc w:val="left"/>
      </w:pPr>
      <w:r>
        <w:rPr>
          <w:rFonts w:ascii="Georgia" w:cs="Georgia" w:eastAsia="Georgia" w:hAnsi="Georgia"/>
          <w:b w:val="false"/>
          <w:bCs w:val="false"/>
          <w:i w:val="false"/>
          <w:iCs w:val="false"/>
          <w:caps w:val="false"/>
          <w:color w:val="0A0A0A"/>
          <w:sz w:val="22"/>
          <w:szCs w:val="22"/>
        </w:rPr>
        <w:t xml:space="preserve">The system does not answer legal questions. It builds a structured representation of the client's business — their entity structure, people footprint, data flows, product category, and expansion timeline — and reasons over that representation to surface obligations, conflicts, and recommended structures. This is called the Expansion Twin.</w:t>
      </w:r>
    </w:p>
    <w:p>
      <w:pPr>
        <w:pStyle w:val="Heading3"/>
        <w:spacing w:after="80" w:before="240"/>
      </w:pPr>
      <w:r>
        <w:rPr>
          <w:rFonts w:ascii="Georgia" w:cs="Georgia" w:eastAsia="Georgia" w:hAnsi="Georgia"/>
          <w:b/>
          <w:bCs/>
          <w:i/>
          <w:iCs/>
          <w:color w:val="1A1A2E"/>
          <w:sz w:val="24"/>
          <w:szCs w:val="24"/>
        </w:rPr>
        <w:t xml:space="preserve">Principle 2 — Conflict detection as a first-class operation</w:t>
      </w:r>
    </w:p>
    <w:p>
      <w:pPr>
        <w:spacing w:after="120" w:before="0"/>
        <w:jc w:val="left"/>
      </w:pPr>
      <w:r>
        <w:rPr>
          <w:rFonts w:ascii="Georgia" w:cs="Georgia" w:eastAsia="Georgia" w:hAnsi="Georgia"/>
          <w:b w:val="false"/>
          <w:bCs w:val="false"/>
          <w:i w:val="false"/>
          <w:iCs w:val="false"/>
          <w:caps w:val="false"/>
          <w:color w:val="0A0A0A"/>
          <w:sz w:val="22"/>
          <w:szCs w:val="22"/>
        </w:rPr>
        <w:t xml:space="preserve">Obligations from different jurisdictions are not just retrieved and listed. They are compared systematically. The conflict engine classifies the relationship between any two obligations as: compatible, dependency, tension, conflict, or trigger-based future risk. This is a deterministic layer, not an LLM inference — it uses structured rules against the obligation graph.</w:t>
      </w:r>
    </w:p>
    <w:p>
      <w:pPr>
        <w:pStyle w:val="Heading3"/>
        <w:spacing w:after="80" w:before="240"/>
      </w:pPr>
      <w:r>
        <w:rPr>
          <w:rFonts w:ascii="Georgia" w:cs="Georgia" w:eastAsia="Georgia" w:hAnsi="Georgia"/>
          <w:b/>
          <w:bCs/>
          <w:i/>
          <w:iCs/>
          <w:color w:val="1A1A2E"/>
          <w:sz w:val="24"/>
          <w:szCs w:val="24"/>
        </w:rPr>
        <w:t xml:space="preserve">Principle 3 — Scenario simulation over single-path recommendation</w:t>
      </w:r>
    </w:p>
    <w:p>
      <w:pPr>
        <w:spacing w:after="120" w:before="0"/>
        <w:jc w:val="left"/>
      </w:pPr>
      <w:r>
        <w:rPr>
          <w:rFonts w:ascii="Georgia" w:cs="Georgia" w:eastAsia="Georgia" w:hAnsi="Georgia"/>
          <w:b w:val="false"/>
          <w:bCs w:val="false"/>
          <w:i w:val="false"/>
          <w:iCs w:val="false"/>
          <w:caps w:val="false"/>
          <w:color w:val="0A0A0A"/>
          <w:sz w:val="22"/>
          <w:szCs w:val="22"/>
        </w:rPr>
        <w:t xml:space="preserve">The system generates multiple market-entry models (EOR, subsidiary, contractor-first, distributor) and scores each one across legal risk, compliance burden, time-to-launch, and operational complexity. The partner selects from informed options, not a single opaque recommendation.</w:t>
      </w:r>
    </w:p>
    <w:p>
      <w:pPr>
        <w:pStyle w:val="Heading3"/>
        <w:spacing w:after="80" w:before="240"/>
      </w:pPr>
      <w:r>
        <w:rPr>
          <w:rFonts w:ascii="Georgia" w:cs="Georgia" w:eastAsia="Georgia" w:hAnsi="Georgia"/>
          <w:b/>
          <w:bCs/>
          <w:i/>
          <w:iCs/>
          <w:color w:val="1A1A2E"/>
          <w:sz w:val="24"/>
          <w:szCs w:val="24"/>
        </w:rPr>
        <w:t xml:space="preserve">Principle 4 — Evidence-first output</w:t>
      </w:r>
    </w:p>
    <w:p>
      <w:pPr>
        <w:spacing w:after="120" w:before="0"/>
        <w:jc w:val="left"/>
      </w:pPr>
      <w:r>
        <w:rPr>
          <w:rFonts w:ascii="Georgia" w:cs="Georgia" w:eastAsia="Georgia" w:hAnsi="Georgia"/>
          <w:b w:val="false"/>
          <w:bCs w:val="false"/>
          <w:i w:val="false"/>
          <w:iCs w:val="false"/>
          <w:caps w:val="false"/>
          <w:color w:val="0A0A0A"/>
          <w:sz w:val="22"/>
          <w:szCs w:val="22"/>
        </w:rPr>
        <w:t xml:space="preserve">Every obligation, conflict flag, and recommendation is linked to a primary source with a citation: a CELEX number from EUR-Lex, a Companies House filing, a GLEIF record, a VIES result. The partner can verify every claim before putting their name on it.</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5.2  Agent architecture</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1600"/>
        <w:gridCol w:w="2200"/>
        <w:gridCol w:w="3560"/>
        <w:gridCol w:w="2000"/>
      </w:tblGrid>
      <w:tr>
        <w:tc>
          <w:tcPr>
            <w:tcW w:type="dxa" w:w="1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Agent</w:t>
            </w:r>
          </w:p>
        </w:tc>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Name</w:t>
            </w:r>
          </w:p>
        </w:tc>
        <w:tc>
          <w:tcPr>
            <w:tcW w:type="dxa" w:w="35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Responsibility</w:t>
            </w:r>
          </w:p>
        </w:tc>
        <w:tc>
          <w:tcPr>
            <w:tcW w:type="dxa" w:w="20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Key tools</w:t>
            </w:r>
          </w:p>
        </w:tc>
      </w:tr>
      <w:tr>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A1</w:t>
            </w:r>
          </w:p>
        </w:tc>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Intake &amp; Extraction</w:t>
            </w:r>
          </w:p>
        </w:tc>
        <w:tc>
          <w:tcPr>
            <w:tcW w:type="dxa" w:w="3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Parses the lawyer's free-text client brief into a structured Expansion Twin object. Confirms extracted facts with the user before proceeding.</w:t>
            </w:r>
          </w:p>
        </w:tc>
        <w:tc>
          <w:tcPr>
            <w:tcW w:type="dxa" w:w="2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Claude Sonnet structured extraction, JSON schema validation</w:t>
            </w:r>
          </w:p>
        </w:tc>
      </w:tr>
      <w:tr>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A2</w:t>
            </w:r>
          </w:p>
        </w:tc>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Jurisdiction Scout</w:t>
            </w:r>
          </w:p>
        </w:tc>
        <w:tc>
          <w:tcPr>
            <w:tcW w:type="dxa" w:w="3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Fan-out retrieval per jurisdiction. For each target country, retrieves obligations tagged by category: tax, employment, data protection, licensing, sanctions, corporate setup.</w:t>
            </w:r>
          </w:p>
        </w:tc>
        <w:tc>
          <w:tcPr>
            <w:tcW w:type="dxa" w:w="2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EUR-Lex SPARQL, GLEIF LEI, VIES VAT, Companies House, OpenSanctions, curated rule packs</w:t>
            </w:r>
          </w:p>
        </w:tc>
      </w:tr>
      <w:tr>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A3</w:t>
            </w:r>
          </w:p>
        </w:tc>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 Engine</w:t>
            </w:r>
          </w:p>
        </w:tc>
        <w:tc>
          <w:tcPr>
            <w:tcW w:type="dxa" w:w="3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Compares obligation pairs across jurisdictions. Classifies relationships and identifies trigger-based future obligations. Deterministic constraint layer, not LLM inference.</w:t>
            </w:r>
          </w:p>
        </w:tc>
        <w:tc>
          <w:tcPr>
            <w:tcW w:type="dxa" w:w="2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Structured rule graph, obligation comparator, threshold trigger map</w:t>
            </w:r>
          </w:p>
        </w:tc>
      </w:tr>
      <w:tr>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A4</w:t>
            </w:r>
          </w:p>
        </w:tc>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Scenario Simulator</w:t>
            </w:r>
          </w:p>
        </w:tc>
        <w:tc>
          <w:tcPr>
            <w:tcW w:type="dxa" w:w="3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Generates and scores 3–5 market-entry models. Compares them across legal risk, compliance burden, time-to-launch, and operational complexity. Outputs ranked recommendation.</w:t>
            </w:r>
          </w:p>
        </w:tc>
        <w:tc>
          <w:tcPr>
            <w:tcW w:type="dxa" w:w="2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Weighted scoring model, assumption engine, scenario comparator</w:t>
            </w:r>
          </w:p>
        </w:tc>
      </w:tr>
      <w:tr>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A5</w:t>
            </w:r>
          </w:p>
        </w:tc>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Resolution Planner</w:t>
            </w:r>
          </w:p>
        </w:tc>
        <w:tc>
          <w:tcPr>
            <w:tcW w:type="dxa" w:w="3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For the recommended scenario, produces the minimum-viable compliant architecture and a sequenced 30/60/90-day action plan with owners, blockers, and dependencies.</w:t>
            </w:r>
          </w:p>
        </w:tc>
        <w:tc>
          <w:tcPr>
            <w:tcW w:type="dxa" w:w="2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Sequencing engine, dependency resolver, action template library</w:t>
            </w:r>
          </w:p>
        </w:tc>
      </w:tr>
      <w:tr>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bCs/>
                <w:sz w:val="20"/>
                <w:szCs w:val="20"/>
              </w:rPr>
              <w:t xml:space="preserve">A6</w:t>
            </w:r>
          </w:p>
        </w:tc>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Memo Writer</w:t>
            </w:r>
          </w:p>
        </w:tc>
        <w:tc>
          <w:tcPr>
            <w:tcW w:type="dxa" w:w="3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Generates partner-ready deliverables: executive brief, conflict map, scenario scorecard, risk matrix, 30/60/90-day plan, and evidence pack with inline citations.</w:t>
            </w:r>
          </w:p>
        </w:tc>
        <w:tc>
          <w:tcPr>
            <w:tcW w:type="dxa" w:w="2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Claude Sonnet, firm style templates, citation formatter, Legora export adapter</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5.3  Orchestration</w:t>
      </w:r>
    </w:p>
    <w:p>
      <w:pPr>
        <w:spacing w:after="120" w:before="0"/>
        <w:jc w:val="left"/>
      </w:pPr>
      <w:r>
        <w:rPr>
          <w:rFonts w:ascii="Georgia" w:cs="Georgia" w:eastAsia="Georgia" w:hAnsi="Georgia"/>
          <w:b w:val="false"/>
          <w:bCs w:val="false"/>
          <w:i w:val="false"/>
          <w:iCs w:val="false"/>
          <w:caps w:val="false"/>
          <w:color w:val="0A0A0A"/>
          <w:sz w:val="22"/>
          <w:szCs w:val="22"/>
        </w:rPr>
        <w:t xml:space="preserve">Agents are orchestrated via LangGraph (TypeScript). The graph is a directed acyclic structure with a single human-in-the-loop checkpoint between A1 (fact confirmation) and A2 (retrieval). The partner reviews and edits the Expansion Twin before the retrieval and conflict engines run. All subsequent agents are fully automated.</w:t>
      </w:r>
    </w:p>
    <w:p>
      <w:pPr>
        <w:spacing w:after="120" w:before="0"/>
        <w:jc w:val="left"/>
      </w:pPr>
      <w:r>
        <w:rPr>
          <w:rFonts w:ascii="Georgia" w:cs="Georgia" w:eastAsia="Georgia" w:hAnsi="Georgia"/>
          <w:b w:val="false"/>
          <w:bCs w:val="false"/>
          <w:i w:val="false"/>
          <w:iCs w:val="false"/>
          <w:caps w:val="false"/>
          <w:color w:val="0A0A0A"/>
          <w:sz w:val="22"/>
          <w:szCs w:val="22"/>
        </w:rPr>
        <w:t xml:space="preserve">Agent state is serialised as structured JSON throughout. The Expansion Twin, obligation graph, conflict map, and scenario scores are all persisted as structured objects — not prose — until A6 renders them as documents. This ensures every output is deterministic, auditable, and re-runnable.</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6. Data Model</w:t>
      </w:r>
    </w:p>
    <w:p>
      <w:pPr>
        <w:pStyle w:val="Heading2"/>
        <w:spacing w:after="120" w:before="360"/>
      </w:pPr>
      <w:r>
        <w:rPr>
          <w:rFonts w:ascii="Georgia" w:cs="Georgia" w:eastAsia="Georgia" w:hAnsi="Georgia"/>
          <w:b/>
          <w:bCs/>
          <w:color w:val="2C3E50"/>
          <w:sz w:val="28"/>
          <w:szCs w:val="28"/>
        </w:rPr>
        <w:t xml:space="preserve">6.1  Expansion Twin</w:t>
      </w:r>
    </w:p>
    <w:p>
      <w:pPr>
        <w:spacing w:after="120" w:before="0"/>
        <w:jc w:val="left"/>
      </w:pPr>
      <w:r>
        <w:rPr>
          <w:rFonts w:ascii="Georgia" w:cs="Georgia" w:eastAsia="Georgia" w:hAnsi="Georgia"/>
          <w:b w:val="false"/>
          <w:bCs w:val="false"/>
          <w:i w:val="false"/>
          <w:iCs w:val="false"/>
          <w:caps w:val="false"/>
          <w:color w:val="0A0A0A"/>
          <w:sz w:val="22"/>
          <w:szCs w:val="22"/>
        </w:rPr>
        <w:t xml:space="preserve">The Expansion Twin is the canonical structured representation of the client's business and expansion plan. It is created by A1, confirmed by the partner, and consumed by all subsequent agents.</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600"/>
        <w:gridCol w:w="1600"/>
        <w:gridCol w:w="5160"/>
      </w:tblGrid>
      <w:tr>
        <w:tc>
          <w:tcPr>
            <w:tcW w:type="dxa" w:w="2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Field</w:t>
            </w:r>
          </w:p>
        </w:tc>
        <w:tc>
          <w:tcPr>
            <w:tcW w:type="dxa" w:w="1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Type</w:t>
            </w:r>
          </w:p>
        </w:tc>
        <w:tc>
          <w:tcPr>
            <w:tcW w:type="dxa" w:w="51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Description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company.name</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Legal name of the entity</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company.hq_country</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ISO 3166-1</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Jurisdiction of incorporation and HQ</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company.industry</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Sector classification (SaaS, fintech, e-commerce, etc.)</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company.size</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integer</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Total global headcount at time of brief</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expansion.target_countries</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ISO[]</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Array of target jurisdictions for this mandate</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expansion.timeline_days</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integer</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Days until intended go-live</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people.hires_by_country</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Map&lt;ISO,int&gt;</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Planned headcount additions per jurisdiction</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people.arrangement</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remote | hybrid | on-site per jurisdiction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data.categories</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HR, customer, financial, health, biometric, special-category</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data.storage_jurisdiction</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ISO[]</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Where data is physically stored</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data.transfer_flows</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Edge[]</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Data flow graph: origin → destination per category</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entity.current_structures</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Map&lt;ISO,string&gt;</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Existing entity type per jurisdiction (HQ, EOR, branch, subsidiary)</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product.category</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Product type for licensing/regulated-activity assessment</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product.ai_features</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boolean</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Triggers EU AI Act classification assessment</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revenue.local_invoicing</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Map&lt;ISO,bool&gt;</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Whether local invoicing is planned per jurisdiction (VAT/PE trigger)</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6.2  Obligation</w:t>
      </w:r>
    </w:p>
    <w:p>
      <w:pPr>
        <w:spacing w:after="120" w:before="0"/>
        <w:jc w:val="left"/>
      </w:pPr>
      <w:r>
        <w:rPr>
          <w:rFonts w:ascii="Georgia" w:cs="Georgia" w:eastAsia="Georgia" w:hAnsi="Georgia"/>
          <w:b w:val="false"/>
          <w:bCs w:val="false"/>
          <w:i w:val="false"/>
          <w:iCs w:val="false"/>
          <w:caps w:val="false"/>
          <w:color w:val="0A0A0A"/>
          <w:sz w:val="22"/>
          <w:szCs w:val="22"/>
        </w:rPr>
        <w:t xml:space="preserve">Each obligation retrieved by A2 is stored as a structured object, not prose.</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600"/>
        <w:gridCol w:w="1600"/>
        <w:gridCol w:w="5160"/>
      </w:tblGrid>
      <w:tr>
        <w:tc>
          <w:tcPr>
            <w:tcW w:type="dxa" w:w="2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Field</w:t>
            </w:r>
          </w:p>
        </w:tc>
        <w:tc>
          <w:tcPr>
            <w:tcW w:type="dxa" w:w="1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Type</w:t>
            </w:r>
          </w:p>
        </w:tc>
        <w:tc>
          <w:tcPr>
            <w:tcW w:type="dxa" w:w="51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Description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id</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uuid</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Unique obligation identifier</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jurisdiction</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ISO 3166-1</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Country to which this obligation belongs</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category</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tax | employment | data | licensing | sanctions | corporate</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title</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Short obligation title (e.g. "Works council — DE")</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description</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Full plain-English description of the obligation</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trigger</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Business event that activates this obligation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threshold</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string|null</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Numeric threshold if applicable (e.g. "5 employees")</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severity</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critical | high | medium | low</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source.citation</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Primary source reference (CELEX number, statute, regulation)</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source.url</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Direct URL to authoritative source</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confidence</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float 0–1</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Model confidence score — displayed to partner</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requires_local_counsel</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boolean</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Flag for obligations that require jurisdiction-specific legal sign-off</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6.3  Conflict</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600"/>
        <w:gridCol w:w="1600"/>
        <w:gridCol w:w="5160"/>
      </w:tblGrid>
      <w:tr>
        <w:tc>
          <w:tcPr>
            <w:tcW w:type="dxa" w:w="2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Field</w:t>
            </w:r>
          </w:p>
        </w:tc>
        <w:tc>
          <w:tcPr>
            <w:tcW w:type="dxa" w:w="1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Type</w:t>
            </w:r>
          </w:p>
        </w:tc>
        <w:tc>
          <w:tcPr>
            <w:tcW w:type="dxa" w:w="51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Description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obligation_a</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uuid</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Reference to first obligation</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obligation_b</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uuid</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Reference to second obligation</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type</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compatible | dependency | tension | conflict | trigger_risk</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explanation</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Plain-English explanation of why the conflict exists</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impacted_twin_fields</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Which Expansion Twin fields create this conflict</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mitigation_options</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string[]</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Ordered list of resolution paths, from least to most operationally disruptive</w:t>
            </w:r>
          </w:p>
        </w:tc>
      </w:tr>
      <w:tr>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severity</w:t>
            </w:r>
          </w:p>
        </w:tc>
        <w:tc>
          <w:tcPr>
            <w:tcW w:type="dxa" w:w="1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enum</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critical | high | medium | low</w:t>
            </w:r>
          </w:p>
        </w:tc>
      </w:tr>
      <w:tr>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blocks_expansion</w:t>
            </w:r>
          </w:p>
        </w:tc>
        <w:tc>
          <w:tcPr>
            <w:tcW w:type="dxa" w:w="1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20"/>
                <w:szCs w:val="20"/>
              </w:rPr>
              <w:t xml:space="preserve">boolean</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Whether this conflict prevents the planned expansion in current form</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7. Functional Requirements</w:t>
      </w:r>
    </w:p>
    <w:p>
      <w:pPr>
        <w:pStyle w:val="Heading2"/>
        <w:spacing w:after="120" w:before="360"/>
      </w:pPr>
      <w:r>
        <w:rPr>
          <w:rFonts w:ascii="Georgia" w:cs="Georgia" w:eastAsia="Georgia" w:hAnsi="Georgia"/>
          <w:b/>
          <w:bCs/>
          <w:color w:val="2C3E50"/>
          <w:sz w:val="28"/>
          <w:szCs w:val="28"/>
        </w:rPr>
        <w:t xml:space="preserve">FR-01  Structured client intake</w:t>
      </w:r>
    </w:p>
    <w:p>
      <w:pPr>
        <w:spacing w:after="120" w:before="0"/>
        <w:jc w:val="left"/>
      </w:pPr>
      <w:r>
        <w:rPr>
          <w:rFonts w:ascii="Georgia" w:cs="Georgia" w:eastAsia="Georgia" w:hAnsi="Georgia"/>
          <w:b w:val="false"/>
          <w:bCs w:val="false"/>
          <w:i w:val="false"/>
          <w:iCs w:val="false"/>
          <w:caps w:val="false"/>
          <w:color w:val="0A0A0A"/>
          <w:sz w:val="22"/>
          <w:szCs w:val="22"/>
        </w:rPr>
        <w:t xml:space="preserve">The partner pastes or types the client brief as free text. The system extracts structured facts and populates the Expansion Twin. The partner reviews and edits the extracted facts before proceeding. The system must handle ambiguous or incomplete briefs gracefully, asking targeted clarifying questions rather than failing.</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System correctly extracts company, expansion, people, data, and entity fields from a free-text brief with ≥85% field accuracy. Partner can edit any field before proceeding. System asks ≤3 clarifying questions for a typical brief.</w:t>
      </w:r>
    </w:p>
    <w:p>
      <w:pPr>
        <w:pStyle w:val="Heading2"/>
        <w:spacing w:after="120" w:before="360"/>
      </w:pPr>
      <w:r>
        <w:rPr>
          <w:rFonts w:ascii="Georgia" w:cs="Georgia" w:eastAsia="Georgia" w:hAnsi="Georgia"/>
          <w:b/>
          <w:bCs/>
          <w:color w:val="2C3E50"/>
          <w:sz w:val="28"/>
          <w:szCs w:val="28"/>
        </w:rPr>
        <w:t xml:space="preserve">FR-02  Jurisdiction retrieval with live citations</w:t>
      </w:r>
    </w:p>
    <w:p>
      <w:pPr>
        <w:spacing w:after="120" w:before="0"/>
        <w:jc w:val="left"/>
      </w:pPr>
      <w:r>
        <w:rPr>
          <w:rFonts w:ascii="Georgia" w:cs="Georgia" w:eastAsia="Georgia" w:hAnsi="Georgia"/>
          <w:b w:val="false"/>
          <w:bCs w:val="false"/>
          <w:i w:val="false"/>
          <w:iCs w:val="false"/>
          <w:caps w:val="false"/>
          <w:color w:val="0A0A0A"/>
          <w:sz w:val="22"/>
          <w:szCs w:val="22"/>
        </w:rPr>
        <w:t xml:space="preserve">For each target jurisdiction, the system retrieves obligations from authoritative sources. Every obligation is tagged with its primary source, citation, URL, and a confidence score. The retrieval is performed in parallel across jurisdictions via the fan-out agent pattern.</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Each obligation includes a verifiable citation. Source URLs resolve to official government or legislative databases. Retrieval completes within 15 seconds per jurisdiction. Obligations are categorised by type (tax, employment, data, licensing, sanctions, corporate).</w:t>
      </w:r>
    </w:p>
    <w:p>
      <w:pPr>
        <w:pStyle w:val="Heading2"/>
        <w:spacing w:after="120" w:before="360"/>
      </w:pPr>
      <w:r>
        <w:rPr>
          <w:rFonts w:ascii="Georgia" w:cs="Georgia" w:eastAsia="Georgia" w:hAnsi="Georgia"/>
          <w:b/>
          <w:bCs/>
          <w:color w:val="2C3E50"/>
          <w:sz w:val="28"/>
          <w:szCs w:val="28"/>
        </w:rPr>
        <w:t xml:space="preserve">FR-03  Cross-jurisdiction conflict detection</w:t>
      </w:r>
    </w:p>
    <w:p>
      <w:pPr>
        <w:spacing w:after="120" w:before="0"/>
        <w:jc w:val="left"/>
      </w:pPr>
      <w:r>
        <w:rPr>
          <w:rFonts w:ascii="Georgia" w:cs="Georgia" w:eastAsia="Georgia" w:hAnsi="Georgia"/>
          <w:b w:val="false"/>
          <w:bCs w:val="false"/>
          <w:i w:val="false"/>
          <w:iCs w:val="false"/>
          <w:caps w:val="false"/>
          <w:color w:val="0A0A0A"/>
          <w:sz w:val="22"/>
          <w:szCs w:val="22"/>
        </w:rPr>
        <w:t xml:space="preserve">The conflict engine compares obligation pairs across all target jurisdictions and classifies their relationship. Conflict detection is deterministic — it uses structured rules against the obligation graph, not LLM inference. The LLM is used only to generate the plain-English explanation of the conflict and the mitigation options.</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System detects all conflicts pre-programmed in the rule set for demo jurisdictions (DE, SE, VN, GB, SG). Each conflict includes an explanation and at least one mitigation path. Critical conflicts are flagged visually in the UI. System never presents a conflict without an explanation.</w:t>
      </w:r>
    </w:p>
    <w:p>
      <w:pPr>
        <w:pStyle w:val="Heading2"/>
        <w:spacing w:after="120" w:before="360"/>
      </w:pPr>
      <w:r>
        <w:rPr>
          <w:rFonts w:ascii="Georgia" w:cs="Georgia" w:eastAsia="Georgia" w:hAnsi="Georgia"/>
          <w:b/>
          <w:bCs/>
          <w:color w:val="2C3E50"/>
          <w:sz w:val="28"/>
          <w:szCs w:val="28"/>
        </w:rPr>
        <w:t xml:space="preserve">FR-04  Trigger-based obligation timeline</w:t>
      </w:r>
    </w:p>
    <w:p>
      <w:pPr>
        <w:spacing w:after="120" w:before="0"/>
        <w:jc w:val="left"/>
      </w:pPr>
      <w:r>
        <w:rPr>
          <w:rFonts w:ascii="Georgia" w:cs="Georgia" w:eastAsia="Georgia" w:hAnsi="Georgia"/>
          <w:b w:val="false"/>
          <w:bCs w:val="false"/>
          <w:i w:val="false"/>
          <w:iCs w:val="false"/>
          <w:caps w:val="false"/>
          <w:color w:val="0A0A0A"/>
          <w:sz w:val="22"/>
          <w:szCs w:val="22"/>
        </w:rPr>
        <w:t xml:space="preserve">The system maps each obligation to the business event that activates it and the threshold at which it fires. It produces a forward-looking timeline showing which obligations apply now, which will apply if a threshold is crossed, and which are likely to apply within the next 90 days given the stated expansion plan.</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Timeline includes at minimum three time horizons: immediate, 30-day, 90-day. Each obligation on the timeline is linked to its trigger and source. Partners can see which specific planned actions (first hire, local invoicing, data storage) activate which obligations.</w:t>
      </w:r>
    </w:p>
    <w:p>
      <w:pPr>
        <w:pStyle w:val="Heading2"/>
        <w:spacing w:after="120" w:before="360"/>
      </w:pPr>
      <w:r>
        <w:rPr>
          <w:rFonts w:ascii="Georgia" w:cs="Georgia" w:eastAsia="Georgia" w:hAnsi="Georgia"/>
          <w:b/>
          <w:bCs/>
          <w:color w:val="2C3E50"/>
          <w:sz w:val="28"/>
          <w:szCs w:val="28"/>
        </w:rPr>
        <w:t xml:space="preserve">FR-05  Scenario simulation</w:t>
      </w:r>
    </w:p>
    <w:p>
      <w:pPr>
        <w:spacing w:after="120" w:before="0"/>
        <w:jc w:val="left"/>
      </w:pPr>
      <w:r>
        <w:rPr>
          <w:rFonts w:ascii="Georgia" w:cs="Georgia" w:eastAsia="Georgia" w:hAnsi="Georgia"/>
          <w:b w:val="false"/>
          <w:bCs w:val="false"/>
          <w:i w:val="false"/>
          <w:iCs w:val="false"/>
          <w:caps w:val="false"/>
          <w:color w:val="0A0A0A"/>
          <w:sz w:val="22"/>
          <w:szCs w:val="22"/>
        </w:rPr>
        <w:t xml:space="preserve">For each mandate, the system generates 3–5 market-entry scenarios and scores them. Scenarios include: Employer of Record (EOR), local subsidiary, contractor-first model, and distributor/reseller model. Each scenario is scored across legal risk, compliance burden, time-to-launch, and operational complexity.</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At least 3 scenarios generated per mandate. Each scenario includes a risk score, compliance burden estimate, time-to-launch estimate, key assumptions, and confidence level. Scenarios are displayed in a side-by-side comparison table. Recommended scenario is highlighted with rationale.</w:t>
      </w:r>
    </w:p>
    <w:p>
      <w:pPr>
        <w:pStyle w:val="Heading2"/>
        <w:spacing w:after="120" w:before="360"/>
      </w:pPr>
      <w:r>
        <w:rPr>
          <w:rFonts w:ascii="Georgia" w:cs="Georgia" w:eastAsia="Georgia" w:hAnsi="Georgia"/>
          <w:b/>
          <w:bCs/>
          <w:color w:val="2C3E50"/>
          <w:sz w:val="28"/>
          <w:szCs w:val="28"/>
        </w:rPr>
        <w:t xml:space="preserve">FR-06  Resolution planner</w:t>
      </w:r>
    </w:p>
    <w:p>
      <w:pPr>
        <w:spacing w:after="120" w:before="0"/>
        <w:jc w:val="left"/>
      </w:pPr>
      <w:r>
        <w:rPr>
          <w:rFonts w:ascii="Georgia" w:cs="Georgia" w:eastAsia="Georgia" w:hAnsi="Georgia"/>
          <w:b w:val="false"/>
          <w:bCs w:val="false"/>
          <w:i w:val="false"/>
          <w:iCs w:val="false"/>
          <w:caps w:val="false"/>
          <w:color w:val="0A0A0A"/>
          <w:sz w:val="22"/>
          <w:szCs w:val="22"/>
        </w:rPr>
        <w:t xml:space="preserve">For the recommended scenario, the system produces the minimum-viable compliant architecture: the specific entity structures, data flows, employment arrangements, and contractual instruments needed to operate lawfully across all target jurisdictions without triggering any critical conflict.</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Architecture recommendation includes entity type per jurisdiction, data flow design, employment model, and key contractual instruments. Each recommendation is linked to the conflict it resolves. Output includes a dependency graph showing sequencing constraints.</w:t>
      </w:r>
    </w:p>
    <w:p>
      <w:pPr>
        <w:pStyle w:val="Heading2"/>
        <w:spacing w:after="120" w:before="360"/>
      </w:pPr>
      <w:r>
        <w:rPr>
          <w:rFonts w:ascii="Georgia" w:cs="Georgia" w:eastAsia="Georgia" w:hAnsi="Georgia"/>
          <w:b/>
          <w:bCs/>
          <w:color w:val="2C3E50"/>
          <w:sz w:val="28"/>
          <w:szCs w:val="28"/>
        </w:rPr>
        <w:t xml:space="preserve">FR-07  30/60/90-day action plan</w:t>
      </w:r>
    </w:p>
    <w:p>
      <w:pPr>
        <w:spacing w:after="120" w:before="0"/>
        <w:jc w:val="left"/>
      </w:pPr>
      <w:r>
        <w:rPr>
          <w:rFonts w:ascii="Georgia" w:cs="Georgia" w:eastAsia="Georgia" w:hAnsi="Georgia"/>
          <w:b w:val="false"/>
          <w:bCs w:val="false"/>
          <w:i w:val="false"/>
          <w:iCs w:val="false"/>
          <w:caps w:val="false"/>
          <w:color w:val="0A0A0A"/>
          <w:sz w:val="22"/>
          <w:szCs w:val="22"/>
        </w:rPr>
        <w:t xml:space="preserve">The system produces an execution roadmap with specific actions, owners (partner, associate, local counsel, client), due dates, and dependency mapping. Actions are sequenced to respect legal dependencies (e.g. entity registration must precede local employment contracts).</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Action plan covers 0–90 days. Each action has an owner category, estimated effort, and dependency list. Blocking dependencies are clearly identified. Plan is exportable as structured output.</w:t>
      </w:r>
    </w:p>
    <w:p>
      <w:pPr>
        <w:pStyle w:val="Heading2"/>
        <w:spacing w:after="120" w:before="360"/>
      </w:pPr>
      <w:r>
        <w:rPr>
          <w:rFonts w:ascii="Georgia" w:cs="Georgia" w:eastAsia="Georgia" w:hAnsi="Georgia"/>
          <w:b/>
          <w:bCs/>
          <w:color w:val="2C3E50"/>
          <w:sz w:val="28"/>
          <w:szCs w:val="28"/>
        </w:rPr>
        <w:t xml:space="preserve">FR-08  Partner-ready deliverable generation</w:t>
      </w:r>
    </w:p>
    <w:p>
      <w:pPr>
        <w:spacing w:after="120" w:before="0"/>
        <w:jc w:val="left"/>
      </w:pPr>
      <w:r>
        <w:rPr>
          <w:rFonts w:ascii="Georgia" w:cs="Georgia" w:eastAsia="Georgia" w:hAnsi="Georgia"/>
          <w:b w:val="false"/>
          <w:bCs w:val="false"/>
          <w:i w:val="false"/>
          <w:iCs w:val="false"/>
          <w:caps w:val="false"/>
          <w:color w:val="0A0A0A"/>
          <w:sz w:val="22"/>
          <w:szCs w:val="22"/>
        </w:rPr>
        <w:t xml:space="preserve">The system generates a complete partner memo package including: executive summary, conflict map, scenario scorecard, risk matrix, 30/60/90-day action plan, and evidence pack. The memo is formatted for client delivery, with the firm's name and partner attribution.</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Memo is generated in under 30 seconds after analysis completes. All claims in the memo link to evidence items. Evidence pack lists all sources with CELEX numbers, dates, and URLs. Output is exportable to Legora matter workspace format.</w:t>
      </w:r>
    </w:p>
    <w:p>
      <w:pPr>
        <w:pStyle w:val="Heading2"/>
        <w:spacing w:after="120" w:before="360"/>
      </w:pPr>
      <w:r>
        <w:rPr>
          <w:rFonts w:ascii="Georgia" w:cs="Georgia" w:eastAsia="Georgia" w:hAnsi="Georgia"/>
          <w:b/>
          <w:bCs/>
          <w:color w:val="2C3E50"/>
          <w:sz w:val="28"/>
          <w:szCs w:val="28"/>
        </w:rPr>
        <w:t xml:space="preserve">FR-09  Human-in-the-loop checkpoint</w:t>
      </w:r>
    </w:p>
    <w:p>
      <w:pPr>
        <w:spacing w:after="120" w:before="0"/>
        <w:jc w:val="left"/>
      </w:pPr>
      <w:r>
        <w:rPr>
          <w:rFonts w:ascii="Georgia" w:cs="Georgia" w:eastAsia="Georgia" w:hAnsi="Georgia"/>
          <w:b w:val="false"/>
          <w:bCs w:val="false"/>
          <w:i w:val="false"/>
          <w:iCs w:val="false"/>
          <w:caps w:val="false"/>
          <w:color w:val="0A0A0A"/>
          <w:sz w:val="22"/>
          <w:szCs w:val="22"/>
        </w:rPr>
        <w:t xml:space="preserve">After A1 extracts the Expansion Twin, the system pauses for partner review and confirmation before proceeding to retrieval and conflict detection. The partner can edit any field, add context, or flag jurisdictions for deeper analysis. This is the only mandatory pause in the workflow.</w:t>
      </w:r>
    </w:p>
    <w:p>
      <w:pPr>
        <w:spacing w:after="120" w:before="0"/>
        <w:jc w:val="left"/>
      </w:pPr>
      <w:r>
        <w:rPr>
          <w:rFonts w:ascii="Georgia" w:cs="Georgia" w:eastAsia="Georgia" w:hAnsi="Georgia"/>
          <w:b w:val="false"/>
          <w:bCs w:val="false"/>
          <w:i w:val="false"/>
          <w:iCs w:val="false"/>
          <w:caps w:val="false"/>
          <w:color w:val="0A0A0A"/>
          <w:sz w:val="22"/>
          <w:szCs w:val="22"/>
        </w:rPr>
        <w:t xml:space="preserve">Acceptance criteria: Partner can edit any Expansion Twin field. Changes to key fields (data categories, headcount thresholds, entity structures) trigger re-analysis of affected obligations. System does not proceed without explicit partner confirmation.</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8. Technical Architecture</w:t>
      </w:r>
    </w:p>
    <w:p>
      <w:pPr>
        <w:pStyle w:val="Heading2"/>
        <w:spacing w:after="120" w:before="360"/>
      </w:pPr>
      <w:r>
        <w:rPr>
          <w:rFonts w:ascii="Georgia" w:cs="Georgia" w:eastAsia="Georgia" w:hAnsi="Georgia"/>
          <w:b/>
          <w:bCs/>
          <w:color w:val="2C3E50"/>
          <w:sz w:val="28"/>
          <w:szCs w:val="28"/>
        </w:rPr>
        <w:t xml:space="preserve">8.1  Stack</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400"/>
        <w:gridCol w:w="2880"/>
        <w:gridCol w:w="4080"/>
      </w:tblGrid>
      <w:tr>
        <w:tc>
          <w:tcPr>
            <w:tcW w:type="dxa" w:w="24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Layer</w:t>
            </w:r>
          </w:p>
        </w:tc>
        <w:tc>
          <w:tcPr>
            <w:tcW w:type="dxa" w:w="288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Technology</w:t>
            </w:r>
          </w:p>
        </w:tc>
        <w:tc>
          <w:tcPr>
            <w:tcW w:type="dxa" w:w="408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Rationale</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Frontend</w:t>
            </w:r>
          </w:p>
        </w:tc>
        <w:tc>
          <w:tcPr>
            <w:tcW w:type="dxa" w:w="28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Next.js 14 (App Router), TypeScript</w:t>
            </w:r>
          </w:p>
        </w:tc>
        <w:tc>
          <w:tcPr>
            <w:tcW w:type="dxa" w:w="4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Streaming SSE support, server components for agent state, fast prototype velocity</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Backend</w:t>
            </w:r>
          </w:p>
        </w:tc>
        <w:tc>
          <w:tcPr>
            <w:tcW w:type="dxa" w:w="28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Node.js / TypeScript, Express</w:t>
            </w:r>
          </w:p>
        </w:tc>
        <w:tc>
          <w:tcPr>
            <w:tcW w:type="dxa" w:w="40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Type safety across the full agent state object, consistent with LangGraph.js</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Agent orchestration</w:t>
            </w:r>
          </w:p>
        </w:tc>
        <w:tc>
          <w:tcPr>
            <w:tcW w:type="dxa" w:w="28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LangGraph.js</w:t>
            </w:r>
          </w:p>
        </w:tc>
        <w:tc>
          <w:tcPr>
            <w:tcW w:type="dxa" w:w="4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TypeScript-native, supports streaming agent state, human-in-the-loop checkpoint, directed graph with conditional edges</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AI model</w:t>
            </w:r>
          </w:p>
        </w:tc>
        <w:tc>
          <w:tcPr>
            <w:tcW w:type="dxa" w:w="28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Claude Sonnet 4.5 (Anthropic)</w:t>
            </w:r>
          </w:p>
        </w:tc>
        <w:tc>
          <w:tcPr>
            <w:tcW w:type="dxa" w:w="40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Best-in-class structured extraction, tool use, and long-context synthesis. Used for A1, A2 synthesis, A6 memo generation.</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 engine</w:t>
            </w:r>
          </w:p>
        </w:tc>
        <w:tc>
          <w:tcPr>
            <w:tcW w:type="dxa" w:w="28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Deterministic TypeScript rule layer</w:t>
            </w:r>
          </w:p>
        </w:tc>
        <w:tc>
          <w:tcPr>
            <w:tcW w:type="dxa" w:w="4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 detection must be auditable and reproducible — not dependent on LLM non-determinism</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Vector search</w:t>
            </w:r>
          </w:p>
        </w:tc>
        <w:tc>
          <w:tcPr>
            <w:tcW w:type="dxa" w:w="28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In-memory vector store (demo)</w:t>
            </w:r>
          </w:p>
        </w:tc>
        <w:tc>
          <w:tcPr>
            <w:tcW w:type="dxa" w:w="40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Lightweight RAG over curated jurisdiction rule packs. No external vector DB dependency for hackathon.</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Streaming</w:t>
            </w:r>
          </w:p>
        </w:tc>
        <w:tc>
          <w:tcPr>
            <w:tcW w:type="dxa" w:w="28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Server-Sent Events (SSE)</w:t>
            </w:r>
          </w:p>
        </w:tc>
        <w:tc>
          <w:tcPr>
            <w:tcW w:type="dxa" w:w="40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Real-time agent progress display. Each agent emits events as it runs. Judges see the work happening live.</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Styling</w:t>
            </w:r>
          </w:p>
        </w:tc>
        <w:tc>
          <w:tcPr>
            <w:tcW w:type="dxa" w:w="28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Tailwind CSS</w:t>
            </w:r>
          </w:p>
        </w:tc>
        <w:tc>
          <w:tcPr>
            <w:tcW w:type="dxa" w:w="40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Rapid development, consistent design system</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8.2  Real API integrations</w:t>
      </w:r>
    </w:p>
    <w:p>
      <w:pPr>
        <w:spacing w:after="120" w:before="0"/>
        <w:jc w:val="left"/>
      </w:pPr>
      <w:r>
        <w:rPr>
          <w:rFonts w:ascii="Georgia" w:cs="Georgia" w:eastAsia="Georgia" w:hAnsi="Georgia"/>
          <w:b w:val="false"/>
          <w:bCs w:val="false"/>
          <w:i w:val="false"/>
          <w:iCs w:val="false"/>
          <w:caps w:val="false"/>
          <w:color w:val="0A0A0A"/>
          <w:sz w:val="22"/>
          <w:szCs w:val="22"/>
        </w:rPr>
        <w:t xml:space="preserve">The following APIs are called live during the demo. All are free-tier with immediate access. No paid API keys required for hackathon build.</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200"/>
        <w:gridCol w:w="2600"/>
        <w:gridCol w:w="4560"/>
      </w:tblGrid>
      <w:tr>
        <w:tc>
          <w:tcPr>
            <w:tcW w:type="dxa" w:w="2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API</w:t>
            </w:r>
          </w:p>
        </w:tc>
        <w:tc>
          <w:tcPr>
            <w:tcW w:type="dxa" w:w="2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Endpoint</w:t>
            </w:r>
          </w:p>
        </w:tc>
        <w:tc>
          <w:tcPr>
            <w:tcW w:type="dxa" w:w="45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What it proves</w:t>
            </w:r>
          </w:p>
        </w:tc>
      </w:tr>
      <w:tr>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EUR-Lex CELLAR</w:t>
            </w:r>
          </w:p>
        </w:tc>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sparql.cellar.publications.europa.eu</w:t>
            </w:r>
          </w:p>
        </w:tc>
        <w:tc>
          <w:tcPr>
            <w:tcW w:type="dxa" w:w="4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Live retrieval of GDPR, AI Act, CSRD, DAC7 consolidated text by CELEX number. Proves the citations are real, not fabricated.</w:t>
            </w:r>
          </w:p>
        </w:tc>
      </w:tr>
      <w:tr>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OpenSanctions</w:t>
            </w:r>
          </w:p>
        </w:tc>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api.opensanctions.org/match</w:t>
            </w:r>
          </w:p>
        </w:tc>
        <w:tc>
          <w:tcPr>
            <w:tcW w:type="dxa" w:w="4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Screens client directors and UBOs against consolidated OFAC, UN, EU, UK OFSI, and PEP lists in a single call. Real-time result in the demo.</w:t>
            </w:r>
          </w:p>
        </w:tc>
      </w:tr>
      <w:tr>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GLEIF LEI</w:t>
            </w:r>
          </w:p>
        </w:tc>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api.gleif.org/api/v1/lei-records</w:t>
            </w:r>
          </w:p>
        </w:tc>
        <w:tc>
          <w:tcPr>
            <w:tcW w:type="dxa" w:w="4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Resolves corporate group structure, parent jurisdiction, and UBO chain for any entity with an LEI. Zero-auth.</w:t>
            </w:r>
          </w:p>
        </w:tc>
      </w:tr>
      <w:tr>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EU VIES</w:t>
            </w:r>
          </w:p>
        </w:tc>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ec.europa.eu/taxation_customs/vies</w:t>
            </w:r>
          </w:p>
        </w:tc>
        <w:tc>
          <w:tcPr>
            <w:tcW w:type="dxa" w:w="4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Validates VAT registration across all 27 EU member states. Confirms whether client has existing EU VAT presence.</w:t>
            </w:r>
          </w:p>
        </w:tc>
      </w:tr>
      <w:tr>
        <w:tc>
          <w:tcPr>
            <w:tcW w:type="dxa" w:w="2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Companies House</w:t>
            </w:r>
          </w:p>
        </w:tc>
        <w:tc>
          <w:tcPr>
            <w:tcW w:type="dxa" w:w="2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api.company-information.service.gov.uk</w:t>
            </w:r>
          </w:p>
        </w:tc>
        <w:tc>
          <w:tcPr>
            <w:tcW w:type="dxa" w:w="4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UK entity history, officers, PSC register, and filing status. Free API key, immediate access.</w:t>
            </w:r>
          </w:p>
        </w:tc>
      </w:tr>
      <w:tr>
        <w:tc>
          <w:tcPr>
            <w:tcW w:type="dxa" w:w="2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legislation.gov.uk</w:t>
            </w:r>
          </w:p>
        </w:tc>
        <w:tc>
          <w:tcPr>
            <w:tcW w:type="dxa" w:w="2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Courier New" w:cs="Courier New" w:eastAsia="Courier New" w:hAnsi="Courier New"/>
                <w:b w:val="false"/>
                <w:bCs w:val="false"/>
                <w:i w:val="false"/>
                <w:iCs w:val="false"/>
                <w:caps w:val="false"/>
                <w:color w:val="0A0A0A"/>
                <w:sz w:val="18"/>
                <w:szCs w:val="18"/>
              </w:rPr>
              <w:t xml:space="preserve">www.legislation.gov.uk/api/1</w:t>
            </w:r>
          </w:p>
        </w:tc>
        <w:tc>
          <w:tcPr>
            <w:tcW w:type="dxa" w:w="4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UK statute text in XML. Used for Employment Rights Act, Companies Act provisions relevant to UK expansion.</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8.3  Mocked data (transparent)</w:t>
      </w:r>
    </w:p>
    <w:p>
      <w:pPr>
        <w:spacing w:after="120" w:before="0"/>
        <w:jc w:val="left"/>
      </w:pPr>
      <w:r>
        <w:rPr>
          <w:rFonts w:ascii="Georgia" w:cs="Georgia" w:eastAsia="Georgia" w:hAnsi="Georgia"/>
          <w:b w:val="false"/>
          <w:bCs w:val="false"/>
          <w:i w:val="false"/>
          <w:iCs w:val="false"/>
          <w:caps w:val="false"/>
          <w:color w:val="0A0A0A"/>
          <w:sz w:val="22"/>
          <w:szCs w:val="22"/>
        </w:rPr>
        <w:t xml:space="preserve">The following data sources are mocked for the hackathon demo, with clear disclosure in the UI. Mocking is limited to jurisdictions and sources where no free public API exists.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Vietnam Cybersecurity Law §26 and Decree 13/2023/ND-CP — translated key articles stored as curated JSON</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OECD Pillar Two GloBE model rules — key threshold rules as structured rule pack</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Germany Betriebsverfassungsgesetz (Works Constitution Act) — key threshold provisions as rule pack</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Singapore PDPA key provisions — curated rule pack</w:t>
      </w:r>
    </w:p>
    <w:p>
      <w:pPr>
        <w:spacing w:after="120" w:before="0"/>
        <w:jc w:val="left"/>
      </w:pPr>
      <w:r>
        <w:rPr>
          <w:rFonts w:ascii="Georgia" w:cs="Georgia" w:eastAsia="Georgia" w:hAnsi="Georgia"/>
          <w:b w:val="false"/>
          <w:bCs w:val="false"/>
          <w:i w:val="false"/>
          <w:iCs w:val="false"/>
          <w:caps w:val="false"/>
          <w:color w:val="0A0A0A"/>
          <w:sz w:val="22"/>
          <w:szCs w:val="22"/>
        </w:rPr>
        <w:t xml:space="preserve">All mocked rule packs are labelled in the UI as "curated rule pack — verify with local counsel" and include the primary source reference for the partner to verify independently.</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9. UI Design</w:t>
      </w:r>
    </w:p>
    <w:p>
      <w:pPr>
        <w:pStyle w:val="Heading2"/>
        <w:spacing w:after="120" w:before="360"/>
      </w:pPr>
      <w:r>
        <w:rPr>
          <w:rFonts w:ascii="Georgia" w:cs="Georgia" w:eastAsia="Georgia" w:hAnsi="Georgia"/>
          <w:b/>
          <w:bCs/>
          <w:color w:val="2C3E50"/>
          <w:sz w:val="28"/>
          <w:szCs w:val="28"/>
        </w:rPr>
        <w:t xml:space="preserve">9.1  Design philosophy</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is a professional tool used by lawyers who handle high-stakes, high-value mandates. The design must reflect that context: it should feel like a Bloomberg Terminal or a partner-grade legal database, not a consumer SaaS product. The aesthetic is surgical precision minimalism.</w:t>
      </w:r>
    </w:p>
    <w:p>
      <w:pPr>
        <w:spacing w:after="120" w:before="0"/>
        <w:jc w:val="left"/>
      </w:pPr>
      <w:r>
        <w:rPr>
          <w:rFonts w:ascii="Georgia" w:cs="Georgia" w:eastAsia="Georgia" w:hAnsi="Georgia"/>
          <w:b w:val="false"/>
          <w:bCs w:val="false"/>
          <w:i w:val="false"/>
          <w:iCs w:val="false"/>
          <w:caps w:val="false"/>
          <w:color w:val="0A0A0A"/>
          <w:sz w:val="22"/>
          <w:szCs w:val="22"/>
        </w:rPr>
        <w:t xml:space="preserve">Every design decision defers to legibility over aesthetics. Information density over decorative whitespace. Monochrome over colour, with colour reserved exclusively for risk signal (red/amber/green in the context lawyers already understand).</w:t>
      </w:r>
    </w:p>
    <w:p>
      <w:pPr>
        <w:pStyle w:val="Heading2"/>
        <w:spacing w:after="120" w:before="360"/>
      </w:pPr>
      <w:r>
        <w:rPr>
          <w:rFonts w:ascii="Georgia" w:cs="Georgia" w:eastAsia="Georgia" w:hAnsi="Georgia"/>
          <w:b/>
          <w:bCs/>
          <w:color w:val="2C3E50"/>
          <w:sz w:val="28"/>
          <w:szCs w:val="28"/>
        </w:rPr>
        <w:t xml:space="preserve">9.2  Design system</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2400"/>
        <w:gridCol w:w="6960"/>
      </w:tblGrid>
      <w:tr>
        <w:tc>
          <w:tcPr>
            <w:tcW w:type="dxa" w:w="24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Element</w:t>
            </w:r>
          </w:p>
        </w:tc>
        <w:tc>
          <w:tcPr>
            <w:tcW w:type="dxa" w:w="69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Specification</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Primary typeface</w:t>
            </w:r>
          </w:p>
        </w:tc>
        <w:tc>
          <w:tcPr>
            <w:tcW w:type="dxa" w:w="69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Libre Baskerville (serif) — used for headings, country names, firm-facing labels. Signals legal document credibility.</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Data typeface</w:t>
            </w:r>
          </w:p>
        </w:tc>
        <w:tc>
          <w:tcPr>
            <w:tcW w:type="dxa" w:w="69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DM Mono (monospaced) — used for all data fields, citations, API results, agent stream output. Signals machine-generated, verifiable data.</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Colour palette</w:t>
            </w:r>
          </w:p>
        </w:tc>
        <w:tc>
          <w:tcPr>
            <w:tcW w:type="dxa" w:w="69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Off-white paper (#F5F2EC) background. Pure ink (#0A0A0A) for all primary content. Three signal colours only: #C0392B (critical/conflict), #E67E22 (medium risk), #27AE60 (clear/low risk).</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Layout</w:t>
            </w:r>
          </w:p>
        </w:tc>
        <w:tc>
          <w:tcPr>
            <w:tcW w:type="dxa" w:w="69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Full-viewport interactive map at rest. Side panel slides in on country selection (340px). No navigation chrome. No sidebar at rest. The interface disappears until needed.</w:t>
            </w:r>
          </w:p>
        </w:tc>
      </w:tr>
      <w:tr>
        <w:tc>
          <w:tcPr>
            <w:tcW w:type="dxa" w:w="24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Typography scale</w:t>
            </w:r>
          </w:p>
        </w:tc>
        <w:tc>
          <w:tcPr>
            <w:tcW w:type="dxa" w:w="69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15px logo, 10px metadata labels (uppercase, tracked), 12px body data, 18px panel headings, 22px stat figures. No size below 10px.</w:t>
            </w:r>
          </w:p>
        </w:tc>
      </w:tr>
      <w:tr>
        <w:tc>
          <w:tcPr>
            <w:tcW w:type="dxa" w:w="24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Motion</w:t>
            </w:r>
          </w:p>
        </w:tc>
        <w:tc>
          <w:tcPr>
            <w:tcW w:type="dxa" w:w="69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Panel slide: 350ms cubic-bezier(0.4, 0, 0.2, 1). Agent stream lines fade in sequentially at 420ms intervals. No decorative animation.</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9.3  UI modules</w:t>
      </w:r>
    </w:p>
    <w:p>
      <w:pPr>
        <w:pStyle w:val="Heading3"/>
        <w:spacing w:after="80" w:before="240"/>
      </w:pPr>
      <w:r>
        <w:rPr>
          <w:rFonts w:ascii="Georgia" w:cs="Georgia" w:eastAsia="Georgia" w:hAnsi="Georgia"/>
          <w:b/>
          <w:bCs/>
          <w:i/>
          <w:iCs/>
          <w:color w:val="1A1A2E"/>
          <w:sz w:val="24"/>
          <w:szCs w:val="24"/>
        </w:rPr>
        <w:t xml:space="preserve">Module 1 — World map (primary surface)</w:t>
      </w:r>
    </w:p>
    <w:p>
      <w:pPr>
        <w:spacing w:after="120" w:before="0"/>
        <w:jc w:val="left"/>
      </w:pPr>
      <w:r>
        <w:rPr>
          <w:rFonts w:ascii="Georgia" w:cs="Georgia" w:eastAsia="Georgia" w:hAnsi="Georgia"/>
          <w:b w:val="false"/>
          <w:bCs w:val="false"/>
          <w:i w:val="false"/>
          <w:iCs w:val="false"/>
          <w:caps w:val="false"/>
          <w:color w:val="0A0A0A"/>
          <w:sz w:val="22"/>
          <w:szCs w:val="22"/>
        </w:rPr>
        <w:t xml:space="preserve">A full-viewport 2D vector world map in monochrome. Countries with existing client presence display a circular employee count badge (filled circle, white numeral, ink background). Hovering any country reveals a tooltip with the country name and current presence summary. Clicking opens the jurisdiction panel.</w:t>
      </w:r>
    </w:p>
    <w:p>
      <w:pPr>
        <w:pStyle w:val="Heading3"/>
        <w:spacing w:after="80" w:before="240"/>
      </w:pPr>
      <w:r>
        <w:rPr>
          <w:rFonts w:ascii="Georgia" w:cs="Georgia" w:eastAsia="Georgia" w:hAnsi="Georgia"/>
          <w:b/>
          <w:bCs/>
          <w:i/>
          <w:iCs/>
          <w:color w:val="1A1A2E"/>
          <w:sz w:val="24"/>
          <w:szCs w:val="24"/>
        </w:rPr>
        <w:t xml:space="preserve">Module 2 — Jurisdiction panel</w:t>
      </w:r>
    </w:p>
    <w:p>
      <w:pPr>
        <w:spacing w:after="120" w:before="0"/>
        <w:jc w:val="left"/>
      </w:pPr>
      <w:r>
        <w:rPr>
          <w:rFonts w:ascii="Georgia" w:cs="Georgia" w:eastAsia="Georgia" w:hAnsi="Georgia"/>
          <w:b w:val="false"/>
          <w:bCs w:val="false"/>
          <w:i w:val="false"/>
          <w:iCs w:val="false"/>
          <w:caps w:val="false"/>
          <w:color w:val="0A0A0A"/>
          <w:sz w:val="22"/>
          <w:szCs w:val="22"/>
        </w:rPr>
        <w:t xml:space="preserve">A 340px right-panel that slides in on country click. Contains: country name and region header; current presence stats (employee count, entity structure); active compliance flags with severity dots; and the expansion input form (target headcount, work arrangement, entity structure, start date, data categories). Closes on X button or map click.</w:t>
      </w:r>
    </w:p>
    <w:p>
      <w:pPr>
        <w:pStyle w:val="Heading3"/>
        <w:spacing w:after="80" w:before="240"/>
      </w:pPr>
      <w:r>
        <w:rPr>
          <w:rFonts w:ascii="Georgia" w:cs="Georgia" w:eastAsia="Georgia" w:hAnsi="Georgia"/>
          <w:b/>
          <w:bCs/>
          <w:i/>
          <w:iCs/>
          <w:color w:val="1A1A2E"/>
          <w:sz w:val="24"/>
          <w:szCs w:val="24"/>
        </w:rPr>
        <w:t xml:space="preserve">Module 3 — Agent stream</w:t>
      </w:r>
    </w:p>
    <w:p>
      <w:pPr>
        <w:spacing w:after="120" w:before="0"/>
        <w:jc w:val="left"/>
      </w:pPr>
      <w:r>
        <w:rPr>
          <w:rFonts w:ascii="Georgia" w:cs="Georgia" w:eastAsia="Georgia" w:hAnsi="Georgia"/>
          <w:b w:val="false"/>
          <w:bCs w:val="false"/>
          <w:i w:val="false"/>
          <w:iCs w:val="false"/>
          <w:caps w:val="false"/>
          <w:color w:val="0A0A0A"/>
          <w:sz w:val="22"/>
          <w:szCs w:val="22"/>
        </w:rPr>
        <w:t xml:space="preserve">Below the expansion form, a live stream of agent activity appears when analysis runs. Each agent emits labelled lines as it works: retrieval calls, conflict detections, scenario scores. This is the technical complexity proof-point in the demo — judges see EUR-Lex SPARQL calls, OpenSanctions results, and conflict flags appearing in real time.</w:t>
      </w:r>
    </w:p>
    <w:p>
      <w:pPr>
        <w:pStyle w:val="Heading3"/>
        <w:spacing w:after="80" w:before="240"/>
      </w:pPr>
      <w:r>
        <w:rPr>
          <w:rFonts w:ascii="Georgia" w:cs="Georgia" w:eastAsia="Georgia" w:hAnsi="Georgia"/>
          <w:b/>
          <w:bCs/>
          <w:i/>
          <w:iCs/>
          <w:color w:val="1A1A2E"/>
          <w:sz w:val="24"/>
          <w:szCs w:val="24"/>
        </w:rPr>
        <w:t xml:space="preserve">Module 4 — Conflict map (post-analysis)</w:t>
      </w:r>
    </w:p>
    <w:p>
      <w:pPr>
        <w:spacing w:after="120" w:before="0"/>
        <w:jc w:val="left"/>
      </w:pPr>
      <w:r>
        <w:rPr>
          <w:rFonts w:ascii="Georgia" w:cs="Georgia" w:eastAsia="Georgia" w:hAnsi="Georgia"/>
          <w:b w:val="false"/>
          <w:bCs w:val="false"/>
          <w:i w:val="false"/>
          <w:iCs w:val="false"/>
          <w:caps w:val="false"/>
          <w:color w:val="0A0A0A"/>
          <w:sz w:val="22"/>
          <w:szCs w:val="22"/>
        </w:rPr>
        <w:t xml:space="preserve">After analysis completes, a separate view displays the conflict map: a matrix of jurisdiction pairs with conflict type and severity colour-coded at each intersection. Partners can click any conflict cell to read the explanation and mitigation options.</w:t>
      </w:r>
    </w:p>
    <w:p>
      <w:pPr>
        <w:pStyle w:val="Heading3"/>
        <w:spacing w:after="80" w:before="240"/>
      </w:pPr>
      <w:r>
        <w:rPr>
          <w:rFonts w:ascii="Georgia" w:cs="Georgia" w:eastAsia="Georgia" w:hAnsi="Georgia"/>
          <w:b/>
          <w:bCs/>
          <w:i/>
          <w:iCs/>
          <w:color w:val="1A1A2E"/>
          <w:sz w:val="24"/>
          <w:szCs w:val="24"/>
        </w:rPr>
        <w:t xml:space="preserve">Module 5 — Scenario comparison table</w:t>
      </w:r>
    </w:p>
    <w:p>
      <w:pPr>
        <w:spacing w:after="120" w:before="0"/>
        <w:jc w:val="left"/>
      </w:pPr>
      <w:r>
        <w:rPr>
          <w:rFonts w:ascii="Georgia" w:cs="Georgia" w:eastAsia="Georgia" w:hAnsi="Georgia"/>
          <w:b w:val="false"/>
          <w:bCs w:val="false"/>
          <w:i w:val="false"/>
          <w:iCs w:val="false"/>
          <w:caps w:val="false"/>
          <w:color w:val="0A0A0A"/>
          <w:sz w:val="22"/>
          <w:szCs w:val="22"/>
        </w:rPr>
        <w:t xml:space="preserve">A side-by-side table comparing EOR, subsidiary, contractor-first, and distributor models across five dimensions: legal risk, compliance burden, time-to-launch, operational complexity, and confidence. Recommended scenario is highlighted with a border and a rationale tag.</w:t>
      </w:r>
    </w:p>
    <w:p>
      <w:pPr>
        <w:pStyle w:val="Heading3"/>
        <w:spacing w:after="80" w:before="240"/>
      </w:pPr>
      <w:r>
        <w:rPr>
          <w:rFonts w:ascii="Georgia" w:cs="Georgia" w:eastAsia="Georgia" w:hAnsi="Georgia"/>
          <w:b/>
          <w:bCs/>
          <w:i/>
          <w:iCs/>
          <w:color w:val="1A1A2E"/>
          <w:sz w:val="24"/>
          <w:szCs w:val="24"/>
        </w:rPr>
        <w:t xml:space="preserve">Module 6 — 30/60/90-day plan</w:t>
      </w:r>
    </w:p>
    <w:p>
      <w:pPr>
        <w:spacing w:after="120" w:before="0"/>
        <w:jc w:val="left"/>
      </w:pPr>
      <w:r>
        <w:rPr>
          <w:rFonts w:ascii="Georgia" w:cs="Georgia" w:eastAsia="Georgia" w:hAnsi="Georgia"/>
          <w:b w:val="false"/>
          <w:bCs w:val="false"/>
          <w:i w:val="false"/>
          <w:iCs w:val="false"/>
          <w:caps w:val="false"/>
          <w:color w:val="0A0A0A"/>
          <w:sz w:val="22"/>
          <w:szCs w:val="22"/>
        </w:rPr>
        <w:t xml:space="preserve">A timeline view grouped into three horizons. Each action item shows: owner category, estimated effort, dependencies, and source obligation. Blocking dependencies are connected with a visual line.</w:t>
      </w:r>
    </w:p>
    <w:p>
      <w:pPr>
        <w:pStyle w:val="Heading3"/>
        <w:spacing w:after="80" w:before="240"/>
      </w:pPr>
      <w:r>
        <w:rPr>
          <w:rFonts w:ascii="Georgia" w:cs="Georgia" w:eastAsia="Georgia" w:hAnsi="Georgia"/>
          <w:b/>
          <w:bCs/>
          <w:i/>
          <w:iCs/>
          <w:color w:val="1A1A2E"/>
          <w:sz w:val="24"/>
          <w:szCs w:val="24"/>
        </w:rPr>
        <w:t xml:space="preserve">Module 7 — Memo export</w:t>
      </w:r>
    </w:p>
    <w:p>
      <w:pPr>
        <w:spacing w:after="120" w:before="0"/>
        <w:jc w:val="left"/>
      </w:pPr>
      <w:r>
        <w:rPr>
          <w:rFonts w:ascii="Georgia" w:cs="Georgia" w:eastAsia="Georgia" w:hAnsi="Georgia"/>
          <w:b w:val="false"/>
          <w:bCs w:val="false"/>
          <w:i w:val="false"/>
          <w:iCs w:val="false"/>
          <w:caps w:val="false"/>
          <w:color w:val="0A0A0A"/>
          <w:sz w:val="22"/>
          <w:szCs w:val="22"/>
        </w:rPr>
        <w:t xml:space="preserve">A button that generates the complete partner memo package as a structured document. Includes executive summary, conflict map, scenario scorecard, risk matrix, 30/60/90-day plan, and evidence pack with citations. Exportable to PDF and Legora matter workspace format.</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10. Demo Script</w:t>
      </w:r>
    </w:p>
    <w:p>
      <w:pPr>
        <w:spacing w:after="120" w:before="0"/>
        <w:jc w:val="left"/>
      </w:pPr>
      <w:r>
        <w:rPr>
          <w:rFonts w:ascii="Georgia" w:cs="Georgia" w:eastAsia="Georgia" w:hAnsi="Georgia"/>
          <w:b w:val="false"/>
          <w:bCs w:val="false"/>
          <w:i w:val="false"/>
          <w:iCs w:val="false"/>
          <w:caps w:val="false"/>
          <w:color w:val="0A0A0A"/>
          <w:sz w:val="22"/>
          <w:szCs w:val="22"/>
        </w:rPr>
        <w:t xml:space="preserve">The demo is designed for a 5-minute presentation to a panel of founder-judges. Every minute has a specific objective and a visual moment designed to land with a non-technical audience.</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Minute 1 — The problem</w:t>
      </w:r>
    </w:p>
    <w:p>
      <w:pPr>
        <w:spacing w:after="120" w:before="0"/>
        <w:jc w:val="left"/>
      </w:pPr>
      <w:r>
        <w:rPr>
          <w:rFonts w:ascii="Georgia" w:cs="Georgia" w:eastAsia="Georgia" w:hAnsi="Georgia"/>
          <w:b w:val="false"/>
          <w:bCs w:val="false"/>
          <w:i w:val="false"/>
          <w:iCs w:val="false"/>
          <w:caps w:val="false"/>
          <w:color w:val="0A0A0A"/>
          <w:sz w:val="22"/>
          <w:szCs w:val="22"/>
        </w:rPr>
        <w:t xml:space="preserve">Open on the map. Four countries have employee count badges: Sweden (2), Germany (3), Singapore (1), UK (2). The map is clean, silent, professional. Say:</w:t>
      </w:r>
    </w:p>
    <w:p>
      <w:pPr>
        <w:pBdr>
          <w:left w:val="single" w:color="C8C4BB" w:sz="16" w:space="8"/>
        </w:pBdr>
        <w:spacing w:after="80" w:before="80"/>
        <w:ind w:left="720"/>
        <w:jc w:val="left"/>
      </w:pPr>
      <w:r>
        <w:rPr>
          <w:rFonts w:ascii="Georgia" w:cs="Georgia" w:eastAsia="Georgia" w:hAnsi="Georgia"/>
          <w:i/>
          <w:iCs/>
          <w:color w:val="2C3E50"/>
          <w:sz w:val="22"/>
          <w:szCs w:val="22"/>
        </w:rPr>
        <w:t xml:space="preserve">"A Swedish SaaS client calls your firm on Monday. They want to be operating in Germany and Vietnam by end of quarter. They have 50 employees, they process HR data, and they want three hires in each market. How long does it take you to know what that means legally — across both jurisdictions simultaneously, including what the two countries's laws say to each other?"</w:t>
      </w:r>
    </w:p>
    <w:p>
      <w:pPr>
        <w:spacing w:after="120" w:before="0"/>
        <w:jc w:val="left"/>
      </w:pPr>
      <w:r>
        <w:rPr>
          <w:rFonts w:ascii="Georgia" w:cs="Georgia" w:eastAsia="Georgia" w:hAnsi="Georgia"/>
          <w:b w:val="false"/>
          <w:bCs w:val="false"/>
          <w:i w:val="false"/>
          <w:iCs w:val="false"/>
          <w:caps w:val="false"/>
          <w:color w:val="0A0A0A"/>
          <w:sz w:val="22"/>
          <w:szCs w:val="22"/>
        </w:rPr>
        <w:t xml:space="preserve">Answer your own question: "For most firms, two to three days. For JurisdictIQ, ninety seconds."</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Minute 2 — Intake and Expansion Twin</w:t>
      </w:r>
    </w:p>
    <w:p>
      <w:pPr>
        <w:spacing w:after="120" w:before="0"/>
        <w:jc w:val="left"/>
      </w:pPr>
      <w:r>
        <w:rPr>
          <w:rFonts w:ascii="Georgia" w:cs="Georgia" w:eastAsia="Georgia" w:hAnsi="Georgia"/>
          <w:b w:val="false"/>
          <w:bCs w:val="false"/>
          <w:i w:val="false"/>
          <w:iCs w:val="false"/>
          <w:caps w:val="false"/>
          <w:color w:val="0A0A0A"/>
          <w:sz w:val="22"/>
          <w:szCs w:val="22"/>
        </w:rPr>
        <w:t xml:space="preserve">Paste the brief: "Swedish HR SaaS, 50 employees, expanding to Germany and Vietnam, 3 hires each market, centralised HR data processing, local invoicing in Germany, go-live in 90 days." Show A1 extracting the structured Expansion Twin in real time. Click Confirm. Emphasise: "The system now has a machine-readable model of this business. Not a search query. A data model it can reason over."</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Minute 3 — Live retrieval and conflict detection</w:t>
      </w:r>
    </w:p>
    <w:p>
      <w:pPr>
        <w:spacing w:after="120" w:before="0"/>
        <w:jc w:val="left"/>
      </w:pPr>
      <w:r>
        <w:rPr>
          <w:rFonts w:ascii="Georgia" w:cs="Georgia" w:eastAsia="Georgia" w:hAnsi="Georgia"/>
          <w:b w:val="false"/>
          <w:bCs w:val="false"/>
          <w:i w:val="false"/>
          <w:iCs w:val="false"/>
          <w:caps w:val="false"/>
          <w:color w:val="0A0A0A"/>
          <w:sz w:val="22"/>
          <w:szCs w:val="22"/>
        </w:rPr>
        <w:t xml:space="preserve">Show the agent stream. EUR-Lex SPARQL call returns GDPR Art. 9 (special category HR data) — live. OpenSanctions screens two named directors — clean. GLEIF resolves the Swedish parent entity. Then: CONFLICT DETECTED, shown in red. GDPR centralised processing requirement vs Vietnam Cybersecurity Law §26 local storage mandate — unsatisfiable in current architecture. Say: "Every other tool would have given you two separate memos, one for Germany and one for Vietnam. JurisdictIQ found the contradiction between them. That's the thing your associate would have missed."</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Minute 4 — Scenario comparison</w:t>
      </w:r>
    </w:p>
    <w:p>
      <w:pPr>
        <w:spacing w:after="120" w:before="0"/>
        <w:jc w:val="left"/>
      </w:pPr>
      <w:r>
        <w:rPr>
          <w:rFonts w:ascii="Georgia" w:cs="Georgia" w:eastAsia="Georgia" w:hAnsi="Georgia"/>
          <w:b w:val="false"/>
          <w:bCs w:val="false"/>
          <w:i w:val="false"/>
          <w:iCs w:val="false"/>
          <w:caps w:val="false"/>
          <w:color w:val="0A0A0A"/>
          <w:sz w:val="22"/>
          <w:szCs w:val="22"/>
        </w:rPr>
        <w:t xml:space="preserve">Show the scenario table. EOR in both markets: high legal risk, conflict unresolved. Local subsidiary in Germany + EOR Vietnam: medium risk, conflict partially resolved. Recommended: EOR Germany + segregated VN data store + SCCs: conflict resolved, 45-day launch. Say: "It didn't just find the problem. It designed three solutions and told you which one gets the client live fastest without creating a regulatory liability."</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Minute 5 — Deliverable and exit</w:t>
      </w:r>
    </w:p>
    <w:p>
      <w:pPr>
        <w:spacing w:after="120" w:before="0"/>
        <w:jc w:val="left"/>
      </w:pPr>
      <w:r>
        <w:rPr>
          <w:rFonts w:ascii="Georgia" w:cs="Georgia" w:eastAsia="Georgia" w:hAnsi="Georgia"/>
          <w:b w:val="false"/>
          <w:bCs w:val="false"/>
          <w:i w:val="false"/>
          <w:iCs w:val="false"/>
          <w:caps w:val="false"/>
          <w:color w:val="0A0A0A"/>
          <w:sz w:val="22"/>
          <w:szCs w:val="22"/>
        </w:rPr>
        <w:t xml:space="preserve">One click: partner memo generated. Executive summary, conflict map, scenario scorecard, 30/60/90-day action plan, evidence pack with CELEX numbers. Say: "Your partner puts their name on this. The client receives it today. Not Friday. Today." Export to Legora. Close with: "JurisdictIQ is what Legora sells to law firms next — once they realise their clients are asking questions that start before any document exists."</w:t>
      </w:r>
    </w:p>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11. Scoring Models</w:t>
      </w:r>
    </w:p>
    <w:p>
      <w:pPr>
        <w:pStyle w:val="Heading2"/>
        <w:spacing w:after="120" w:before="360"/>
      </w:pPr>
      <w:r>
        <w:rPr>
          <w:rFonts w:ascii="Georgia" w:cs="Georgia" w:eastAsia="Georgia" w:hAnsi="Georgia"/>
          <w:b/>
          <w:bCs/>
          <w:color w:val="2C3E50"/>
          <w:sz w:val="28"/>
          <w:szCs w:val="28"/>
        </w:rPr>
        <w:t xml:space="preserve">11.1  Conflict severity scoring</w:t>
      </w:r>
    </w:p>
    <w:p>
      <w:pPr>
        <w:spacing w:after="120" w:before="0"/>
        <w:jc w:val="left"/>
      </w:pPr>
      <w:r>
        <w:rPr>
          <w:rFonts w:ascii="Georgia" w:cs="Georgia" w:eastAsia="Georgia" w:hAnsi="Georgia"/>
          <w:b w:val="false"/>
          <w:bCs w:val="false"/>
          <w:i w:val="false"/>
          <w:iCs w:val="false"/>
          <w:caps w:val="false"/>
          <w:color w:val="0A0A0A"/>
          <w:sz w:val="22"/>
          <w:szCs w:val="22"/>
        </w:rPr>
        <w:t xml:space="preserve">Each conflict is scored on two dimensions: legal severity and operational impact. These are combined into a single severity level for display.</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1800"/>
        <w:gridCol w:w="3600"/>
        <w:gridCol w:w="3960"/>
      </w:tblGrid>
      <w:tr>
        <w:tc>
          <w:tcPr>
            <w:tcW w:type="dxa" w:w="18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Severity</w:t>
            </w:r>
          </w:p>
        </w:tc>
        <w:tc>
          <w:tcPr>
            <w:tcW w:type="dxa" w:w="36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Legal meaning</w:t>
            </w:r>
          </w:p>
        </w:tc>
        <w:tc>
          <w:tcPr>
            <w:tcW w:type="dxa" w:w="39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Operational meaning</w:t>
            </w:r>
          </w:p>
        </w:tc>
      </w:tr>
      <w:tr>
        <w:tc>
          <w:tcPr>
            <w:tcW w:type="dxa" w:w="18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bCs/>
                <w:color w:val="C0392B"/>
                <w:sz w:val="20"/>
                <w:szCs w:val="20"/>
              </w:rPr>
              <w:t xml:space="preserve">Critical</w:t>
            </w:r>
          </w:p>
        </w:tc>
        <w:tc>
          <w:tcPr>
            <w:tcW w:type="dxa" w:w="3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Obligations are mutually exclusive in current operating model. Compliance with one necessarily violates the other.</w:t>
            </w:r>
          </w:p>
        </w:tc>
        <w:tc>
          <w:tcPr>
            <w:tcW w:type="dxa" w:w="39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Expansion cannot proceed in current form without architecture change. Blocks launch.</w:t>
            </w:r>
          </w:p>
        </w:tc>
      </w:tr>
      <w:tr>
        <w:tc>
          <w:tcPr>
            <w:tcW w:type="dxa" w:w="18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bCs/>
                <w:color w:val="E67E22"/>
                <w:sz w:val="20"/>
                <w:szCs w:val="20"/>
              </w:rPr>
              <w:t xml:space="preserve">High</w:t>
            </w:r>
          </w:p>
        </w:tc>
        <w:tc>
          <w:tcPr>
            <w:tcW w:type="dxa" w:w="3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Significant tension requiring deliberate mitigation. Not automatically blocking, but high risk if unaddressed.</w:t>
            </w:r>
          </w:p>
        </w:tc>
        <w:tc>
          <w:tcPr>
            <w:tcW w:type="dxa" w:w="39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Requires architecture decision before launch. Creates material exposure if ignored.</w:t>
            </w:r>
          </w:p>
        </w:tc>
      </w:tr>
      <w:tr>
        <w:tc>
          <w:tcPr>
            <w:tcW w:type="dxa" w:w="18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bCs/>
                <w:color w:val="888800"/>
                <w:sz w:val="20"/>
                <w:szCs w:val="20"/>
              </w:rPr>
              <w:t xml:space="preserve">Medium</w:t>
            </w:r>
          </w:p>
        </w:tc>
        <w:tc>
          <w:tcPr>
            <w:tcW w:type="dxa" w:w="36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Compliance dependency between jurisdictions. Action in one market triggers obligation in another.</w:t>
            </w:r>
          </w:p>
        </w:tc>
        <w:tc>
          <w:tcPr>
            <w:tcW w:type="dxa" w:w="39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Requires sequencing attention. Does not block launch but creates complexity.</w:t>
            </w:r>
          </w:p>
        </w:tc>
      </w:tr>
      <w:tr>
        <w:tc>
          <w:tcPr>
            <w:tcW w:type="dxa" w:w="18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bCs/>
                <w:color w:val="27AE60"/>
                <w:sz w:val="20"/>
                <w:szCs w:val="20"/>
              </w:rPr>
              <w:t xml:space="preserve">Low</w:t>
            </w:r>
          </w:p>
        </w:tc>
        <w:tc>
          <w:tcPr>
            <w:tcW w:type="dxa" w:w="36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Compatible obligations with minor interaction effects. Monitoring recommended.</w:t>
            </w:r>
          </w:p>
        </w:tc>
        <w:tc>
          <w:tcPr>
            <w:tcW w:type="dxa" w:w="39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No launch impact. Note in risk register.</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11.2  Scenario scoring model</w:t>
      </w:r>
    </w:p>
    <w:p>
      <w:pPr>
        <w:spacing w:after="120" w:before="0"/>
        <w:jc w:val="left"/>
      </w:pPr>
      <w:r>
        <w:rPr>
          <w:rFonts w:ascii="Georgia" w:cs="Georgia" w:eastAsia="Georgia" w:hAnsi="Georgia"/>
          <w:b w:val="false"/>
          <w:bCs w:val="false"/>
          <w:i w:val="false"/>
          <w:iCs w:val="false"/>
          <w:caps w:val="false"/>
          <w:color w:val="0A0A0A"/>
          <w:sz w:val="22"/>
          <w:szCs w:val="22"/>
        </w:rPr>
        <w:t xml:space="preserve">Each scenario is scored using a weighted model across five dimensions. Lower total score = lower risk = preferred.</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000"/>
        <w:gridCol w:w="1200"/>
        <w:gridCol w:w="5160"/>
      </w:tblGrid>
      <w:tr>
        <w:tc>
          <w:tcPr>
            <w:tcW w:type="dxa" w:w="30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Dimension</w:t>
            </w:r>
          </w:p>
        </w:tc>
        <w:tc>
          <w:tcPr>
            <w:tcW w:type="dxa" w:w="120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Weight</w:t>
            </w:r>
          </w:p>
        </w:tc>
        <w:tc>
          <w:tcPr>
            <w:tcW w:type="dxa" w:w="51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What is measured</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Legal risk</w:t>
            </w:r>
          </w:p>
        </w:tc>
        <w:tc>
          <w:tcPr>
            <w:tcW w:type="dxa" w:w="1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35%</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Number and severity of unresolved conflicts in this scenario</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Compliance burden</w:t>
            </w:r>
          </w:p>
        </w:tc>
        <w:tc>
          <w:tcPr>
            <w:tcW w:type="dxa" w:w="1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25%</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Ongoing filing, reporting, and governance obligations triggered</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Time to launch</w:t>
            </w:r>
          </w:p>
        </w:tc>
        <w:tc>
          <w:tcPr>
            <w:tcW w:type="dxa" w:w="1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20%</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Estimated days from decision to legally operational</w:t>
            </w:r>
          </w:p>
        </w:tc>
      </w:tr>
      <w:tr>
        <w:tc>
          <w:tcPr>
            <w:tcW w:type="dxa" w:w="30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Operational complexity</w:t>
            </w:r>
          </w:p>
        </w:tc>
        <w:tc>
          <w:tcPr>
            <w:tcW w:type="dxa" w:w="120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10%</w:t>
            </w:r>
          </w:p>
        </w:tc>
        <w:tc>
          <w:tcPr>
            <w:tcW w:type="dxa" w:w="5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Number of entities, jurisdictions, and contractual relationships required</w:t>
            </w:r>
          </w:p>
        </w:tc>
      </w:tr>
      <w:tr>
        <w:tc>
          <w:tcPr>
            <w:tcW w:type="dxa" w:w="30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Confidence penalty</w:t>
            </w:r>
          </w:p>
        </w:tc>
        <w:tc>
          <w:tcPr>
            <w:tcW w:type="dxa" w:w="120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10%</w:t>
            </w:r>
          </w:p>
        </w:tc>
        <w:tc>
          <w:tcPr>
            <w:tcW w:type="dxa" w:w="5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Deduction for obligations with low confidence scores or requiring local counsel confirmation</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12. MVP Scope</w:t>
      </w:r>
    </w:p>
    <w:p>
      <w:pPr>
        <w:pStyle w:val="Heading2"/>
        <w:spacing w:after="120" w:before="360"/>
      </w:pPr>
      <w:r>
        <w:rPr>
          <w:rFonts w:ascii="Georgia" w:cs="Georgia" w:eastAsia="Georgia" w:hAnsi="Georgia"/>
          <w:b/>
          <w:bCs/>
          <w:color w:val="2C3E50"/>
          <w:sz w:val="28"/>
          <w:szCs w:val="28"/>
        </w:rPr>
        <w:t xml:space="preserve">12.1  In scope — hackathon build</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4680"/>
        <w:gridCol w:w="1560"/>
        <w:gridCol w:w="3120"/>
      </w:tblGrid>
      <w:tr>
        <w:tc>
          <w:tcPr>
            <w:tcW w:type="dxa" w:w="468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Feature</w:t>
            </w:r>
          </w:p>
        </w:tc>
        <w:tc>
          <w:tcPr>
            <w:tcW w:type="dxa" w:w="15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Priority</w:t>
            </w:r>
          </w:p>
        </w:tc>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Notes</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Free-text intake → structured Expansion Twin</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Core product premise. Must work.</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Partner review and edit checkpoint</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Human-in-the-loop. Required for advisor positioning.</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Jurisdiction retrieval — DE, SE, VN, GB, SG</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5-country coverage sufficient for compelling demo.</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EUR-Lex SPARQL live integration</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Proves real citations. Non-negotiable for technical credibility.</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OpenSanctions /match live integration</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30-second demo moment. Judges see a real API result.</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GLEIF LEI live integration</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Corporate structure resolution. Zero-auth.</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Cross-jurisdiction conflict detection</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The core novel feature. Must detect GDPR vs VN Cybersecurity Law clash.</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Scenario comparison — EOR, subsidiary, contractor-first</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P0</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3 scenarios minimum. Scoring must be visible.</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30/60/90-day action plan</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P1</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High demo value. Build after conflict engine.</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Partner memo generation</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P1</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Final demo moment. Formatted output with citations.</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Interactive world map UI</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P1</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Designed and prototyped. Implement if time allows.</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Live agent stream in UI</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P1</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SSE-based streaming. High judge impact.</w:t>
            </w:r>
          </w:p>
        </w:tc>
      </w:tr>
      <w:tr>
        <w:tc>
          <w:tcPr>
            <w:tcW w:type="dxa" w:w="468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Trigger-based obligation timeline</w:t>
            </w:r>
          </w:p>
        </w:tc>
        <w:tc>
          <w:tcPr>
            <w:tcW w:type="dxa" w:w="15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P2</w:t>
            </w:r>
          </w:p>
        </w:tc>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Excellent feature. Implement if P0/P1 complete.</w:t>
            </w:r>
          </w:p>
        </w:tc>
      </w:tr>
      <w:tr>
        <w:tc>
          <w:tcPr>
            <w:tcW w:type="dxa" w:w="468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Legora export adapter</w:t>
            </w:r>
          </w:p>
        </w:tc>
        <w:tc>
          <w:tcPr>
            <w:tcW w:type="dxa" w:w="15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P2</w:t>
            </w:r>
          </w:p>
        </w:tc>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Strategic positioning. JSON export sufficient.</w:t>
            </w:r>
          </w:p>
        </w:tc>
      </w:tr>
    </w:tbl>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12.2  Explicitly out of scope</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Full global country coverage (150+ jurisdictions)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Real-time continuous regulatory monitoring and alerting</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Full treaty analysis engine (OECD model treaty database)</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Automated payroll or tax calculations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Automated legal filing generation</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Client-facing self-service interface</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Production-grade security, SOC 2 compliance, data residency</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12.3  Demo jurisdictions and verticals</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120"/>
        <w:gridCol w:w="6240"/>
      </w:tblGrid>
      <w:tr>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Scope item</w:t>
            </w:r>
          </w:p>
        </w:tc>
        <w:tc>
          <w:tcPr>
            <w:tcW w:type="dxa" w:w="624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Values</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Demo countries</w:t>
            </w:r>
          </w:p>
        </w:tc>
        <w:tc>
          <w:tcPr>
            <w:tcW w:type="dxa" w:w="62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Sweden (HQ), Germany, Vietnam, United Kingdom, Singapore</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Primary vertical</w:t>
            </w:r>
          </w:p>
        </w:tc>
        <w:tc>
          <w:tcPr>
            <w:tcW w:type="dxa" w:w="62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B2B SaaS / HR technology</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Stretch vertical</w:t>
            </w:r>
          </w:p>
        </w:tc>
        <w:tc>
          <w:tcPr>
            <w:tcW w:type="dxa" w:w="62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Fintech (payment services directive triggers)</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Demo expansion models</w:t>
            </w:r>
          </w:p>
        </w:tc>
        <w:tc>
          <w:tcPr>
            <w:tcW w:type="dxa" w:w="62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EOR, local subsidiary, contractor-first, distributor/reseller</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Key conflict to demonstrate</w:t>
            </w:r>
          </w:p>
        </w:tc>
        <w:tc>
          <w:tcPr>
            <w:tcW w:type="dxa" w:w="62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GDPR centralised processing vs Vietnam Cybersecurity Law §26 local storage requirement — unsatisfiable in single-architecture model</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Key trigger to demonstrate</w:t>
            </w:r>
          </w:p>
        </w:tc>
        <w:tc>
          <w:tcPr>
            <w:tcW w:type="dxa" w:w="62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Germany Works Council (Betriebsrat) obligation at 5+ employees — fires when expansion headcount reaches threshold</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13. Risks and Mitigations</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120"/>
        <w:gridCol w:w="1040"/>
        <w:gridCol w:w="1040"/>
        <w:gridCol w:w="4160"/>
      </w:tblGrid>
      <w:tr>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Risk</w:t>
            </w:r>
          </w:p>
        </w:tc>
        <w:tc>
          <w:tcPr>
            <w:tcW w:type="dxa" w:w="104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Impact</w:t>
            </w:r>
          </w:p>
        </w:tc>
        <w:tc>
          <w:tcPr>
            <w:tcW w:type="dxa" w:w="104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Likelihood</w:t>
            </w:r>
          </w:p>
        </w:tc>
        <w:tc>
          <w:tcPr>
            <w:tcW w:type="dxa" w:w="416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Mitigation</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 engine produces false positives — flags conflicts that do not exist</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High</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Medium</w:t>
            </w:r>
          </w:p>
        </w:tc>
        <w:tc>
          <w:tcPr>
            <w:tcW w:type="dxa" w:w="4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Use deterministic rule layer for conflict detection, not LLM. Pre-validate all rule pairs against known legal sources. Label confidence scores on all outputs.</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Legal accuracy challenged by technically sophisticated judge</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High</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Medium</w:t>
            </w:r>
          </w:p>
        </w:tc>
        <w:tc>
          <w:tcPr>
            <w:tcW w:type="dxa" w:w="4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Every obligation links to a primary source. Curated rule packs are explicitly labelled as such. Conflict engine logic is inspectable. "Verify with local counsel" flag on all outputs.</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Product appears to be a glorified chatbot</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High</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Low</w:t>
            </w:r>
          </w:p>
        </w:tc>
        <w:tc>
          <w:tcPr>
            <w:tcW w:type="dxa" w:w="4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 engine and scenario simulator are the demo centrepiece — not the intake form. Make judges see the constraint-resolution reasoning, not the Q&amp;A.</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EUR-Lex SPARQL rate limit or downtime during demo</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Medium</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Low</w:t>
            </w:r>
          </w:p>
        </w:tc>
        <w:tc>
          <w:tcPr>
            <w:tcW w:type="dxa" w:w="4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Cache SPARQL results locally. Fallback to cached responses if live call fails. Disclose cache in UI.</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Scope too broad — 24h build runs out of time</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High</w:t>
            </w:r>
          </w:p>
        </w:tc>
        <w:tc>
          <w:tcPr>
            <w:tcW w:type="dxa" w:w="104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Medium</w:t>
            </w:r>
          </w:p>
        </w:tc>
        <w:tc>
          <w:tcPr>
            <w:tcW w:type="dxa" w:w="416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Build in strict priority order: A1 → A2 → A3 (conflict engine) → A4 → A6. Stop at any P1 and demo what works. A working conflict engine is more impressive than a broken full pipeline.</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Founders unfamiliar with legal firm workflows — demo doesn't land</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Medium</w:t>
            </w:r>
          </w:p>
        </w:tc>
        <w:tc>
          <w:tcPr>
            <w:tcW w:type="dxa" w:w="104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Low</w:t>
            </w:r>
          </w:p>
        </w:tc>
        <w:tc>
          <w:tcPr>
            <w:tcW w:type="dxa" w:w="416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Open with the human pain ("your associate misses the Vietnam conflict, your client gets fined"). Make the value visceral before showing technology.</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14. Success Metrics</w:t>
      </w:r>
    </w:p>
    <w:p>
      <w:pPr>
        <w:pStyle w:val="Heading2"/>
        <w:spacing w:after="120" w:before="360"/>
      </w:pPr>
      <w:r>
        <w:rPr>
          <w:rFonts w:ascii="Georgia" w:cs="Georgia" w:eastAsia="Georgia" w:hAnsi="Georgia"/>
          <w:b/>
          <w:bCs/>
          <w:color w:val="2C3E50"/>
          <w:sz w:val="28"/>
          <w:szCs w:val="28"/>
        </w:rPr>
        <w:t xml:space="preserve">14.1  Hackathon demo metrics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Judge understands the value proposition within 60 seconds of demo start</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At least one conflict detected and displayed live during demo</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At least three scenarios compared in scenario simulator</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Partner memo generated and displayed within 30 seconds of analysis completion</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At least three live API calls visible in agent stream during demo</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14.2  Post-hackathon product metrics (6-month)</w:t>
      </w:r>
    </w:p>
    <w:tbl>
      <w:tblPr>
        <w:tblW w:type="dxa" w:w="9360"/>
        <w:tblBorders>
          <w:top w:val="single" w:color="C8C4BB" w:sz="4"/>
          <w:left w:val="single" w:color="C8C4BB" w:sz="4"/>
          <w:bottom w:val="single" w:color="C8C4BB" w:sz="4"/>
          <w:right w:val="single" w:color="C8C4BB" w:sz="4"/>
          <w:insideH w:val="single" w:color="auto" w:sz="4"/>
          <w:insideV w:val="single" w:color="auto" w:sz="4"/>
        </w:tblBorders>
      </w:tblPr>
      <w:tblGrid>
        <w:gridCol w:w="3120"/>
        <w:gridCol w:w="2120"/>
        <w:gridCol w:w="4120"/>
      </w:tblGrid>
      <w:tr>
        <w:tc>
          <w:tcPr>
            <w:tcW w:type="dxa" w:w="3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Metric</w:t>
            </w:r>
          </w:p>
        </w:tc>
        <w:tc>
          <w:tcPr>
            <w:tcW w:type="dxa" w:w="2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Target</w:t>
            </w:r>
          </w:p>
        </w:tc>
        <w:tc>
          <w:tcPr>
            <w:tcW w:type="dxa" w:w="4120"/>
            <w:tcBorders>
              <w:top w:val="single" w:color="C8C4BB" w:sz="4"/>
              <w:left w:val="single" w:color="C8C4BB" w:sz="4"/>
              <w:bottom w:val="single" w:color="C8C4BB" w:sz="4"/>
              <w:right w:val="single" w:color="C8C4BB" w:sz="4"/>
            </w:tcBorders>
            <w:shd w:fill="E8E4DC" w:val="clear"/>
            <w:tcMar>
              <w:top w:type="dxa" w:w="100"/>
              <w:left w:type="dxa" w:w="140"/>
              <w:bottom w:type="dxa" w:w="100"/>
              <w:right w:type="dxa" w:w="140"/>
            </w:tcMar>
            <w:vAlign w:val="top"/>
          </w:tcPr>
          <w:p>
            <w:pPr>
              <w:spacing w:after="80" w:before="0"/>
              <w:jc w:val="left"/>
            </w:pPr>
            <w:r>
              <w:rPr>
                <w:rFonts w:ascii="Georgia" w:cs="Georgia" w:eastAsia="Georgia" w:hAnsi="Georgia"/>
                <w:b/>
                <w:bCs/>
                <w:i w:val="false"/>
                <w:iCs w:val="false"/>
                <w:caps/>
                <w:color w:val="0A0A0A"/>
                <w:sz w:val="20"/>
                <w:szCs w:val="20"/>
              </w:rPr>
              <w:t xml:space="preserve">Why it matters</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Time from brief input to conflict detection</w:t>
            </w:r>
          </w:p>
        </w:tc>
        <w:tc>
          <w:tcPr>
            <w:tcW w:type="dxa" w:w="2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&lt; 90 seconds</w:t>
            </w:r>
          </w:p>
        </w:tc>
        <w:tc>
          <w:tcPr>
            <w:tcW w:type="dxa" w:w="4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Core value proposition — replaces 2–3 days of associate research</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Conflicts detected vs missed (precision)</w:t>
            </w:r>
          </w:p>
        </w:tc>
        <w:tc>
          <w:tcPr>
            <w:tcW w:type="dxa" w:w="2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&gt; 90%</w:t>
            </w:r>
          </w:p>
        </w:tc>
        <w:tc>
          <w:tcPr>
            <w:tcW w:type="dxa" w:w="4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Legal accuracy is the product's credibility</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Partner memo acceptance rate</w:t>
            </w:r>
          </w:p>
        </w:tc>
        <w:tc>
          <w:tcPr>
            <w:tcW w:type="dxa" w:w="2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&gt; 70% used with &lt; 30 min edits</w:t>
            </w:r>
          </w:p>
        </w:tc>
        <w:tc>
          <w:tcPr>
            <w:tcW w:type="dxa" w:w="4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Measures whether output is genuinely partner-grade</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Associate research time reduction</w:t>
            </w:r>
          </w:p>
        </w:tc>
        <w:tc>
          <w:tcPr>
            <w:tcW w:type="dxa" w:w="2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&gt; 60% per mandate</w:t>
            </w:r>
          </w:p>
        </w:tc>
        <w:tc>
          <w:tcPr>
            <w:tcW w:type="dxa" w:w="4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The commercial case for the law firm procurement decision</w:t>
            </w:r>
          </w:p>
        </w:tc>
      </w:tr>
      <w:tr>
        <w:tc>
          <w:tcPr>
            <w:tcW w:type="dxa" w:w="3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Reuse rate (same Expansion Twin, new scenario)</w:t>
            </w:r>
          </w:p>
        </w:tc>
        <w:tc>
          <w:tcPr>
            <w:tcW w:type="dxa" w:w="2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&gt; 40% of sessions</w:t>
            </w:r>
          </w:p>
        </w:tc>
        <w:tc>
          <w:tcPr>
            <w:tcW w:type="dxa" w:w="4120"/>
            <w:tcBorders>
              <w:top w:val="single" w:color="C8C4BB" w:sz="4"/>
              <w:left w:val="single" w:color="C8C4BB" w:sz="4"/>
              <w:bottom w:val="single" w:color="C8C4BB" w:sz="4"/>
              <w:right w:val="single" w:color="C8C4BB" w:sz="4"/>
            </w:tcBorders>
            <w:shd w:fill="F5F2EC"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Validates stateful model value over one-shot query</w:t>
            </w:r>
          </w:p>
        </w:tc>
      </w:tr>
      <w:tr>
        <w:tc>
          <w:tcPr>
            <w:tcW w:type="dxa" w:w="3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Net Promoter Score — partners</w:t>
            </w:r>
          </w:p>
        </w:tc>
        <w:tc>
          <w:tcPr>
            <w:tcW w:type="dxa" w:w="2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&gt; 50</w:t>
            </w:r>
          </w:p>
        </w:tc>
        <w:tc>
          <w:tcPr>
            <w:tcW w:type="dxa" w:w="4120"/>
            <w:tcBorders>
              <w:top w:val="single" w:color="C8C4BB" w:sz="4"/>
              <w:left w:val="single" w:color="C8C4BB" w:sz="4"/>
              <w:bottom w:val="single" w:color="C8C4BB" w:sz="4"/>
              <w:right w:val="single" w:color="C8C4BB" w:sz="4"/>
            </w:tcBorders>
            <w:shd w:fill="FFFFFF" w:val="clear"/>
            <w:tcMar>
              <w:top w:type="dxa" w:w="100"/>
              <w:left w:type="dxa" w:w="140"/>
              <w:bottom w:type="dxa" w:w="100"/>
              <w:right w:type="dxa" w:w="140"/>
            </w:tcMar>
            <w:vAlign w:val="top"/>
          </w:tcPr>
          <w:p>
            <w:pPr>
              <w:spacing w:after="80" w:before="0"/>
              <w:jc w:val="left"/>
            </w:pPr>
            <w:r>
              <w:rPr>
                <w:rFonts w:ascii="Georgia" w:cs="Georgia" w:eastAsia="Georgia" w:hAnsi="Georgia"/>
                <w:b w:val="false"/>
                <w:bCs w:val="false"/>
                <w:i w:val="false"/>
                <w:iCs w:val="false"/>
                <w:caps w:val="false"/>
                <w:color w:val="0A0A0A"/>
                <w:sz w:val="20"/>
                <w:szCs w:val="20"/>
              </w:rPr>
              <w:t xml:space="preserve">Proxy for "would they recommend to another partner / firm"</w:t>
            </w:r>
          </w:p>
        </w:tc>
      </w:tr>
    </w:tbl>
    <w:p>
      <w:r>
        <w:br w:type="page"/>
      </w:r>
    </w:p>
    <w:p>
      <w:pPr>
        <w:pStyle w:val="Heading1"/>
        <w:pBdr>
          <w:bottom w:val="single" w:color="0A0A0A" w:sz="8" w:space="4"/>
        </w:pBdr>
        <w:spacing w:after="160" w:before="480"/>
      </w:pPr>
      <w:r>
        <w:rPr>
          <w:rFonts w:ascii="Georgia" w:cs="Georgia" w:eastAsia="Georgia" w:hAnsi="Georgia"/>
          <w:b/>
          <w:bCs/>
          <w:caps/>
          <w:color w:val="0A0A0A"/>
          <w:sz w:val="36"/>
          <w:szCs w:val="36"/>
        </w:rPr>
        <w:t xml:space="preserve">15. Exit Strategy</w:t>
      </w:r>
    </w:p>
    <w:p>
      <w:pPr>
        <w:spacing w:after="120" w:before="0"/>
        <w:jc w:val="left"/>
      </w:pPr>
      <w:r>
        <w:rPr>
          <w:rFonts w:ascii="Georgia" w:cs="Georgia" w:eastAsia="Georgia" w:hAnsi="Georgia"/>
          <w:b w:val="false"/>
          <w:bCs w:val="false"/>
          <w:i w:val="false"/>
          <w:iCs w:val="false"/>
          <w:caps w:val="false"/>
          <w:color w:val="0A0A0A"/>
          <w:sz w:val="22"/>
          <w:szCs w:val="22"/>
        </w:rPr>
        <w:t xml:space="preserve">JurisdictIQ is designed from the ground up as an acquisition target, not a standalone company. The exit thesis is built on a single strategic insight: Legora's $5.55B valuation is entirely built on the document layer of legal AI. Their next growth frontier is the pre-document layer — and JurisdictIQ is the pre-document layer.</w:t>
      </w:r>
    </w:p>
    <w:p>
      <w:pPr>
        <w:pStyle w:val="Heading2"/>
        <w:spacing w:after="120" w:before="360"/>
      </w:pPr>
      <w:r>
        <w:rPr>
          <w:rFonts w:ascii="Georgia" w:cs="Georgia" w:eastAsia="Georgia" w:hAnsi="Georgia"/>
          <w:b/>
          <w:bCs/>
          <w:color w:val="2C3E50"/>
          <w:sz w:val="28"/>
          <w:szCs w:val="28"/>
        </w:rPr>
        <w:t xml:space="preserve">15.1  Primary acquisition target — Legora</w:t>
      </w:r>
    </w:p>
    <w:p>
      <w:pPr>
        <w:spacing w:after="120" w:before="0"/>
        <w:jc w:val="left"/>
      </w:pPr>
      <w:r>
        <w:rPr>
          <w:rFonts w:ascii="Georgia" w:cs="Georgia" w:eastAsia="Georgia" w:hAnsi="Georgia"/>
          <w:b w:val="false"/>
          <w:bCs w:val="false"/>
          <w:i w:val="false"/>
          <w:iCs w:val="false"/>
          <w:caps w:val="false"/>
          <w:color w:val="0A0A0A"/>
          <w:sz w:val="22"/>
          <w:szCs w:val="22"/>
        </w:rPr>
        <w:t xml:space="preserve">Legora's current product stack: Tabular Review, Workflows, Editor, Portal, Research, Word/Outlook add-ins. Their Portal module (launched November 2025) lets law firms productise their expertise for in-house clients. Their acquisition of Walter AI (April 2026) adds agentic matter orchestration. JurisdictIQ adds the one thing they are missing: the pre-mandate intelligence layer that generates the matters their Workflows will execute.</w:t>
      </w:r>
    </w:p>
    <w:p>
      <w:pPr>
        <w:spacing w:after="120" w:before="0"/>
        <w:jc w:val="left"/>
      </w:pPr>
      <w:r>
        <w:rPr>
          <w:rFonts w:ascii="Georgia" w:cs="Georgia" w:eastAsia="Georgia" w:hAnsi="Georgia"/>
          <w:b w:val="false"/>
          <w:bCs w:val="false"/>
          <w:i w:val="false"/>
          <w:iCs w:val="false"/>
          <w:caps w:val="false"/>
          <w:color w:val="0A0A0A"/>
          <w:sz w:val="22"/>
          <w:szCs w:val="22"/>
        </w:rPr>
        <w:t xml:space="preserve">The integration story is clean: JurisdictIQ generates a conflict map and recommended structure → Legora Workflows drafts the documents to implement it → Legora Portal delivers the packaged output to the client. The three layers together represent the complete cross-border matter lifecycle in one platform.</w:t>
      </w:r>
    </w:p>
    <w:p>
      <w:pPr>
        <w:pStyle w:val="Heading2"/>
        <w:spacing w:after="120" w:before="360"/>
      </w:pPr>
      <w:r>
        <w:rPr>
          <w:rFonts w:ascii="Georgia" w:cs="Georgia" w:eastAsia="Georgia" w:hAnsi="Georgia"/>
          <w:b/>
          <w:bCs/>
          <w:color w:val="2C3E50"/>
          <w:sz w:val="28"/>
          <w:szCs w:val="28"/>
        </w:rPr>
        <w:t xml:space="preserve">15.2  Secondary targets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Vesence — their QA layer for law firms is adjacent; JurisdictIQ adds upstream intelligence to their downstream quality-checking</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Grant Thornton — white-label JurisdictIQ as the AI backbone for their Going Global advisory product, distributing to 150 markets via their existing mid-market client relationships</w:t>
      </w:r>
    </w:p>
    <w:p>
      <w:pPr>
        <w:pStyle w:val="ListParagraph"/>
        <w:numPr>
          <w:ilvl w:val="0"/>
          <w:numId w:val="2"/>
        </w:numPr>
        <w:spacing w:after="80" w:before="0"/>
        <w:ind w:left="720" w:hanging="360"/>
      </w:pPr>
      <w:r>
        <w:rPr>
          <w:rFonts w:ascii="Georgia" w:cs="Georgia" w:eastAsia="Georgia" w:hAnsi="Georgia"/>
          <w:b w:val="false"/>
          <w:bCs w:val="false"/>
          <w:i w:val="false"/>
          <w:iCs w:val="false"/>
          <w:caps w:val="false"/>
          <w:color w:val="0A0A0A"/>
          <w:sz w:val="22"/>
          <w:szCs w:val="22"/>
        </w:rPr>
        <w:t xml:space="preserve">Thomson Reuters / Practical Law — JurisdictIQ as a premium add-on to their existing legal research subscription, targeting the pre-mandate phase they currently do not address</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Style w:val="Heading2"/>
        <w:spacing w:after="120" w:before="360"/>
      </w:pPr>
      <w:r>
        <w:rPr>
          <w:rFonts w:ascii="Georgia" w:cs="Georgia" w:eastAsia="Georgia" w:hAnsi="Georgia"/>
          <w:b/>
          <w:bCs/>
          <w:color w:val="2C3E50"/>
          <w:sz w:val="28"/>
          <w:szCs w:val="28"/>
        </w:rPr>
        <w:t xml:space="preserve">15.3  Acqui-hire scenario</w:t>
      </w:r>
    </w:p>
    <w:p>
      <w:pPr>
        <w:spacing w:after="120" w:before="0"/>
        <w:jc w:val="left"/>
      </w:pPr>
      <w:r>
        <w:rPr>
          <w:rFonts w:ascii="Georgia" w:cs="Georgia" w:eastAsia="Georgia" w:hAnsi="Georgia"/>
          <w:b w:val="false"/>
          <w:bCs w:val="false"/>
          <w:i w:val="false"/>
          <w:iCs w:val="false"/>
          <w:caps w:val="false"/>
          <w:color w:val="0A0A0A"/>
          <w:sz w:val="22"/>
          <w:szCs w:val="22"/>
        </w:rPr>
        <w:t xml:space="preserve">Even in the absence of a product acquisition, the team that builds a working conflict-resolution engine for cross-border legal mandates — with demonstrated EUR-Lex SPARQL integration, deterministic rule-layer architecture, and LangGraph orchestration — is directly acqui-hireable by any legal AI company expanding into EU multi-jurisdiction coverage. This is a credible outcome from a 24-hour hackathon build.</w:t>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spacing w:after="80" w:before="0"/>
        <w:jc w:val="left"/>
      </w:pPr>
      <w:r>
        <w:rPr>
          <w:rFonts w:ascii="Georgia" w:cs="Georgia" w:eastAsia="Georgia" w:hAnsi="Georgia"/>
          <w:b w:val="false"/>
          <w:bCs w:val="false"/>
          <w:i w:val="false"/>
          <w:iCs w:val="false"/>
          <w:caps w:val="false"/>
          <w:color w:val="0A0A0A"/>
          <w:sz w:val="22"/>
          <w:szCs w:val="22"/>
        </w:rPr>
        <w:t xml:space="preserve"/>
      </w:r>
    </w:p>
    <w:p>
      <w:pPr>
        <w:pBdr>
          <w:bottom w:val="single" w:color="C8C4BB" w:sz="4" w:space="1"/>
        </w:pBdr>
        <w:spacing w:after="240" w:before="240"/>
      </w:pPr>
      <w:r>
        <w:rPr>
          <w:rFonts w:ascii="Georgia" w:cs="Georgia" w:eastAsia="Georgia" w:hAnsi="Georgia"/>
          <w:b w:val="false"/>
          <w:bCs w:val="false"/>
          <w:i w:val="false"/>
          <w:iCs w:val="false"/>
          <w:caps w:val="false"/>
          <w:color w:val="0A0A0A"/>
          <w:sz w:val="22"/>
          <w:szCs w:val="22"/>
        </w:rPr>
        <w:t xml:space="preserve"/>
      </w:r>
    </w:p>
    <w:p>
      <w:pPr>
        <w:spacing w:after="40" w:before="240"/>
        <w:jc w:val="center"/>
      </w:pPr>
      <w:r>
        <w:rPr>
          <w:rFonts w:ascii="Courier New" w:cs="Courier New" w:eastAsia="Courier New" w:hAnsi="Courier New"/>
          <w:color w:val="888888"/>
          <w:sz w:val="18"/>
          <w:szCs w:val="18"/>
        </w:rPr>
        <w:t xml:space="preserve">JurisdictIQ — Product Requirements Document v1.0</w:t>
      </w:r>
    </w:p>
    <w:p>
      <w:pPr>
        <w:spacing w:after="0" w:before="0"/>
        <w:jc w:val="center"/>
      </w:pPr>
      <w:r>
        <w:rPr>
          <w:rFonts w:ascii="Courier New" w:cs="Courier New" w:eastAsia="Courier New" w:hAnsi="Courier New"/>
          <w:color w:val="888888"/>
          <w:sz w:val="18"/>
          <w:szCs w:val="18"/>
        </w:rPr>
        <w:t xml:space="preserve">Hackathon Build · Track 2: GT Challenge — Borderless Business · Option A: Law Firm Tooling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4BB" w:sz="4" w:space="4"/>
      </w:pBdr>
      <w:spacing w:after="0" w:before="120"/>
      <w:jc w:val="right"/>
    </w:pPr>
    <w:r>
      <w:rPr>
        <w:rFonts w:ascii="Courier New" w:cs="Courier New" w:eastAsia="Courier New" w:hAnsi="Courier New"/>
        <w:color w:val="888888"/>
        <w:sz w:val="16"/>
        <w:szCs w:val="16"/>
      </w:rPr>
      <w:t xml:space="preserve">Page </w:t>
    </w:r>
    <w:r>
      <w:rPr>
        <w:rFonts w:ascii="Courier New" w:cs="Courier New" w:eastAsia="Courier New" w:hAnsi="Courier New"/>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4BB" w:sz="4" w:space="4"/>
      </w:pBdr>
      <w:tabs>
        <w:tab w:val="right" w:pos="9026"/>
      </w:tabs>
      <w:spacing w:after="120" w:before="0"/>
    </w:pPr>
    <w:r>
      <w:rPr>
        <w:rFonts w:ascii="Georgia" w:cs="Georgia" w:eastAsia="Georgia" w:hAnsi="Georgia"/>
        <w:b/>
        <w:bCs/>
        <w:color w:val="0A0A0A"/>
        <w:sz w:val="18"/>
        <w:szCs w:val="18"/>
      </w:rPr>
      <w:t xml:space="preserve">JurisdictIQ</w:t>
    </w:r>
    <w:r>
      <w:rPr>
        <w:rFonts w:ascii="Courier New" w:cs="Courier New" w:eastAsia="Courier New" w:hAnsi="Courier New"/>
        <w:color w:val="888888"/>
        <w:sz w:val="18"/>
        <w:szCs w:val="18"/>
      </w:rPr>
      <w:t xml:space="preserve">  ·  Product Requirements Document v1.0</w:t>
    </w:r>
    <w:r>
      <w:rPr>
        <w:rFonts w:ascii="Georgia" w:cs="Georgia" w:eastAsia="Georgia" w:hAnsi="Georgia"/>
        <w:sz w:val="18"/>
        <w:szCs w:val="18"/>
      </w:rPr>
      <w:t xml:space="preserve">	</w:t>
    </w:r>
    <w:r>
      <w:rPr>
        <w:rFonts w:ascii="Courier New" w:cs="Courier New" w:eastAsia="Courier New" w:hAnsi="Courier New"/>
        <w:cap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80"/>
    </w:pPr>
    <w:rPr>
      <w:rFonts w:ascii="Georgia" w:cs="Georgia" w:eastAsia="Georgia" w:hAnsi="Georgia"/>
      <w:b/>
      <w:bCs/>
      <w:caps/>
      <w:color w:val="0A0A0A"/>
      <w:sz w:val="36"/>
      <w:szCs w:val="36"/>
    </w:rPr>
  </w:style>
  <w:style w:type="paragraph" w:styleId="Heading2">
    <w:name w:val="Heading 2"/>
    <w:basedOn w:val="Normal"/>
    <w:next w:val="Normal"/>
    <w:qFormat/>
    <w:pPr>
      <w:spacing w:after="120" w:before="360"/>
    </w:pPr>
    <w:rPr>
      <w:rFonts w:ascii="Georgia" w:cs="Georgia" w:eastAsia="Georgia" w:hAnsi="Georgia"/>
      <w:b/>
      <w:bCs/>
      <w:color w:val="2C3E50"/>
      <w:sz w:val="28"/>
      <w:szCs w:val="28"/>
    </w:rPr>
  </w:style>
  <w:style w:type="paragraph" w:styleId="Heading3">
    <w:name w:val="Heading 3"/>
    <w:basedOn w:val="Normal"/>
    <w:next w:val="Normal"/>
    <w:qFormat/>
    <w:pPr>
      <w:spacing w:after="80" w:before="240"/>
    </w:pPr>
    <w:rPr>
      <w:rFonts w:ascii="Georgia" w:cs="Georgia" w:eastAsia="Georgia" w:hAnsi="Georgia"/>
      <w:b/>
      <w:bCs/>
      <w:i/>
      <w:i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2026-04-17T17:17:02.832Z</dcterms:created>
  <dcterms:modified xsi:type="dcterms:W3CDTF">2026-04-17T17:17:02.833Z</dcterms:modified>
</cp:coreProperties>
</file>

<file path=docProps/custom.xml><?xml version="1.0" encoding="utf-8"?>
<Properties xmlns="http://schemas.openxmlformats.org/officeDocument/2006/custom-properties" xmlns:vt="http://schemas.openxmlformats.org/officeDocument/2006/docPropsVTypes"/>
</file>