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ff0000"/>
        </w:rPr>
      </w:pPr>
      <w:bookmarkStart w:colFirst="0" w:colLast="0" w:name="_230st86s5a6j" w:id="0"/>
      <w:bookmarkEnd w:id="0"/>
      <w:r w:rsidDel="00000000" w:rsidR="00000000" w:rsidRPr="00000000">
        <w:rPr>
          <w:color w:val="ff0000"/>
          <w:rtl w:val="0"/>
        </w:rPr>
        <w:t xml:space="preserve">1. Contexte et problématique</w:t>
      </w:r>
    </w:p>
    <w:p w:rsidR="00000000" w:rsidDel="00000000" w:rsidP="00000000" w:rsidRDefault="00000000" w:rsidRPr="00000000" w14:paraId="00000002">
      <w:pPr>
        <w:spacing w:after="240" w:before="240" w:lineRule="auto"/>
        <w:rPr/>
      </w:pPr>
      <w:r w:rsidDel="00000000" w:rsidR="00000000" w:rsidRPr="00000000">
        <w:rPr>
          <w:rtl w:val="0"/>
        </w:rPr>
        <w:t xml:space="preserve">La sécurité aérienne moderne repose de plus en plus sur l’exploitation de données issues de vols de routine.</w:t>
        <w:br w:type="textWrapping"/>
        <w:t xml:space="preserve"> Avec l’augmentation continue du trafic aérien (</w:t>
      </w:r>
      <w:r w:rsidDel="00000000" w:rsidR="00000000" w:rsidRPr="00000000">
        <w:rPr>
          <w:b w:val="1"/>
          <w:bCs w:val="1"/>
          <w:rtl w:val="0"/>
        </w:rPr>
        <w:t xml:space="preserve">presque doubler d’ici 2040</w:t>
      </w:r>
      <w:r w:rsidDel="00000000" w:rsidR="00000000" w:rsidRPr="00000000">
        <w:rPr>
          <w:rtl w:val="0"/>
        </w:rPr>
        <w:t xml:space="preserve">. À titre d’ordre de grandeur, le nombre de vols commerciaux annuels est passé d’environ </w:t>
      </w:r>
      <w:r w:rsidDel="00000000" w:rsidR="00000000" w:rsidRPr="00000000">
        <w:rPr>
          <w:b w:val="1"/>
          <w:bCs w:val="1"/>
          <w:rtl w:val="0"/>
        </w:rPr>
        <w:t xml:space="preserve">38 millions en 2018</w:t>
      </w:r>
      <w:r w:rsidDel="00000000" w:rsidR="00000000" w:rsidRPr="00000000">
        <w:rPr>
          <w:rtl w:val="0"/>
        </w:rPr>
        <w:t xml:space="preserve"> à une projection proche de </w:t>
      </w:r>
      <w:r w:rsidDel="00000000" w:rsidR="00000000" w:rsidRPr="00000000">
        <w:rPr>
          <w:b w:val="1"/>
          <w:bCs w:val="1"/>
          <w:rtl w:val="0"/>
        </w:rPr>
        <w:t xml:space="preserve">90 millions de vols par an à l’horizon 2040</w:t>
      </w:r>
      <w:r w:rsidDel="00000000" w:rsidR="00000000" w:rsidRPr="00000000">
        <w:rPr>
          <w:rtl w:val="0"/>
        </w:rPr>
        <w:t xml:space="preserve">.) et la généralisation des capteurs embarqués, Les compagnies aériennes disposent donc aujourd’hui de </w:t>
      </w:r>
      <w:r w:rsidDel="00000000" w:rsidR="00000000" w:rsidRPr="00000000">
        <w:rPr>
          <w:b w:val="1"/>
          <w:bCs w:val="1"/>
          <w:rtl w:val="0"/>
        </w:rPr>
        <w:t xml:space="preserve">téraoctets de données FOQA</w:t>
      </w:r>
      <w:r w:rsidDel="00000000" w:rsidR="00000000" w:rsidRPr="00000000">
        <w:rPr>
          <w:rtl w:val="0"/>
        </w:rPr>
        <w:t xml:space="preserve"> accumulées sur plusieurs années.</w:t>
      </w:r>
    </w:p>
    <w:p w:rsidR="00000000" w:rsidDel="00000000" w:rsidP="00000000" w:rsidRDefault="00000000" w:rsidRPr="00000000" w14:paraId="00000003">
      <w:pPr>
        <w:spacing w:after="240" w:before="240" w:lineRule="auto"/>
        <w:rPr/>
      </w:pPr>
      <w:r w:rsidDel="00000000" w:rsidR="00000000" w:rsidRPr="00000000">
        <w:rPr>
          <w:rtl w:val="0"/>
        </w:rPr>
        <w:t xml:space="preserve">Le problème principal n’est plus la collecte de l’information, mais sa transformation en connaissance exploitable pour prévenir des situations à risque.</w:t>
      </w:r>
    </w:p>
    <w:p w:rsidR="00000000" w:rsidDel="00000000" w:rsidP="00000000" w:rsidRDefault="00000000" w:rsidRPr="00000000" w14:paraId="00000004">
      <w:pPr>
        <w:spacing w:after="240" w:before="240" w:lineRule="auto"/>
        <w:rPr/>
      </w:pPr>
      <w:r w:rsidDel="00000000" w:rsidR="00000000" w:rsidRPr="00000000">
        <w:rPr>
          <w:rtl w:val="0"/>
        </w:rPr>
        <w:t xml:space="preserve">Traditionnellement, l’analyse de la sécurité aérienne est </w:t>
      </w:r>
      <w:r w:rsidDel="00000000" w:rsidR="00000000" w:rsidRPr="00000000">
        <w:rPr>
          <w:b w:val="1"/>
          <w:bCs w:val="1"/>
          <w:rtl w:val="0"/>
        </w:rPr>
        <w:t xml:space="preserve">rétrospective</w:t>
      </w:r>
      <w:r w:rsidDel="00000000" w:rsidR="00000000" w:rsidRPr="00000000">
        <w:rPr>
          <w:rtl w:val="0"/>
        </w:rPr>
        <w:t xml:space="preserve"> : on étudie les incidents ou accidents après leur occurrence.</w:t>
        <w:br w:type="textWrapping"/>
        <w:t xml:space="preserve"> Les auteurs proposent au contraire une approche </w:t>
      </w:r>
      <w:r w:rsidDel="00000000" w:rsidR="00000000" w:rsidRPr="00000000">
        <w:rPr>
          <w:b w:val="1"/>
          <w:bCs w:val="1"/>
          <w:rtl w:val="0"/>
        </w:rPr>
        <w:t xml:space="preserve">prospective</w:t>
      </w:r>
      <w:r w:rsidDel="00000000" w:rsidR="00000000" w:rsidRPr="00000000">
        <w:rPr>
          <w:rtl w:val="0"/>
        </w:rPr>
        <w:t xml:space="preserve">, visant à identifier des </w:t>
      </w:r>
      <w:r w:rsidDel="00000000" w:rsidR="00000000" w:rsidRPr="00000000">
        <w:rPr>
          <w:b w:val="1"/>
          <w:bCs w:val="1"/>
          <w:rtl w:val="0"/>
        </w:rPr>
        <w:t xml:space="preserve">précurseurs d’événements de sécurité</w:t>
      </w:r>
      <w:r w:rsidDel="00000000" w:rsidR="00000000" w:rsidRPr="00000000">
        <w:rPr>
          <w:rtl w:val="0"/>
        </w:rPr>
        <w:t xml:space="preserve"> avant qu’un incident ne survienne, à l’aide du Machine Learning.</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color w:val="3c78d8"/>
        </w:rPr>
      </w:pPr>
      <w:r w:rsidDel="00000000" w:rsidR="00000000" w:rsidRPr="00000000">
        <w:rPr>
          <w:color w:val="3c78d8"/>
          <w:rtl w:val="0"/>
        </w:rPr>
        <w:t xml:space="preserve">Pas sûre de cette formulation, l’analyse prospective existe déjà. Je veux dire que dans l’article l’exposition était que voilà les deux méthodes, nous avons choisi le prospective</w:t>
      </w:r>
    </w:p>
    <w:p w:rsidR="00000000" w:rsidDel="00000000" w:rsidP="00000000" w:rsidRDefault="00000000" w:rsidRPr="00000000" w14:paraId="00000007">
      <w:pPr>
        <w:pStyle w:val="Title"/>
        <w:rPr>
          <w:color w:val="ff0000"/>
        </w:rPr>
      </w:pPr>
      <w:bookmarkStart w:colFirst="0" w:colLast="0" w:name="_ac0p9z3dg0pn" w:id="1"/>
      <w:bookmarkEnd w:id="1"/>
      <w:r w:rsidDel="00000000" w:rsidR="00000000" w:rsidRPr="00000000">
        <w:rPr>
          <w:color w:val="ff0000"/>
          <w:rtl w:val="0"/>
        </w:rPr>
        <w:t xml:space="preserve">2. Objectifs de l’article</w:t>
      </w:r>
    </w:p>
    <w:p w:rsidR="00000000" w:rsidDel="00000000" w:rsidP="00000000" w:rsidRDefault="00000000" w:rsidRPr="00000000" w14:paraId="00000008">
      <w:pPr>
        <w:pStyle w:val="Heading1"/>
        <w:rPr>
          <w:color w:val="6aa84f"/>
        </w:rPr>
      </w:pPr>
      <w:bookmarkStart w:colFirst="0" w:colLast="0" w:name="_7ad0pzrfx11z" w:id="2"/>
      <w:bookmarkEnd w:id="2"/>
      <w:r w:rsidDel="00000000" w:rsidR="00000000" w:rsidRPr="00000000">
        <w:rPr>
          <w:color w:val="6aa84f"/>
          <w:rtl w:val="0"/>
        </w:rPr>
        <w:t xml:space="preserve">1.Objectif principal</w:t>
      </w:r>
    </w:p>
    <w:p w:rsidR="00000000" w:rsidDel="00000000" w:rsidP="00000000" w:rsidRDefault="00000000" w:rsidRPr="00000000" w14:paraId="00000009">
      <w:pPr>
        <w:spacing w:after="240" w:before="240" w:lineRule="auto"/>
        <w:rPr/>
      </w:pPr>
      <w:r w:rsidDel="00000000" w:rsidR="00000000" w:rsidRPr="00000000">
        <w:rPr>
          <w:rtl w:val="0"/>
        </w:rPr>
        <w:t xml:space="preserve">L’objectif de l’article est de développer un cadre méthodologique, appelé </w:t>
      </w:r>
      <w:r w:rsidDel="00000000" w:rsidR="00000000" w:rsidRPr="00000000">
        <w:rPr>
          <w:b w:val="1"/>
          <w:bCs w:val="1"/>
          <w:rtl w:val="0"/>
        </w:rPr>
        <w:t xml:space="preserve">SAFE (Safety Analysis of Flight Events)</w:t>
      </w:r>
      <w:r w:rsidDel="00000000" w:rsidR="00000000" w:rsidRPr="00000000">
        <w:rPr>
          <w:rtl w:val="0"/>
        </w:rPr>
        <w:t xml:space="preserve">, permettant :</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d’exploiter des données FOQA issues de vols réels,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d’utiliser l’apprentissage supervisé pour distinguer vols à risque et vols normaux,</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d’identifier automatiquement les paramètres critiques influençant la probabilité d’occurrence d’événements de sécurité.</w:t>
      </w:r>
      <w:r w:rsidDel="00000000" w:rsidR="00000000" w:rsidRPr="00000000">
        <w:rPr>
          <w:rtl w:val="0"/>
        </w:rPr>
      </w:r>
    </w:p>
    <w:p w:rsidR="00000000" w:rsidDel="00000000" w:rsidP="00000000" w:rsidRDefault="00000000" w:rsidRPr="00000000" w14:paraId="0000000D">
      <w:pPr>
        <w:pStyle w:val="Heading1"/>
        <w:rPr>
          <w:color w:val="6aa84f"/>
        </w:rPr>
      </w:pPr>
      <w:bookmarkStart w:colFirst="0" w:colLast="0" w:name="_fmun7nbhxjhn" w:id="3"/>
      <w:bookmarkEnd w:id="3"/>
      <w:r w:rsidDel="00000000" w:rsidR="00000000" w:rsidRPr="00000000">
        <w:rPr>
          <w:color w:val="6aa84f"/>
          <w:rtl w:val="0"/>
        </w:rPr>
        <w:t xml:space="preserve">2.Contributions majeures</w:t>
      </w:r>
    </w:p>
    <w:p w:rsidR="00000000" w:rsidDel="00000000" w:rsidP="00000000" w:rsidRDefault="00000000" w:rsidRPr="00000000" w14:paraId="0000000E">
      <w:pPr>
        <w:spacing w:after="240" w:before="240" w:lineRule="auto"/>
        <w:rPr/>
      </w:pPr>
      <w:r w:rsidDel="00000000" w:rsidR="00000000" w:rsidRPr="00000000">
        <w:rPr>
          <w:rtl w:val="0"/>
        </w:rPr>
        <w:t xml:space="preserve">Les principales contributions sont :</w:t>
      </w:r>
    </w:p>
    <w:p w:rsidR="00000000" w:rsidDel="00000000" w:rsidP="00000000" w:rsidRDefault="00000000" w:rsidRPr="00000000" w14:paraId="0000000F">
      <w:pPr>
        <w:numPr>
          <w:ilvl w:val="0"/>
          <w:numId w:val="10"/>
        </w:numPr>
        <w:spacing w:after="240" w:before="240" w:lineRule="auto"/>
        <w:ind w:left="720" w:hanging="360"/>
      </w:pPr>
      <w:r w:rsidDel="00000000" w:rsidR="00000000" w:rsidRPr="00000000">
        <w:rPr>
          <w:b w:val="1"/>
          <w:bCs w:val="1"/>
          <w:rtl w:val="0"/>
        </w:rPr>
        <w:t xml:space="preserve">Un pipeline complet et reproductible en cinq étapes</w:t>
      </w:r>
      <w:r w:rsidDel="00000000" w:rsidR="00000000" w:rsidRPr="00000000">
        <w:rPr>
          <w:rtl w:val="0"/>
        </w:rPr>
        <w:t xml:space="preserve"> (prétraitement des données, réduction de la dimensionnalité, génération de vecteurs de caractéristiques, classification, interprétation des résultats)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numPr>
          <w:ilvl w:val="0"/>
          <w:numId w:val="10"/>
        </w:numPr>
        <w:spacing w:after="240" w:before="240" w:lineRule="auto"/>
        <w:ind w:left="720" w:hanging="360"/>
      </w:pPr>
      <w:r w:rsidDel="00000000" w:rsidR="00000000" w:rsidRPr="00000000">
        <w:rPr>
          <w:b w:val="1"/>
          <w:bCs w:val="1"/>
          <w:rtl w:val="0"/>
        </w:rPr>
        <w:t xml:space="preserve">Le choix d’un algorithme de classification basé sur Random Forest </w:t>
      </w:r>
      <w:r w:rsidDel="00000000" w:rsidR="00000000" w:rsidRPr="00000000">
        <w:rPr>
          <w:rtl w:val="0"/>
        </w:rPr>
        <w:t xml:space="preserve">(bon compromis entre performance prédictive, robustesse face aux données corrélées et interprétabilité pour les experts métiers)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numPr>
          <w:ilvl w:val="0"/>
          <w:numId w:val="10"/>
        </w:numPr>
        <w:spacing w:after="240" w:before="240" w:lineRule="auto"/>
        <w:ind w:left="720" w:hanging="360"/>
      </w:pPr>
      <w:r w:rsidDel="00000000" w:rsidR="00000000" w:rsidRPr="00000000">
        <w:rPr>
          <w:b w:val="1"/>
          <w:bCs w:val="1"/>
          <w:rtl w:val="0"/>
        </w:rPr>
        <w:t xml:space="preserve">Une validation expérimentale sur trois événements de sécurité réels </w:t>
      </w:r>
      <w:r w:rsidDel="00000000" w:rsidR="00000000" w:rsidRPr="00000000">
        <w:rPr>
          <w:rtl w:val="0"/>
        </w:rPr>
        <w:t xml:space="preserve">(Tire Speed Event, Roll Event et Landing Distance Event, couvrant des phénomènes physiques et fonctionnels différents)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0"/>
          <w:numId w:val="10"/>
        </w:numPr>
        <w:spacing w:after="240" w:before="240" w:lineRule="auto"/>
        <w:ind w:left="720" w:hanging="360"/>
      </w:pPr>
      <w:r w:rsidDel="00000000" w:rsidR="00000000" w:rsidRPr="00000000">
        <w:rPr>
          <w:b w:val="1"/>
          <w:bCs w:val="1"/>
          <w:rtl w:val="0"/>
        </w:rPr>
        <w:t xml:space="preserve">Une démonstration de la complémentarité entre Machine Learning et expertise humaine </w:t>
      </w:r>
      <w:r w:rsidDel="00000000" w:rsidR="00000000" w:rsidRPr="00000000">
        <w:rPr>
          <w:rtl w:val="0"/>
        </w:rPr>
        <w:t xml:space="preserve">(le ML confirme des facteurs connus par les experts et met en évidence des relations supplémentaires, tout en nécessitant une validation SME pour éviter les corrélations non causales)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rPr>
          <w:color w:val="ff0000"/>
        </w:rPr>
      </w:pPr>
      <w:bookmarkStart w:colFirst="0" w:colLast="0" w:name="_nbd6k8x9rdew" w:id="4"/>
      <w:bookmarkEnd w:id="4"/>
      <w:r w:rsidDel="00000000" w:rsidR="00000000" w:rsidRPr="00000000">
        <w:rPr>
          <w:color w:val="ff0000"/>
          <w:rtl w:val="0"/>
        </w:rPr>
        <w:t xml:space="preserve">3. Données utilisées : FOQA</w:t>
      </w:r>
    </w:p>
    <w:p w:rsidR="00000000" w:rsidDel="00000000" w:rsidP="00000000" w:rsidRDefault="00000000" w:rsidRPr="00000000" w14:paraId="00000018">
      <w:pPr>
        <w:spacing w:after="240" w:before="240" w:lineRule="auto"/>
        <w:rPr/>
      </w:pPr>
      <w:r w:rsidDel="00000000" w:rsidR="00000000" w:rsidRPr="00000000">
        <w:rPr>
          <w:rtl w:val="0"/>
        </w:rPr>
        <w:t xml:space="preserve">Les données utilisées dans l’article proviennent de programmes </w:t>
      </w:r>
      <w:r w:rsidDel="00000000" w:rsidR="00000000" w:rsidRPr="00000000">
        <w:rPr>
          <w:b w:val="1"/>
          <w:bCs w:val="1"/>
          <w:rtl w:val="0"/>
        </w:rPr>
        <w:t xml:space="preserve">FOQA (Flight Operations Quality Assurance)</w:t>
      </w:r>
      <w:r w:rsidDel="00000000" w:rsidR="00000000" w:rsidRPr="00000000">
        <w:rPr>
          <w:rtl w:val="0"/>
        </w:rPr>
        <w:t xml:space="preserve"> et correspondent à des vols commerciaux en exploitation réelle.</w:t>
      </w:r>
    </w:p>
    <w:p w:rsidR="00000000" w:rsidDel="00000000" w:rsidP="00000000" w:rsidRDefault="00000000" w:rsidRPr="00000000" w14:paraId="00000019">
      <w:pPr>
        <w:spacing w:after="240" w:before="240" w:lineRule="auto"/>
        <w:rPr/>
      </w:pPr>
      <w:r w:rsidDel="00000000" w:rsidR="00000000" w:rsidRPr="00000000">
        <w:rPr>
          <w:rtl w:val="0"/>
        </w:rPr>
        <w:t xml:space="preserve">Chaque vol est décrit par </w:t>
      </w:r>
      <w:r w:rsidDel="00000000" w:rsidR="00000000" w:rsidRPr="00000000">
        <w:rPr>
          <w:b w:val="1"/>
          <w:bCs w:val="1"/>
          <w:rtl w:val="0"/>
        </w:rPr>
        <w:t xml:space="preserve">un ensemble initial de 623 paramètres</w:t>
      </w:r>
      <w:r w:rsidDel="00000000" w:rsidR="00000000" w:rsidRPr="00000000">
        <w:rPr>
          <w:rtl w:val="0"/>
        </w:rPr>
        <w:t xml:space="preserve">, enregistrés sous forme </w:t>
      </w:r>
      <w:r w:rsidDel="00000000" w:rsidR="00000000" w:rsidRPr="00000000">
        <w:rPr>
          <w:b w:val="1"/>
          <w:bCs w:val="1"/>
          <w:rtl w:val="0"/>
        </w:rPr>
        <w:t xml:space="preserve">d’observations successives dans le temps</w:t>
      </w:r>
      <w:r w:rsidDel="00000000" w:rsidR="00000000" w:rsidRPr="00000000">
        <w:rPr>
          <w:rtl w:val="0"/>
        </w:rPr>
        <w:br w:type="textWrapping"/>
        <w:t xml:space="preserve"> Ces paramètres couvrent notamment :</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des variables atmosphériques (vitesse, densité de l’air),</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les attitudes de l’avion (roulis, tangage, lacet),</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les paramètres moteurs (poussée, régime),</w:t>
        <w:br w:type="textWrapping"/>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les commandes de vol et les données de navigation.</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Le jeu de données couvre une période de plusieurs années et inclut des vols opérés sur </w:t>
      </w:r>
      <w:r w:rsidDel="00000000" w:rsidR="00000000" w:rsidRPr="00000000">
        <w:rPr>
          <w:b w:val="1"/>
          <w:bCs w:val="1"/>
          <w:rtl w:val="0"/>
        </w:rPr>
        <w:t xml:space="preserve">plus de 70 aéroports différents</w:t>
      </w:r>
      <w:r w:rsidDel="00000000" w:rsidR="00000000" w:rsidRPr="00000000">
        <w:rPr>
          <w:rtl w:val="0"/>
        </w:rPr>
        <w:t xml:space="preserve">, ce qui représente une grande diversité de conditions opérationnelles.</w:t>
      </w:r>
    </w:p>
    <w:p w:rsidR="00000000" w:rsidDel="00000000" w:rsidP="00000000" w:rsidRDefault="00000000" w:rsidRPr="00000000" w14:paraId="0000001F">
      <w:pPr>
        <w:spacing w:after="240" w:before="240" w:lineRule="auto"/>
        <w:rPr/>
      </w:pPr>
      <w:r w:rsidDel="00000000" w:rsidR="00000000" w:rsidRPr="00000000">
        <w:rPr>
          <w:rtl w:val="0"/>
        </w:rPr>
        <w:t xml:space="preserve">En raison de la fréquence d’enregistrement élevée et du nombre important de paramètres par vol, l’ensemble FOQA représente </w:t>
      </w:r>
      <w:r w:rsidDel="00000000" w:rsidR="00000000" w:rsidRPr="00000000">
        <w:rPr>
          <w:b w:val="1"/>
          <w:bCs w:val="1"/>
          <w:rtl w:val="0"/>
        </w:rPr>
        <w:t xml:space="preserve">des volumes de données de l’ordre du téraoctet</w:t>
      </w:r>
      <w:r w:rsidDel="00000000" w:rsidR="00000000" w:rsidRPr="00000000">
        <w:rPr>
          <w:rtl w:val="0"/>
        </w:rPr>
        <w:t xml:space="preserve">, rendant toute analyse manuelle impossible.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Title"/>
        <w:rPr>
          <w:color w:val="ff0000"/>
        </w:rPr>
      </w:pPr>
      <w:bookmarkStart w:colFirst="0" w:colLast="0" w:name="_fzj4ja5kzkul" w:id="5"/>
      <w:bookmarkEnd w:id="5"/>
      <w:r w:rsidDel="00000000" w:rsidR="00000000" w:rsidRPr="00000000">
        <w:rPr>
          <w:color w:val="ff0000"/>
          <w:rtl w:val="0"/>
        </w:rPr>
        <w:t xml:space="preserve">4. Méthodologie SAFE </w:t>
      </w:r>
    </w:p>
    <w:p w:rsidR="00000000" w:rsidDel="00000000" w:rsidP="00000000" w:rsidRDefault="00000000" w:rsidRPr="00000000" w14:paraId="00000022">
      <w:pPr>
        <w:rPr/>
      </w:pPr>
      <w:r w:rsidDel="00000000" w:rsidR="00000000" w:rsidRPr="00000000">
        <w:rPr>
          <w:rtl w:val="0"/>
        </w:rPr>
        <w:t xml:space="preserve">La méthodologie SAFE est structurée en </w:t>
      </w:r>
      <w:r w:rsidDel="00000000" w:rsidR="00000000" w:rsidRPr="00000000">
        <w:rPr>
          <w:b w:val="1"/>
          <w:bCs w:val="1"/>
          <w:rtl w:val="0"/>
        </w:rPr>
        <w:t xml:space="preserve">cinq étapes successives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pStyle w:val="Heading1"/>
        <w:rPr>
          <w:color w:val="6aa84f"/>
        </w:rPr>
      </w:pPr>
      <w:bookmarkStart w:colFirst="0" w:colLast="0" w:name="_sjbr6tdhlfpx" w:id="6"/>
      <w:bookmarkEnd w:id="6"/>
      <w:r w:rsidDel="00000000" w:rsidR="00000000" w:rsidRPr="00000000">
        <w:rPr>
          <w:color w:val="6aa84f"/>
          <w:rtl w:val="0"/>
        </w:rPr>
        <w:t xml:space="preserve">1.Prétraitement des données</w:t>
      </w:r>
    </w:p>
    <w:p w:rsidR="00000000" w:rsidDel="00000000" w:rsidP="00000000" w:rsidRDefault="00000000" w:rsidRPr="00000000" w14:paraId="00000024">
      <w:pPr>
        <w:spacing w:after="240" w:before="240" w:lineRule="auto"/>
        <w:rPr/>
      </w:pPr>
      <w:r w:rsidDel="00000000" w:rsidR="00000000" w:rsidRPr="00000000">
        <w:rPr>
          <w:rtl w:val="0"/>
        </w:rPr>
        <w:t xml:space="preserve">Cette étape vise à nettoyer les données brutes.</w:t>
      </w:r>
    </w:p>
    <w:p w:rsidR="00000000" w:rsidDel="00000000" w:rsidP="00000000" w:rsidRDefault="00000000" w:rsidRPr="00000000" w14:paraId="00000025">
      <w:pPr>
        <w:spacing w:after="240" w:before="240" w:lineRule="auto"/>
        <w:rPr>
          <w:color w:val="ff0000"/>
        </w:rPr>
      </w:pPr>
      <w:r w:rsidDel="00000000" w:rsidR="00000000" w:rsidRPr="00000000">
        <w:rPr>
          <w:rtl w:val="0"/>
        </w:rPr>
        <w:t xml:space="preserve">Deux mécanismes principaux sont utilisés :</w:t>
      </w:r>
      <w:r w:rsidDel="00000000" w:rsidR="00000000" w:rsidRPr="00000000">
        <w:rPr>
          <w:color w:val="ff0000"/>
          <w:rtl w:val="0"/>
        </w:rPr>
        <w:t xml:space="preserve">(un exemple and it will be clear)</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Deletion</w:t>
      </w:r>
      <w:r w:rsidDel="00000000" w:rsidR="00000000" w:rsidRPr="00000000">
        <w:rPr>
          <w:rtl w:val="0"/>
        </w:rPr>
        <w:t xml:space="preserve"> : suppression des paramètres contenant trop de valeurs manquantes ou corrompues.</w:t>
        <w:br w:type="textWrapping"/>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Replacement</w:t>
      </w:r>
      <w:r w:rsidDel="00000000" w:rsidR="00000000" w:rsidRPr="00000000">
        <w:rPr>
          <w:rtl w:val="0"/>
        </w:rPr>
        <w:t xml:space="preserve"> : imputation des valeurs manquantes à l’aide de méthodes statistiques ou d’interpolation.</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L’objectif est d’obtenir un jeu de données exploitable sans introduire de biais majeurs.</w:t>
      </w:r>
      <w:r w:rsidDel="00000000" w:rsidR="00000000" w:rsidRPr="00000000">
        <w:rPr>
          <w:rtl w:val="0"/>
        </w:rPr>
      </w:r>
    </w:p>
    <w:p w:rsidR="00000000" w:rsidDel="00000000" w:rsidP="00000000" w:rsidRDefault="00000000" w:rsidRPr="00000000" w14:paraId="00000029">
      <w:pPr>
        <w:pStyle w:val="Heading1"/>
        <w:rPr>
          <w:color w:val="6aa84f"/>
        </w:rPr>
      </w:pPr>
      <w:bookmarkStart w:colFirst="0" w:colLast="0" w:name="_ppyu8n7uiq66" w:id="7"/>
      <w:bookmarkEnd w:id="7"/>
      <w:r w:rsidDel="00000000" w:rsidR="00000000" w:rsidRPr="00000000">
        <w:rPr>
          <w:color w:val="6aa84f"/>
          <w:rtl w:val="0"/>
        </w:rPr>
        <w:t xml:space="preserve">2.Réduction de la dimensionnalité</w:t>
      </w:r>
    </w:p>
    <w:p w:rsidR="00000000" w:rsidDel="00000000" w:rsidP="00000000" w:rsidRDefault="00000000" w:rsidRPr="00000000" w14:paraId="0000002A">
      <w:pPr>
        <w:spacing w:after="240" w:before="240" w:lineRule="auto"/>
        <w:rPr/>
      </w:pPr>
      <w:r w:rsidDel="00000000" w:rsidR="00000000" w:rsidRPr="00000000">
        <w:rPr>
          <w:rtl w:val="0"/>
        </w:rPr>
        <w:t xml:space="preserve">Les données FOQA contiennent de nombreuses redondances :</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rtl w:val="0"/>
        </w:rPr>
        <w:t xml:space="preserve">capteurs multiples mesurant la même grandeur,</w:t>
        <w:br w:type="textWrapping"/>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rtl w:val="0"/>
        </w:rPr>
        <w:t xml:space="preserve">corrélations physiques entre paramètres.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Une analyse de corrélation est donc effectuée :</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coefficient de </w:t>
      </w:r>
      <w:r w:rsidDel="00000000" w:rsidR="00000000" w:rsidRPr="00000000">
        <w:rPr>
          <w:b w:val="1"/>
          <w:bCs w:val="1"/>
          <w:rtl w:val="0"/>
        </w:rPr>
        <w:t xml:space="preserve">Pearson</w:t>
      </w:r>
      <w:r w:rsidDel="00000000" w:rsidR="00000000" w:rsidRPr="00000000">
        <w:rPr>
          <w:rtl w:val="0"/>
        </w:rPr>
        <w:t xml:space="preserve"> pour les variables numériques,</w:t>
        <w:br w:type="textWrapping"/>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bCs w:val="1"/>
          <w:rtl w:val="0"/>
        </w:rPr>
        <w:t xml:space="preserve">Cramer’s V</w:t>
      </w:r>
      <w:r w:rsidDel="00000000" w:rsidR="00000000" w:rsidRPr="00000000">
        <w:rPr>
          <w:rtl w:val="0"/>
        </w:rPr>
        <w:t xml:space="preserve"> pour les variables discrètes.</w:t>
        <w:br w:type="textWrapping"/>
      </w:r>
    </w:p>
    <w:p w:rsidR="00000000" w:rsidDel="00000000" w:rsidP="00000000" w:rsidRDefault="00000000" w:rsidRPr="00000000" w14:paraId="00000030">
      <w:pPr>
        <w:spacing w:after="240" w:before="240" w:lineRule="auto"/>
        <w:rPr>
          <w:color w:val="ff0000"/>
        </w:rPr>
      </w:pPr>
      <w:r w:rsidDel="00000000" w:rsidR="00000000" w:rsidRPr="00000000">
        <w:rPr>
          <w:rtl w:val="0"/>
        </w:rPr>
        <w:t xml:space="preserve">Les paramètres fortement corrélés sont regroupés, et un seul représentant est conservé, selon une hiérarchisation fondée sur l’expertise métier. </w:t>
      </w:r>
      <w:r w:rsidDel="00000000" w:rsidR="00000000" w:rsidRPr="00000000">
        <w:rPr>
          <w:color w:val="ff0000"/>
          <w:rtl w:val="0"/>
        </w:rPr>
        <w:t xml:space="preserve">(un exemple and it will be clear)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color w:val="6aa84f"/>
        </w:rPr>
      </w:pPr>
      <w:bookmarkStart w:colFirst="0" w:colLast="0" w:name="_p2vj5j6p4uci" w:id="8"/>
      <w:bookmarkEnd w:id="8"/>
      <w:r w:rsidDel="00000000" w:rsidR="00000000" w:rsidRPr="00000000">
        <w:rPr>
          <w:color w:val="6aa84f"/>
          <w:rtl w:val="0"/>
        </w:rPr>
        <w:t xml:space="preserve">3.Génération des vecteurs de caractéristiques</w:t>
      </w:r>
    </w:p>
    <w:p w:rsidR="00000000" w:rsidDel="00000000" w:rsidP="00000000" w:rsidRDefault="00000000" w:rsidRPr="00000000" w14:paraId="00000033">
      <w:pPr>
        <w:spacing w:after="240" w:before="240" w:lineRule="auto"/>
        <w:rPr/>
      </w:pPr>
      <w:r w:rsidDel="00000000" w:rsidR="00000000" w:rsidRPr="00000000">
        <w:rPr>
          <w:rtl w:val="0"/>
        </w:rPr>
        <w:t xml:space="preserve">Les observations temporelles sont transformées pour être compatibles avec la classification.</w:t>
      </w:r>
    </w:p>
    <w:p w:rsidR="00000000" w:rsidDel="00000000" w:rsidP="00000000" w:rsidRDefault="00000000" w:rsidRPr="00000000" w14:paraId="00000034">
      <w:pPr>
        <w:spacing w:after="240" w:before="240" w:lineRule="auto"/>
        <w:rPr/>
      </w:pPr>
      <w:r w:rsidDel="00000000" w:rsidR="00000000" w:rsidRPr="00000000">
        <w:rPr>
          <w:rtl w:val="0"/>
        </w:rPr>
        <w:t xml:space="preserve">Chaque vol est représenté par un vecteur de caractéristiques.</w:t>
      </w:r>
    </w:p>
    <w:p w:rsidR="00000000" w:rsidDel="00000000" w:rsidP="00000000" w:rsidRDefault="00000000" w:rsidRPr="00000000" w14:paraId="00000035">
      <w:pPr>
        <w:spacing w:after="240" w:before="240" w:lineRule="auto"/>
        <w:rPr/>
      </w:pPr>
      <w:r w:rsidDel="00000000" w:rsidR="00000000" w:rsidRPr="00000000">
        <w:rPr>
          <w:rtl w:val="0"/>
        </w:rPr>
        <w:t xml:space="preserve">Trois stratégies temporelles sont proposées : </w:t>
      </w:r>
      <w:r w:rsidDel="00000000" w:rsidR="00000000" w:rsidRPr="00000000">
        <w:rPr>
          <w:color w:val="ff0000"/>
          <w:rtl w:val="0"/>
        </w:rPr>
        <w:t xml:space="preserve">(un exemple and it will be clear)</w:t>
      </w:r>
      <w:r w:rsidDel="00000000" w:rsidR="00000000" w:rsidRPr="00000000">
        <w:rPr>
          <w:rtl w:val="0"/>
        </w:rPr>
      </w:r>
    </w:p>
    <w:p w:rsidR="00000000" w:rsidDel="00000000" w:rsidP="00000000" w:rsidRDefault="00000000" w:rsidRPr="00000000" w14:paraId="00000036">
      <w:pPr>
        <w:numPr>
          <w:ilvl w:val="0"/>
          <w:numId w:val="8"/>
        </w:numPr>
        <w:spacing w:after="240" w:before="240" w:lineRule="auto"/>
        <w:ind w:left="720" w:hanging="360"/>
        <w:rPr>
          <w:u w:val="none"/>
        </w:rPr>
      </w:pPr>
      <w:r w:rsidDel="00000000" w:rsidR="00000000" w:rsidRPr="00000000">
        <w:rPr>
          <w:rtl w:val="0"/>
        </w:rPr>
        <w:t xml:space="preserve">sélection d’un instant unique</w:t>
      </w:r>
    </w:p>
    <w:p w:rsidR="00000000" w:rsidDel="00000000" w:rsidP="00000000" w:rsidRDefault="00000000" w:rsidRPr="00000000" w14:paraId="00000037">
      <w:pPr>
        <w:spacing w:after="240" w:before="240" w:lineRule="auto"/>
        <w:ind w:left="720" w:firstLine="0"/>
        <w:rPr/>
      </w:pPr>
      <w:r w:rsidDel="00000000" w:rsidR="00000000" w:rsidRPr="00000000">
        <w:rPr>
          <w:rtl w:val="0"/>
        </w:rPr>
      </w:r>
    </w:p>
    <w:p w:rsidR="00000000" w:rsidDel="00000000" w:rsidP="00000000" w:rsidRDefault="00000000" w:rsidRPr="00000000" w14:paraId="00000038">
      <w:pPr>
        <w:numPr>
          <w:ilvl w:val="0"/>
          <w:numId w:val="8"/>
        </w:numPr>
        <w:spacing w:after="240" w:before="240" w:lineRule="auto"/>
        <w:ind w:left="720" w:hanging="360"/>
        <w:rPr>
          <w:u w:val="none"/>
        </w:rPr>
      </w:pPr>
      <w:r w:rsidDel="00000000" w:rsidR="00000000" w:rsidRPr="00000000">
        <w:rPr>
          <w:rtl w:val="0"/>
        </w:rPr>
        <w:t xml:space="preserve">sélection de plusieurs timestamps consécutifs avant l’événement</w:t>
      </w:r>
    </w:p>
    <w:p w:rsidR="00000000" w:rsidDel="00000000" w:rsidP="00000000" w:rsidRDefault="00000000" w:rsidRPr="00000000" w14:paraId="00000039">
      <w:pPr>
        <w:spacing w:after="240" w:before="240" w:lineRule="auto"/>
        <w:ind w:left="720" w:firstLine="0"/>
        <w:rPr/>
      </w:pPr>
      <w:r w:rsidDel="00000000" w:rsidR="00000000" w:rsidRPr="00000000">
        <w:rPr>
          <w:rtl w:val="0"/>
        </w:rPr>
      </w:r>
    </w:p>
    <w:p w:rsidR="00000000" w:rsidDel="00000000" w:rsidP="00000000" w:rsidRDefault="00000000" w:rsidRPr="00000000" w14:paraId="0000003A">
      <w:pPr>
        <w:numPr>
          <w:ilvl w:val="0"/>
          <w:numId w:val="8"/>
        </w:numPr>
        <w:spacing w:after="240" w:before="240" w:lineRule="auto"/>
        <w:ind w:left="720" w:hanging="360"/>
        <w:rPr>
          <w:u w:val="none"/>
        </w:rPr>
      </w:pPr>
      <w:r w:rsidDel="00000000" w:rsidR="00000000" w:rsidRPr="00000000">
        <w:rPr>
          <w:rtl w:val="0"/>
        </w:rPr>
        <w:t xml:space="preserve">sélection de timestamps échelonnés.</w:t>
      </w:r>
    </w:p>
    <w:p w:rsidR="00000000" w:rsidDel="00000000" w:rsidP="00000000" w:rsidRDefault="00000000" w:rsidRPr="00000000" w14:paraId="0000003B">
      <w:pPr>
        <w:spacing w:after="240" w:before="240" w:lineRule="auto"/>
        <w:rPr>
          <w:color w:val="1155cc"/>
        </w:rPr>
      </w:pPr>
      <w:r w:rsidDel="00000000" w:rsidR="00000000" w:rsidRPr="00000000">
        <w:rPr>
          <w:rtl w:val="0"/>
        </w:rPr>
        <w:t xml:space="preserve">Le choix de la stratégie dépend de la nature physique de l’événement étudié.</w:t>
      </w:r>
      <w:r w:rsidDel="00000000" w:rsidR="00000000" w:rsidRPr="00000000">
        <w:rPr>
          <w:rtl w:val="0"/>
        </w:rPr>
      </w:r>
    </w:p>
    <w:p w:rsidR="00000000" w:rsidDel="00000000" w:rsidP="00000000" w:rsidRDefault="00000000" w:rsidRPr="00000000" w14:paraId="0000003C">
      <w:pPr>
        <w:rPr>
          <w:color w:val="1155cc"/>
        </w:rPr>
      </w:pPr>
      <w:r w:rsidDel="00000000" w:rsidR="00000000" w:rsidRPr="00000000">
        <w:rPr>
          <w:rtl w:val="0"/>
        </w:rPr>
      </w:r>
    </w:p>
    <w:p w:rsidR="00000000" w:rsidDel="00000000" w:rsidP="00000000" w:rsidRDefault="00000000" w:rsidRPr="00000000" w14:paraId="0000003D">
      <w:pPr>
        <w:pStyle w:val="Heading1"/>
        <w:rPr>
          <w:color w:val="6aa84f"/>
        </w:rPr>
      </w:pPr>
      <w:bookmarkStart w:colFirst="0" w:colLast="0" w:name="_36i6fko6v4ie" w:id="9"/>
      <w:bookmarkEnd w:id="9"/>
      <w:r w:rsidDel="00000000" w:rsidR="00000000" w:rsidRPr="00000000">
        <w:rPr>
          <w:color w:val="6aa84f"/>
          <w:rtl w:val="0"/>
        </w:rPr>
        <w:t xml:space="preserve">4.Classification</w:t>
      </w:r>
    </w:p>
    <w:p w:rsidR="00000000" w:rsidDel="00000000" w:rsidP="00000000" w:rsidRDefault="00000000" w:rsidRPr="00000000" w14:paraId="0000003E">
      <w:pPr>
        <w:spacing w:after="240" w:before="240" w:lineRule="auto"/>
        <w:rPr/>
      </w:pPr>
      <w:r w:rsidDel="00000000" w:rsidR="00000000" w:rsidRPr="00000000">
        <w:rPr>
          <w:rtl w:val="0"/>
        </w:rPr>
        <w:t xml:space="preserve">Plusieurs algorithmes sont évalués selon des critères de performance, de robustesse et d’interprétabilité.</w:t>
      </w:r>
    </w:p>
    <w:p w:rsidR="00000000" w:rsidDel="00000000" w:rsidP="00000000" w:rsidRDefault="00000000" w:rsidRPr="00000000" w14:paraId="0000003F">
      <w:pPr>
        <w:spacing w:after="240" w:before="240" w:lineRule="auto"/>
        <w:rPr/>
      </w:pPr>
      <w:r w:rsidDel="00000000" w:rsidR="00000000" w:rsidRPr="00000000">
        <w:rPr>
          <w:rtl w:val="0"/>
        </w:rPr>
        <w:t xml:space="preserve">Le modèle retenu est </w:t>
      </w:r>
      <w:r w:rsidDel="00000000" w:rsidR="00000000" w:rsidRPr="00000000">
        <w:rPr>
          <w:b w:val="1"/>
          <w:bCs w:val="1"/>
          <w:rtl w:val="0"/>
        </w:rPr>
        <w:t xml:space="preserve">Random Forest</w:t>
      </w:r>
      <w:r w:rsidDel="00000000" w:rsidR="00000000" w:rsidRPr="00000000">
        <w:rPr>
          <w:rtl w:val="0"/>
        </w:rPr>
        <w:t xml:space="preserve">, car : </w:t>
      </w:r>
      <w:r w:rsidDel="00000000" w:rsidR="00000000" w:rsidRPr="00000000">
        <w:rPr>
          <w:color w:val="ff0000"/>
          <w:rtl w:val="0"/>
        </w:rPr>
        <w:t xml:space="preserve">(ici faut mettre le tableau de comparaison des algo et surement expliquer random forest)</w:t>
      </w:r>
      <w:r w:rsidDel="00000000" w:rsidR="00000000" w:rsidRPr="00000000">
        <w:rPr>
          <w:rtl w:val="0"/>
        </w:rPr>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il est robuste face à la colinéarité,</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il gère efficacement les hautes dimensions,</w:t>
        <w:br w:type="textWrapping"/>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il permet une interprétation via l’importance des variables et les arbres de décision.</w:t>
      </w:r>
    </w:p>
    <w:p w:rsidR="00000000" w:rsidDel="00000000" w:rsidP="00000000" w:rsidRDefault="00000000" w:rsidRPr="00000000" w14:paraId="00000043">
      <w:pPr>
        <w:rPr>
          <w:color w:val="1155cc"/>
        </w:rPr>
      </w:pPr>
      <w:r w:rsidDel="00000000" w:rsidR="00000000" w:rsidRPr="00000000">
        <w:rPr>
          <w:color w:val="1155cc"/>
          <w:rtl w:val="0"/>
        </w:rPr>
        <w:t xml:space="preserve">(introduire Random Forest e expliquer les grandes lignes)</w:t>
      </w:r>
    </w:p>
    <w:p w:rsidR="00000000" w:rsidDel="00000000" w:rsidP="00000000" w:rsidRDefault="00000000" w:rsidRPr="00000000" w14:paraId="00000044">
      <w:pPr>
        <w:pStyle w:val="Heading1"/>
        <w:rPr>
          <w:color w:val="6aa84f"/>
        </w:rPr>
      </w:pPr>
      <w:bookmarkStart w:colFirst="0" w:colLast="0" w:name="_7m15hore7qrl" w:id="10"/>
      <w:bookmarkEnd w:id="10"/>
      <w:r w:rsidDel="00000000" w:rsidR="00000000" w:rsidRPr="00000000">
        <w:rPr>
          <w:color w:val="6aa84f"/>
          <w:rtl w:val="0"/>
        </w:rPr>
        <w:t xml:space="preserve">5.Post-traitement et interprétation</w:t>
      </w:r>
    </w:p>
    <w:p w:rsidR="00000000" w:rsidDel="00000000" w:rsidP="00000000" w:rsidRDefault="00000000" w:rsidRPr="00000000" w14:paraId="00000045">
      <w:pPr>
        <w:rPr>
          <w:color w:val="ff0000"/>
        </w:rPr>
      </w:pPr>
      <w:r w:rsidDel="00000000" w:rsidR="00000000" w:rsidRPr="00000000">
        <w:rPr>
          <w:color w:val="ff0000"/>
          <w:rtl w:val="0"/>
        </w:rPr>
        <w:t xml:space="preserve">(la faut mettre tous les formules et des exemple)</w:t>
      </w:r>
    </w:p>
    <w:p w:rsidR="00000000" w:rsidDel="00000000" w:rsidP="00000000" w:rsidRDefault="00000000" w:rsidRPr="00000000" w14:paraId="00000046">
      <w:pPr>
        <w:spacing w:after="240" w:before="240" w:lineRule="auto"/>
        <w:rPr/>
      </w:pPr>
      <w:r w:rsidDel="00000000" w:rsidR="00000000" w:rsidRPr="00000000">
        <w:rPr>
          <w:rtl w:val="0"/>
        </w:rPr>
        <w:t xml:space="preserve">L’évaluation du modèle repose sur :</w:t>
      </w:r>
    </w:p>
    <w:p w:rsidR="00000000" w:rsidDel="00000000" w:rsidP="00000000" w:rsidRDefault="00000000" w:rsidRPr="00000000" w14:paraId="00000047">
      <w:pPr>
        <w:numPr>
          <w:ilvl w:val="0"/>
          <w:numId w:val="14"/>
        </w:numPr>
        <w:spacing w:after="0" w:afterAutospacing="0" w:before="240" w:lineRule="auto"/>
        <w:ind w:left="720" w:hanging="360"/>
      </w:pPr>
      <w:r w:rsidDel="00000000" w:rsidR="00000000" w:rsidRPr="00000000">
        <w:rPr>
          <w:rtl w:val="0"/>
        </w:rPr>
        <w:t xml:space="preserve">la matrice de confusion </w:t>
      </w:r>
      <w:r w:rsidDel="00000000" w:rsidR="00000000" w:rsidRPr="00000000">
        <w:rPr>
          <w:color w:val="ff0000"/>
          <w:rtl w:val="0"/>
        </w:rPr>
        <w:t xml:space="preserve">(exemple)</w:t>
      </w:r>
      <w:r w:rsidDel="00000000" w:rsidR="00000000" w:rsidRPr="00000000">
        <w:rPr>
          <w:rtl w:val="0"/>
        </w:rPr>
        <w:br w:type="textWrapping"/>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F1-score</w:t>
      </w:r>
      <w:r w:rsidDel="00000000" w:rsidR="00000000" w:rsidRPr="00000000">
        <w:rPr>
          <w:rtl w:val="0"/>
        </w:rPr>
        <w:t xml:space="preserve">, utilisé comme métrique principale car adapté aux données déséquilibrées. </w:t>
      </w:r>
      <w:r w:rsidDel="00000000" w:rsidR="00000000" w:rsidRPr="00000000">
        <w:rPr>
          <w:color w:val="ff0000"/>
          <w:rtl w:val="0"/>
        </w:rPr>
        <w:t xml:space="preserve">(exemple)</w:t>
      </w:r>
      <w:r w:rsidDel="00000000" w:rsidR="00000000" w:rsidRPr="00000000">
        <w:rPr>
          <w:rtl w:val="0"/>
        </w:rPr>
        <w:br w:type="textWrapping"/>
        <w:t xml:space="preserve">Les résultats sont interprétés à l’aide de : </w:t>
      </w:r>
      <w:r w:rsidDel="00000000" w:rsidR="00000000" w:rsidRPr="00000000">
        <w:rPr>
          <w:color w:val="ff0000"/>
          <w:rtl w:val="0"/>
        </w:rPr>
        <w:t xml:space="preserve">(vite fais)</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graphiques d’importance des paramètres,</w:t>
        <w:br w:type="textWrapping"/>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tl w:val="0"/>
        </w:rPr>
        <w:t xml:space="preserve">arbres de décision compréhensibles par des experts humains.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Title"/>
        <w:rPr>
          <w:color w:val="ff0000"/>
        </w:rPr>
      </w:pPr>
      <w:bookmarkStart w:colFirst="0" w:colLast="0" w:name="_q8jbz8iky0o8" w:id="11"/>
      <w:bookmarkEnd w:id="11"/>
      <w:r w:rsidDel="00000000" w:rsidR="00000000" w:rsidRPr="00000000">
        <w:rPr>
          <w:color w:val="ff0000"/>
          <w:rtl w:val="0"/>
        </w:rPr>
        <w:t xml:space="preserve">5. Études de cas</w:t>
      </w:r>
    </w:p>
    <w:p w:rsidR="00000000" w:rsidDel="00000000" w:rsidP="00000000" w:rsidRDefault="00000000" w:rsidRPr="00000000" w14:paraId="0000004D">
      <w:pPr>
        <w:pStyle w:val="Heading1"/>
        <w:rPr>
          <w:color w:val="6aa84f"/>
        </w:rPr>
      </w:pPr>
      <w:bookmarkStart w:colFirst="0" w:colLast="0" w:name="_bg9kok7g9589" w:id="12"/>
      <w:bookmarkEnd w:id="12"/>
      <w:r w:rsidDel="00000000" w:rsidR="00000000" w:rsidRPr="00000000">
        <w:rPr>
          <w:color w:val="6aa84f"/>
          <w:rtl w:val="0"/>
        </w:rPr>
        <w:t xml:space="preserve">1.Tire Speed Event </w:t>
      </w:r>
    </w:p>
    <w:p w:rsidR="00000000" w:rsidDel="00000000" w:rsidP="00000000" w:rsidRDefault="00000000" w:rsidRPr="00000000" w14:paraId="0000004E">
      <w:pPr>
        <w:spacing w:after="240" w:before="240" w:lineRule="auto"/>
        <w:rPr/>
      </w:pPr>
      <w:r w:rsidDel="00000000" w:rsidR="00000000" w:rsidRPr="00000000">
        <w:rPr>
          <w:rtl w:val="0"/>
        </w:rPr>
        <w:t xml:space="preserve">Cet événement correspond au dépassement de la vitesse certifiée des pneus lors du décollage.</w:t>
      </w:r>
    </w:p>
    <w:p w:rsidR="00000000" w:rsidDel="00000000" w:rsidP="00000000" w:rsidRDefault="00000000" w:rsidRPr="00000000" w14:paraId="0000004F">
      <w:pPr>
        <w:spacing w:after="240" w:before="240" w:lineRule="auto"/>
        <w:rPr/>
      </w:pPr>
      <w:r w:rsidDel="00000000" w:rsidR="00000000" w:rsidRPr="00000000">
        <w:rPr>
          <w:rtl w:val="0"/>
        </w:rPr>
        <w:t xml:space="preserve">Le modèle obtient des performances très élevées, avec un </w:t>
      </w:r>
      <w:r w:rsidDel="00000000" w:rsidR="00000000" w:rsidRPr="00000000">
        <w:rPr>
          <w:b w:val="1"/>
          <w:bCs w:val="1"/>
          <w:rtl w:val="0"/>
        </w:rPr>
        <w:t xml:space="preserve">F1-score proche de 1</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Les paramètres critiques identifiés sont :</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la vitesse,</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le poids de l’avion,</w:t>
        <w:br w:type="textWrapping"/>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la densité de l’air,</w:t>
        <w:br w:type="textWrapping"/>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la poussée moteur.</w:t>
        <w:br w:type="textWrapping"/>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La </w:t>
      </w:r>
      <w:r w:rsidDel="00000000" w:rsidR="00000000" w:rsidRPr="00000000">
        <w:rPr>
          <w:b w:val="1"/>
          <w:bCs w:val="1"/>
          <w:rtl w:val="0"/>
        </w:rPr>
        <w:t xml:space="preserve">poussée (thrust)</w:t>
      </w:r>
      <w:r w:rsidDel="00000000" w:rsidR="00000000" w:rsidRPr="00000000">
        <w:rPr>
          <w:rtl w:val="0"/>
        </w:rPr>
        <w:t xml:space="preserve"> n’est pas systématiquement mise en avant comme facteur principal dans les descriptions classiques de l’événement, mais l’analyse par Machine Learning montre qu’elle devient significative lorsqu’elle est considérée en interaction avec le poids de l’avion et la densité de l’air</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6">
      <w:pPr>
        <w:pStyle w:val="Heading1"/>
        <w:rPr>
          <w:color w:val="6aa84f"/>
        </w:rPr>
      </w:pPr>
      <w:bookmarkStart w:colFirst="0" w:colLast="0" w:name="_175ejx34d61l" w:id="13"/>
      <w:bookmarkEnd w:id="13"/>
      <w:r w:rsidDel="00000000" w:rsidR="00000000" w:rsidRPr="00000000">
        <w:rPr>
          <w:color w:val="6aa84f"/>
          <w:rtl w:val="0"/>
        </w:rPr>
        <w:t xml:space="preserve">2.Roll Event </w:t>
      </w:r>
    </w:p>
    <w:p w:rsidR="00000000" w:rsidDel="00000000" w:rsidP="00000000" w:rsidRDefault="00000000" w:rsidRPr="00000000" w14:paraId="00000057">
      <w:pPr>
        <w:spacing w:after="240" w:before="240" w:lineRule="auto"/>
        <w:rPr/>
      </w:pPr>
      <w:r w:rsidDel="00000000" w:rsidR="00000000" w:rsidRPr="00000000">
        <w:rPr>
          <w:rtl w:val="0"/>
        </w:rPr>
        <w:t xml:space="preserve">Le Roll Event correspond à un dépassement de l’angle de roulis.</w:t>
      </w:r>
      <w:r w:rsidDel="00000000" w:rsidR="00000000" w:rsidRPr="00000000">
        <w:rPr>
          <w:color w:val="ff0000"/>
          <w:rtl w:val="0"/>
        </w:rPr>
        <w:t xml:space="preserve">(sen fou un peu a part l'événement 1)</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Le modèle obtient un F1-score plus faible que pour le Tire Speed Event, mais reste cohérent.</w:t>
      </w:r>
      <w:r w:rsidDel="00000000" w:rsidR="00000000" w:rsidRPr="00000000">
        <w:rPr>
          <w:rtl w:val="0"/>
        </w:rPr>
      </w:r>
    </w:p>
    <w:p w:rsidR="00000000" w:rsidDel="00000000" w:rsidP="00000000" w:rsidRDefault="00000000" w:rsidRPr="00000000" w14:paraId="00000059">
      <w:pPr>
        <w:pStyle w:val="Heading1"/>
        <w:rPr>
          <w:color w:val="6aa84f"/>
        </w:rPr>
      </w:pPr>
      <w:bookmarkStart w:colFirst="0" w:colLast="0" w:name="_fynqb3wn2bge" w:id="14"/>
      <w:bookmarkEnd w:id="14"/>
      <w:r w:rsidDel="00000000" w:rsidR="00000000" w:rsidRPr="00000000">
        <w:rPr>
          <w:color w:val="6aa84f"/>
          <w:rtl w:val="0"/>
        </w:rPr>
        <w:t xml:space="preserve">3.Landing Distance Event</w:t>
      </w:r>
    </w:p>
    <w:p w:rsidR="00000000" w:rsidDel="00000000" w:rsidP="00000000" w:rsidRDefault="00000000" w:rsidRPr="00000000" w14:paraId="0000005A">
      <w:pPr>
        <w:rPr>
          <w:color w:val="ff0000"/>
        </w:rPr>
      </w:pPr>
      <w:r w:rsidDel="00000000" w:rsidR="00000000" w:rsidRPr="00000000">
        <w:rPr>
          <w:rtl w:val="0"/>
        </w:rPr>
        <w:t xml:space="preserve">Cet événement est lié à une distance d’atterrissage excessive.</w:t>
      </w:r>
      <w:r w:rsidDel="00000000" w:rsidR="00000000" w:rsidRPr="00000000">
        <w:rPr>
          <w:color w:val="ff0000"/>
          <w:rtl w:val="0"/>
        </w:rPr>
        <w:t xml:space="preserve">(sen fou un peu a part l'événement 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Title"/>
        <w:rPr>
          <w:color w:val="ff0000"/>
        </w:rPr>
      </w:pPr>
      <w:bookmarkStart w:colFirst="0" w:colLast="0" w:name="_jxschh90jef2" w:id="15"/>
      <w:bookmarkEnd w:id="15"/>
      <w:r w:rsidDel="00000000" w:rsidR="00000000" w:rsidRPr="00000000">
        <w:rPr>
          <w:color w:val="ff0000"/>
          <w:rtl w:val="0"/>
        </w:rPr>
        <w:t xml:space="preserve">6. Discussion et limites</w:t>
      </w:r>
    </w:p>
    <w:p w:rsidR="00000000" w:rsidDel="00000000" w:rsidP="00000000" w:rsidRDefault="00000000" w:rsidRPr="00000000" w14:paraId="0000005D">
      <w:pPr>
        <w:spacing w:after="240" w:before="240" w:lineRule="auto"/>
        <w:rPr/>
      </w:pPr>
      <w:r w:rsidDel="00000000" w:rsidR="00000000" w:rsidRPr="00000000">
        <w:rPr>
          <w:rtl w:val="0"/>
        </w:rPr>
        <w:t xml:space="preserve">L’article met clairement en évidence la complémentarité entre Machine Learning et expertise humaine.</w:t>
      </w:r>
    </w:p>
    <w:p w:rsidR="00000000" w:rsidDel="00000000" w:rsidP="00000000" w:rsidRDefault="00000000" w:rsidRPr="00000000" w14:paraId="0000005E">
      <w:pPr>
        <w:spacing w:after="240" w:before="240" w:lineRule="auto"/>
        <w:rPr/>
      </w:pPr>
      <w:r w:rsidDel="00000000" w:rsidR="00000000" w:rsidRPr="00000000">
        <w:rPr>
          <w:rtl w:val="0"/>
        </w:rPr>
        <w:t xml:space="preserve">Le Machine Learning permet :</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rtl w:val="0"/>
        </w:rPr>
        <w:t xml:space="preserve">de traiter des volumes de données impossibles à analyser manuellement,</w:t>
        <w:br w:type="textWrapping"/>
      </w:r>
    </w:p>
    <w:p w:rsidR="00000000" w:rsidDel="00000000" w:rsidP="00000000" w:rsidRDefault="00000000" w:rsidRPr="00000000" w14:paraId="00000060">
      <w:pPr>
        <w:numPr>
          <w:ilvl w:val="0"/>
          <w:numId w:val="12"/>
        </w:numPr>
        <w:spacing w:after="240" w:before="0" w:beforeAutospacing="0" w:lineRule="auto"/>
        <w:ind w:left="720" w:hanging="360"/>
      </w:pPr>
      <w:r w:rsidDel="00000000" w:rsidR="00000000" w:rsidRPr="00000000">
        <w:rPr>
          <w:rtl w:val="0"/>
        </w:rPr>
        <w:t xml:space="preserve">d’identifier des relations complexes et parfois inattendues.</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Cependant, il existe des limites :</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corrélation ne signifie pas causalité,</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dépendance à la qualité des labels définis par les experts,</w:t>
        <w:br w:type="textWrapping"/>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qualité parfois imparfaite des données FOQA.</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Une validation humaine reste donc indispensable.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Title"/>
        <w:rPr>
          <w:color w:val="ff0000"/>
        </w:rPr>
      </w:pPr>
      <w:bookmarkStart w:colFirst="0" w:colLast="0" w:name="_691zgulqzjf" w:id="16"/>
      <w:bookmarkEnd w:id="16"/>
      <w:r w:rsidDel="00000000" w:rsidR="00000000" w:rsidRPr="00000000">
        <w:rPr>
          <w:color w:val="ff0000"/>
          <w:rtl w:val="0"/>
        </w:rPr>
        <w:t xml:space="preserve">7. Conclusion</w:t>
      </w:r>
    </w:p>
    <w:p w:rsidR="00000000" w:rsidDel="00000000" w:rsidP="00000000" w:rsidRDefault="00000000" w:rsidRPr="00000000" w14:paraId="00000068">
      <w:pPr>
        <w:spacing w:after="240" w:before="240" w:lineRule="auto"/>
        <w:rPr/>
      </w:pPr>
      <w:r w:rsidDel="00000000" w:rsidR="00000000" w:rsidRPr="00000000">
        <w:rPr>
          <w:rtl w:val="0"/>
        </w:rPr>
        <w:t xml:space="preserve">La méthodologie SAFE propose un cadre robuste, interprétable et reproductible pour exploiter les données de vol dans une perspective </w:t>
      </w:r>
      <w:r w:rsidDel="00000000" w:rsidR="00000000" w:rsidRPr="00000000">
        <w:rPr>
          <w:b w:val="1"/>
          <w:bCs w:val="1"/>
          <w:rtl w:val="0"/>
        </w:rPr>
        <w:t xml:space="preserve">proactive</w:t>
      </w:r>
      <w:r w:rsidDel="00000000" w:rsidR="00000000" w:rsidRPr="00000000">
        <w:rPr>
          <w:rtl w:val="0"/>
        </w:rPr>
        <w:t xml:space="preserve"> de sécurité aérienne.</w:t>
      </w:r>
    </w:p>
    <w:p w:rsidR="00000000" w:rsidDel="00000000" w:rsidP="00000000" w:rsidRDefault="00000000" w:rsidRPr="00000000" w14:paraId="00000069">
      <w:pPr>
        <w:spacing w:after="240" w:before="240" w:lineRule="auto"/>
        <w:rPr/>
      </w:pPr>
      <w:r w:rsidDel="00000000" w:rsidR="00000000" w:rsidRPr="00000000">
        <w:rPr>
          <w:rtl w:val="0"/>
        </w:rPr>
        <w:t xml:space="preserve">Elle permet :</w:t>
      </w:r>
    </w:p>
    <w:p w:rsidR="00000000" w:rsidDel="00000000" w:rsidP="00000000" w:rsidRDefault="00000000" w:rsidRPr="00000000" w14:paraId="0000006A">
      <w:pPr>
        <w:numPr>
          <w:ilvl w:val="0"/>
          <w:numId w:val="13"/>
        </w:numPr>
        <w:spacing w:after="0" w:afterAutospacing="0" w:before="240" w:lineRule="auto"/>
        <w:ind w:left="720" w:hanging="360"/>
      </w:pPr>
      <w:r w:rsidDel="00000000" w:rsidR="00000000" w:rsidRPr="00000000">
        <w:rPr>
          <w:rtl w:val="0"/>
        </w:rPr>
        <w:t xml:space="preserve">d’identifier des précurseurs d’événements de sécurité,</w:t>
        <w:br w:type="textWrapping"/>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de surveiller prioritairement les paramètres critiques,</w:t>
        <w:br w:type="textWrapping"/>
      </w:r>
    </w:p>
    <w:p w:rsidR="00000000" w:rsidDel="00000000" w:rsidP="00000000" w:rsidRDefault="00000000" w:rsidRPr="00000000" w14:paraId="0000006C">
      <w:pPr>
        <w:numPr>
          <w:ilvl w:val="0"/>
          <w:numId w:val="13"/>
        </w:numPr>
        <w:spacing w:after="240" w:before="0" w:beforeAutospacing="0" w:lineRule="auto"/>
        <w:ind w:left="720" w:hanging="360"/>
      </w:pPr>
      <w:r w:rsidDel="00000000" w:rsidR="00000000" w:rsidRPr="00000000">
        <w:rPr>
          <w:rtl w:val="0"/>
        </w:rPr>
        <w:t xml:space="preserve">d’appuyer l’expertise humaine par l’analyse des données.</w:t>
      </w:r>
    </w:p>
    <w:p w:rsidR="00000000" w:rsidDel="00000000" w:rsidP="00000000" w:rsidRDefault="00000000" w:rsidRPr="00000000" w14:paraId="0000006D">
      <w:pPr>
        <w:rPr>
          <w:color w:val="1155cc"/>
        </w:rPr>
      </w:pPr>
      <w:r w:rsidDel="00000000" w:rsidR="00000000" w:rsidRPr="00000000">
        <w:rPr>
          <w:color w:val="1155cc"/>
          <w:rtl w:val="0"/>
        </w:rPr>
        <w:t xml:space="preserve">(rigel)</w:t>
      </w:r>
    </w:p>
    <w:p w:rsidR="00000000" w:rsidDel="00000000" w:rsidP="00000000" w:rsidRDefault="00000000" w:rsidRPr="00000000" w14:paraId="0000006E">
      <w:pPr>
        <w:rPr>
          <w:color w:val="1155cc"/>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