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A18" w:rsidRDefault="00350A18" w:rsidP="00350A18">
      <w:pPr>
        <w:pStyle w:val="a"/>
      </w:pPr>
      <w:bookmarkStart w:id="0" w:name="_Toc506679576"/>
      <w:bookmarkStart w:id="1" w:name="_Toc506594936"/>
      <w:bookmarkStart w:id="2" w:name="_GoBack"/>
      <w:r>
        <w:rPr>
          <w:rFonts w:hint="cs"/>
          <w:rtl/>
        </w:rPr>
        <w:t xml:space="preserve">آیین‌نامه اجرایی تبصره یک ماده </w:t>
      </w:r>
      <w:r>
        <w:rPr>
          <w:rFonts w:hint="cs"/>
          <w:rtl/>
          <w:lang w:bidi="fa-IR"/>
        </w:rPr>
        <w:t>۱۸</w:t>
      </w:r>
      <w:r>
        <w:rPr>
          <w:rFonts w:hint="cs"/>
          <w:rtl/>
        </w:rPr>
        <w:t xml:space="preserve"> قانون انتشار و دسترسی آزاد به اطلاعات مصوبه شماره 63631/ت </w:t>
      </w:r>
      <w:r>
        <w:rPr>
          <w:rFonts w:hint="cs"/>
          <w:rtl/>
          <w:lang w:bidi="fa-IR"/>
        </w:rPr>
        <w:t>۵</w:t>
      </w:r>
      <w:r>
        <w:rPr>
          <w:rFonts w:hint="cs"/>
          <w:rtl/>
        </w:rPr>
        <w:t>1728 هـ مورخ 19/</w:t>
      </w:r>
      <w:r>
        <w:rPr>
          <w:rFonts w:hint="cs"/>
          <w:rtl/>
          <w:lang w:bidi="fa-IR"/>
        </w:rPr>
        <w:t>۵</w:t>
      </w:r>
      <w:r>
        <w:rPr>
          <w:rFonts w:hint="cs"/>
          <w:rtl/>
        </w:rPr>
        <w:t>/1394</w:t>
      </w:r>
      <w:bookmarkEnd w:id="0"/>
      <w:bookmarkEnd w:id="1"/>
    </w:p>
    <w:p w:rsidR="00350A18" w:rsidRDefault="00350A18" w:rsidP="00350A18">
      <w:pPr>
        <w:pStyle w:val="MT"/>
        <w:jc w:val="center"/>
        <w:rPr>
          <w:rFonts w:hint="cs"/>
          <w:rtl/>
        </w:rPr>
      </w:pPr>
      <w:r>
        <w:rPr>
          <w:rFonts w:hint="cs"/>
          <w:rtl/>
        </w:rPr>
        <w:t>وزارت فرهنگ و ارشاد اسلامی ـ وزارت ارتباطات و فناوری اطلاعات- وزارت اطلاعات ـ وزارت دفاع و پشتيبانی نيروهای مسلح ـ سازمان مدیریت و برنامه‌ریزی کشور</w:t>
      </w:r>
    </w:p>
    <w:p w:rsidR="00350A18" w:rsidRDefault="00350A18" w:rsidP="00350A18">
      <w:pPr>
        <w:pStyle w:val="MT"/>
        <w:rPr>
          <w:rFonts w:hint="cs"/>
          <w:rtl/>
        </w:rPr>
      </w:pPr>
      <w:r>
        <w:rPr>
          <w:rFonts w:hint="cs"/>
          <w:rtl/>
        </w:rPr>
        <w:t>هیئت‌وزیران در جلسه ۴/۵/۱۳۹۴ به پيـشنهاد کميسيون انتشار و دسترسی آزاد به اطلاعات و به استناد تبصره (۱) ماده (۱۸) قانون انتشار و دسترسی آزاد به اطلاعات ـ مصوب ۱۳۸۸ ـ آیين‌نامه اجرایی تبصره یادشده را به شرح زیر تصویب کرد:</w:t>
      </w:r>
    </w:p>
    <w:p w:rsidR="00350A18" w:rsidRDefault="00350A18" w:rsidP="00350A18">
      <w:pPr>
        <w:pStyle w:val="MT"/>
        <w:rPr>
          <w:rFonts w:hint="cs"/>
          <w:rtl/>
        </w:rPr>
      </w:pPr>
      <w:r>
        <w:rPr>
          <w:rFonts w:hint="cs"/>
          <w:b/>
          <w:bCs/>
          <w:sz w:val="20"/>
          <w:szCs w:val="22"/>
          <w:rtl/>
        </w:rPr>
        <w:t>ماده ۱-</w:t>
      </w:r>
      <w:r>
        <w:rPr>
          <w:rFonts w:hint="cs"/>
          <w:sz w:val="20"/>
          <w:szCs w:val="22"/>
          <w:rtl/>
        </w:rPr>
        <w:t xml:space="preserve"> </w:t>
      </w:r>
      <w:r>
        <w:rPr>
          <w:rFonts w:hint="cs"/>
          <w:rtl/>
        </w:rPr>
        <w:t>کمیسیون انتشار و دسترسی آزاد به اطلاعات با ترکیب زیر تشکیل می‌شود:</w:t>
      </w:r>
    </w:p>
    <w:p w:rsidR="00350A18" w:rsidRDefault="00350A18" w:rsidP="00350A18">
      <w:pPr>
        <w:pStyle w:val="MT"/>
        <w:rPr>
          <w:rFonts w:hint="cs"/>
          <w:rtl/>
        </w:rPr>
      </w:pPr>
      <w:r>
        <w:rPr>
          <w:rFonts w:hint="cs"/>
          <w:rtl/>
        </w:rPr>
        <w:t xml:space="preserve">الف </w:t>
      </w:r>
      <w:r>
        <w:rPr>
          <w:rFonts w:cs="Times New Roman" w:hint="cs"/>
          <w:rtl/>
        </w:rPr>
        <w:t>–</w:t>
      </w:r>
      <w:r>
        <w:rPr>
          <w:rFonts w:hint="cs"/>
          <w:rtl/>
        </w:rPr>
        <w:t xml:space="preserve"> وزیر فرهنگ و ارشاد اسلامی (رییس کمیسیون)</w:t>
      </w:r>
    </w:p>
    <w:p w:rsidR="00350A18" w:rsidRDefault="00350A18" w:rsidP="00350A18">
      <w:pPr>
        <w:pStyle w:val="MT"/>
        <w:rPr>
          <w:rFonts w:hint="cs"/>
          <w:rtl/>
        </w:rPr>
      </w:pPr>
      <w:r>
        <w:rPr>
          <w:rFonts w:hint="cs"/>
          <w:rtl/>
        </w:rPr>
        <w:t xml:space="preserve">ب </w:t>
      </w:r>
      <w:r>
        <w:rPr>
          <w:rFonts w:cs="Times New Roman" w:hint="cs"/>
          <w:rtl/>
        </w:rPr>
        <w:t>–</w:t>
      </w:r>
      <w:r>
        <w:rPr>
          <w:rFonts w:hint="cs"/>
          <w:rtl/>
        </w:rPr>
        <w:t xml:space="preserve"> وزیر ارتباطات و فناوری اطلاعات یا معاون ذی‌ربط</w:t>
      </w:r>
    </w:p>
    <w:p w:rsidR="00350A18" w:rsidRDefault="00350A18" w:rsidP="00350A18">
      <w:pPr>
        <w:pStyle w:val="MT"/>
        <w:rPr>
          <w:rFonts w:hint="cs"/>
          <w:rtl/>
        </w:rPr>
      </w:pPr>
      <w:r>
        <w:rPr>
          <w:rFonts w:hint="cs"/>
          <w:rtl/>
        </w:rPr>
        <w:t>ج- وزیر اطلاعات یا معاون ذی‌ربط</w:t>
      </w:r>
    </w:p>
    <w:p w:rsidR="00350A18" w:rsidRDefault="00350A18" w:rsidP="00350A18">
      <w:pPr>
        <w:pStyle w:val="MT"/>
        <w:rPr>
          <w:rFonts w:hint="cs"/>
          <w:rtl/>
        </w:rPr>
      </w:pPr>
      <w:r>
        <w:rPr>
          <w:rFonts w:hint="cs"/>
          <w:rtl/>
        </w:rPr>
        <w:t xml:space="preserve">د </w:t>
      </w:r>
      <w:r>
        <w:rPr>
          <w:rFonts w:cs="Times New Roman" w:hint="cs"/>
          <w:rtl/>
        </w:rPr>
        <w:t>–</w:t>
      </w:r>
      <w:r>
        <w:rPr>
          <w:rFonts w:hint="cs"/>
          <w:rtl/>
        </w:rPr>
        <w:t xml:space="preserve"> وزیر دفاع و پشتیبانی نیروهای مسلح یا معاون ذی‌ربط</w:t>
      </w:r>
    </w:p>
    <w:p w:rsidR="00350A18" w:rsidRDefault="00350A18" w:rsidP="00350A18">
      <w:pPr>
        <w:pStyle w:val="MT"/>
        <w:rPr>
          <w:rFonts w:hint="cs"/>
          <w:rtl/>
        </w:rPr>
      </w:pPr>
      <w:r>
        <w:rPr>
          <w:rFonts w:hint="cs"/>
          <w:rtl/>
        </w:rPr>
        <w:t xml:space="preserve">هـ </w:t>
      </w:r>
      <w:r>
        <w:rPr>
          <w:rFonts w:cs="Times New Roman" w:hint="cs"/>
          <w:rtl/>
        </w:rPr>
        <w:t>–</w:t>
      </w:r>
      <w:r>
        <w:rPr>
          <w:rFonts w:hint="cs"/>
          <w:rtl/>
        </w:rPr>
        <w:t xml:space="preserve"> رییس سازمان مدیریت و برنامه‌ریزی کشور یا معاون ذی‌ربط</w:t>
      </w:r>
    </w:p>
    <w:p w:rsidR="00350A18" w:rsidRDefault="00350A18" w:rsidP="00350A18">
      <w:pPr>
        <w:pStyle w:val="MT"/>
        <w:rPr>
          <w:rFonts w:hint="cs"/>
          <w:rtl/>
        </w:rPr>
      </w:pPr>
      <w:r>
        <w:rPr>
          <w:rFonts w:hint="cs"/>
          <w:rtl/>
        </w:rPr>
        <w:t xml:space="preserve">و </w:t>
      </w:r>
      <w:r>
        <w:rPr>
          <w:rFonts w:cs="Times New Roman" w:hint="cs"/>
          <w:rtl/>
        </w:rPr>
        <w:t>–</w:t>
      </w:r>
      <w:r>
        <w:rPr>
          <w:rFonts w:hint="cs"/>
          <w:rtl/>
        </w:rPr>
        <w:t xml:space="preserve"> رییس دیوان عدالت اداری</w:t>
      </w:r>
    </w:p>
    <w:p w:rsidR="00350A18" w:rsidRDefault="00350A18" w:rsidP="00350A18">
      <w:pPr>
        <w:pStyle w:val="MT"/>
        <w:rPr>
          <w:rFonts w:hint="cs"/>
          <w:rtl/>
        </w:rPr>
      </w:pPr>
      <w:r>
        <w:rPr>
          <w:rFonts w:hint="cs"/>
          <w:rtl/>
        </w:rPr>
        <w:t xml:space="preserve">ز </w:t>
      </w:r>
      <w:r>
        <w:rPr>
          <w:rFonts w:cs="Times New Roman" w:hint="cs"/>
          <w:rtl/>
        </w:rPr>
        <w:t>–</w:t>
      </w:r>
      <w:r>
        <w:rPr>
          <w:rFonts w:hint="cs"/>
          <w:rtl/>
        </w:rPr>
        <w:t xml:space="preserve"> رییس کمیسیون فرهنگی مجلس شورای اسلامی</w:t>
      </w:r>
    </w:p>
    <w:p w:rsidR="00350A18" w:rsidRDefault="00350A18" w:rsidP="00350A18">
      <w:pPr>
        <w:pStyle w:val="MT"/>
        <w:rPr>
          <w:rFonts w:hint="cs"/>
          <w:rtl/>
        </w:rPr>
      </w:pPr>
      <w:r>
        <w:rPr>
          <w:rFonts w:hint="cs"/>
          <w:rtl/>
        </w:rPr>
        <w:t xml:space="preserve">ح </w:t>
      </w:r>
      <w:r>
        <w:rPr>
          <w:rFonts w:cs="Times New Roman" w:hint="cs"/>
          <w:rtl/>
        </w:rPr>
        <w:t>–</w:t>
      </w:r>
      <w:r>
        <w:rPr>
          <w:rFonts w:hint="cs"/>
          <w:rtl/>
        </w:rPr>
        <w:t xml:space="preserve"> دبیر شورای عالی فناوری اطلاعات کشور</w:t>
      </w:r>
    </w:p>
    <w:p w:rsidR="00350A18" w:rsidRDefault="00350A18" w:rsidP="00350A18">
      <w:pPr>
        <w:pStyle w:val="MT"/>
        <w:rPr>
          <w:rFonts w:hint="cs"/>
          <w:rtl/>
        </w:rPr>
      </w:pPr>
      <w:r>
        <w:rPr>
          <w:rFonts w:hint="cs"/>
          <w:b/>
          <w:bCs/>
          <w:sz w:val="20"/>
          <w:szCs w:val="22"/>
          <w:rtl/>
        </w:rPr>
        <w:t xml:space="preserve">ماده ۲ </w:t>
      </w:r>
      <w:r>
        <w:rPr>
          <w:rFonts w:cs="Times New Roman" w:hint="cs"/>
          <w:b/>
          <w:bCs/>
          <w:sz w:val="20"/>
          <w:szCs w:val="22"/>
          <w:rtl/>
        </w:rPr>
        <w:t>–</w:t>
      </w:r>
      <w:r>
        <w:rPr>
          <w:rFonts w:hint="cs"/>
          <w:rtl/>
        </w:rPr>
        <w:t xml:space="preserve"> جلسات کمیسیون هر دو ماه یک‌بار تشکیل می‌شود و در صورت لزوم با نظر رییس کمیسیون یا سه عضو از اعضا، جلسه فوق‌العاده تشکیل خواهد شد. دستور جلسه حداقل یک هفته قبل از برگزاری جلسات برای اعضا ارسال می‌شود.</w:t>
      </w:r>
    </w:p>
    <w:p w:rsidR="00350A18" w:rsidRDefault="00350A18" w:rsidP="00350A18">
      <w:pPr>
        <w:pStyle w:val="MT"/>
        <w:rPr>
          <w:rFonts w:hint="cs"/>
          <w:rtl/>
        </w:rPr>
      </w:pPr>
      <w:r>
        <w:rPr>
          <w:rFonts w:hint="cs"/>
          <w:b/>
          <w:bCs/>
          <w:sz w:val="20"/>
          <w:szCs w:val="22"/>
          <w:rtl/>
        </w:rPr>
        <w:t>ماده ۳-</w:t>
      </w:r>
      <w:r>
        <w:rPr>
          <w:rFonts w:hint="cs"/>
          <w:rtl/>
        </w:rPr>
        <w:t xml:space="preserve"> جلسات کمیسیون با حضور حداقل پنج عضو از اعضا رسمیت می‌یابد و مصوبات آن با رأی اکثریت حاضران و حداقل چهار رأی معتبر است.</w:t>
      </w:r>
    </w:p>
    <w:p w:rsidR="00350A18" w:rsidRDefault="00350A18" w:rsidP="00350A18">
      <w:pPr>
        <w:pStyle w:val="MT"/>
        <w:rPr>
          <w:rFonts w:hint="cs"/>
          <w:rtl/>
        </w:rPr>
      </w:pPr>
      <w:r>
        <w:rPr>
          <w:rFonts w:hint="cs"/>
          <w:b/>
          <w:bCs/>
          <w:sz w:val="20"/>
          <w:szCs w:val="22"/>
          <w:rtl/>
        </w:rPr>
        <w:t>تبصره ۱-</w:t>
      </w:r>
      <w:r>
        <w:rPr>
          <w:rFonts w:hint="cs"/>
          <w:rtl/>
        </w:rPr>
        <w:t xml:space="preserve"> موضوعات امنیتی و نظامی با حضور عضو ذی‌ربط قابل‌طرح می‌باشد.</w:t>
      </w:r>
    </w:p>
    <w:p w:rsidR="00350A18" w:rsidRDefault="00350A18" w:rsidP="00350A18">
      <w:pPr>
        <w:pStyle w:val="MT"/>
        <w:rPr>
          <w:rFonts w:hint="cs"/>
          <w:rtl/>
        </w:rPr>
      </w:pPr>
      <w:r>
        <w:rPr>
          <w:rFonts w:hint="cs"/>
          <w:b/>
          <w:bCs/>
          <w:sz w:val="20"/>
          <w:szCs w:val="22"/>
          <w:rtl/>
        </w:rPr>
        <w:t>تبصره ۲-</w:t>
      </w:r>
      <w:r>
        <w:rPr>
          <w:rFonts w:hint="cs"/>
          <w:rtl/>
        </w:rPr>
        <w:t xml:space="preserve"> کمیسیون می‌تواند از نمایندگان سایر دستگاه‌ها بدون حق رأی برای شرکت در جلسات دعوت نماید.</w:t>
      </w:r>
    </w:p>
    <w:p w:rsidR="00350A18" w:rsidRDefault="00350A18" w:rsidP="00350A18">
      <w:pPr>
        <w:pStyle w:val="MT"/>
        <w:rPr>
          <w:rFonts w:hint="cs"/>
          <w:rtl/>
        </w:rPr>
      </w:pPr>
      <w:r>
        <w:rPr>
          <w:rFonts w:hint="cs"/>
          <w:b/>
          <w:bCs/>
          <w:sz w:val="20"/>
          <w:szCs w:val="22"/>
          <w:rtl/>
        </w:rPr>
        <w:t>ماده ۴-</w:t>
      </w:r>
      <w:r>
        <w:rPr>
          <w:rFonts w:hint="cs"/>
          <w:rtl/>
        </w:rPr>
        <w:t xml:space="preserve"> مصوبات کمیسیون پس از تأیید رییس‌جمهور برای کلیه اشخاص ارائه‌دهنده خدمات عمومی لازم‌الاجرا است.</w:t>
      </w:r>
    </w:p>
    <w:p w:rsidR="00350A18" w:rsidRDefault="00350A18" w:rsidP="00350A18">
      <w:pPr>
        <w:pStyle w:val="MT"/>
        <w:rPr>
          <w:rFonts w:hint="cs"/>
          <w:rtl/>
        </w:rPr>
      </w:pPr>
      <w:r>
        <w:rPr>
          <w:rFonts w:hint="cs"/>
          <w:b/>
          <w:bCs/>
          <w:sz w:val="20"/>
          <w:szCs w:val="22"/>
          <w:rtl/>
        </w:rPr>
        <w:t xml:space="preserve">تبصره </w:t>
      </w:r>
      <w:r>
        <w:rPr>
          <w:rFonts w:cs="Times New Roman" w:hint="cs"/>
          <w:b/>
          <w:bCs/>
          <w:sz w:val="20"/>
          <w:szCs w:val="22"/>
          <w:rtl/>
        </w:rPr>
        <w:t>–</w:t>
      </w:r>
      <w:r>
        <w:rPr>
          <w:rFonts w:hint="cs"/>
          <w:rtl/>
        </w:rPr>
        <w:t xml:space="preserve"> مؤسسات مزبور موظف‌اند گزارش عملکرد خود را هر سه ماه یک‌بار به دبیرخانه کمیسیون ارائه دهند.</w:t>
      </w:r>
    </w:p>
    <w:p w:rsidR="00350A18" w:rsidRDefault="00350A18" w:rsidP="00350A18">
      <w:pPr>
        <w:pStyle w:val="MT"/>
        <w:rPr>
          <w:rFonts w:hint="cs"/>
          <w:rtl/>
        </w:rPr>
      </w:pPr>
      <w:r>
        <w:rPr>
          <w:rFonts w:hint="cs"/>
          <w:b/>
          <w:bCs/>
          <w:sz w:val="20"/>
          <w:szCs w:val="22"/>
          <w:rtl/>
        </w:rPr>
        <w:t xml:space="preserve">ماده ۵ </w:t>
      </w:r>
      <w:r>
        <w:rPr>
          <w:rFonts w:cs="Times New Roman" w:hint="cs"/>
          <w:b/>
          <w:bCs/>
          <w:sz w:val="20"/>
          <w:szCs w:val="22"/>
          <w:rtl/>
        </w:rPr>
        <w:t>–</w:t>
      </w:r>
      <w:r>
        <w:rPr>
          <w:rFonts w:hint="cs"/>
          <w:rtl/>
        </w:rPr>
        <w:t xml:space="preserve"> کمیسیون موظف است هر ساله گزارش عملکرد خود و میزان رعایت قانون انتشار و دسترسی آزاد به اطلاعات در مؤسسات مشمول قانون را به رییس‌جمهور و مجلس شورای اسلامی تقدیم کند.</w:t>
      </w:r>
    </w:p>
    <w:p w:rsidR="00350A18" w:rsidRDefault="00350A18" w:rsidP="00350A18">
      <w:pPr>
        <w:pStyle w:val="MT"/>
        <w:rPr>
          <w:rFonts w:hint="cs"/>
          <w:rtl/>
        </w:rPr>
      </w:pPr>
      <w:r>
        <w:rPr>
          <w:rFonts w:hint="cs"/>
          <w:b/>
          <w:bCs/>
          <w:sz w:val="20"/>
          <w:szCs w:val="22"/>
          <w:rtl/>
        </w:rPr>
        <w:t>ماده ۶-</w:t>
      </w:r>
      <w:r>
        <w:rPr>
          <w:rFonts w:hint="cs"/>
          <w:rtl/>
        </w:rPr>
        <w:t xml:space="preserve"> کمیسیون می‌تواند جهت انجام وظایف و مسئولیت‌های خود حسب ضرورت نسبت به تشکیل شورای معین متشکل از نمایندگان اعضای کمیسیون و کارگروه‌های تخصصی با استفاده از ظرفیت دستگاه‌های مربوط و کارشناسان ذی‌ربط اقدام نماید.</w:t>
      </w:r>
    </w:p>
    <w:p w:rsidR="00350A18" w:rsidRDefault="00350A18" w:rsidP="00350A18">
      <w:pPr>
        <w:pStyle w:val="MT"/>
        <w:rPr>
          <w:rFonts w:hint="cs"/>
          <w:rtl/>
        </w:rPr>
      </w:pPr>
      <w:r>
        <w:rPr>
          <w:rFonts w:hint="cs"/>
          <w:b/>
          <w:bCs/>
          <w:sz w:val="20"/>
          <w:szCs w:val="22"/>
          <w:rtl/>
        </w:rPr>
        <w:t>ماده ۷-</w:t>
      </w:r>
      <w:r>
        <w:rPr>
          <w:rFonts w:hint="cs"/>
          <w:rtl/>
        </w:rPr>
        <w:t xml:space="preserve"> وظایف رییس کمیسیون به شرح زیر است:</w:t>
      </w:r>
    </w:p>
    <w:p w:rsidR="00350A18" w:rsidRDefault="00350A18" w:rsidP="00350A18">
      <w:pPr>
        <w:pStyle w:val="MT"/>
        <w:rPr>
          <w:rFonts w:hint="cs"/>
          <w:rtl/>
        </w:rPr>
      </w:pPr>
      <w:r>
        <w:rPr>
          <w:rFonts w:hint="cs"/>
          <w:rtl/>
        </w:rPr>
        <w:t>الف- اداره جلسات کمیسیون</w:t>
      </w:r>
    </w:p>
    <w:p w:rsidR="00350A18" w:rsidRDefault="00350A18" w:rsidP="00350A18">
      <w:pPr>
        <w:pStyle w:val="MT"/>
        <w:rPr>
          <w:rFonts w:hint="cs"/>
          <w:rtl/>
        </w:rPr>
      </w:pPr>
      <w:r>
        <w:rPr>
          <w:rFonts w:hint="cs"/>
          <w:rtl/>
        </w:rPr>
        <w:t>ب- ابلاغ مصوبات پس از تأیید رییس‌جمهور</w:t>
      </w:r>
    </w:p>
    <w:p w:rsidR="00350A18" w:rsidRDefault="00350A18" w:rsidP="00350A18">
      <w:pPr>
        <w:pStyle w:val="MT"/>
        <w:rPr>
          <w:rFonts w:hint="cs"/>
          <w:rtl/>
        </w:rPr>
      </w:pPr>
      <w:r>
        <w:rPr>
          <w:rFonts w:hint="cs"/>
          <w:rtl/>
        </w:rPr>
        <w:t>ج- صدور احکام رؤسای شورای معین و کارگروه‌های تخصصی</w:t>
      </w:r>
    </w:p>
    <w:p w:rsidR="00350A18" w:rsidRDefault="00350A18" w:rsidP="00350A18">
      <w:pPr>
        <w:pStyle w:val="MT"/>
        <w:rPr>
          <w:rFonts w:hint="cs"/>
          <w:rtl/>
        </w:rPr>
      </w:pPr>
      <w:r>
        <w:rPr>
          <w:rFonts w:hint="cs"/>
          <w:rtl/>
        </w:rPr>
        <w:lastRenderedPageBreak/>
        <w:t>د- ارسال گزارش عملکرد سالانه کمیسیون به مراجع ذی‌ربط</w:t>
      </w:r>
    </w:p>
    <w:p w:rsidR="00350A18" w:rsidRDefault="00350A18" w:rsidP="00350A18">
      <w:pPr>
        <w:pStyle w:val="MT"/>
        <w:rPr>
          <w:rFonts w:hint="cs"/>
          <w:rtl/>
        </w:rPr>
      </w:pPr>
      <w:r>
        <w:rPr>
          <w:rFonts w:hint="cs"/>
          <w:rtl/>
        </w:rPr>
        <w:t>هـ- انتصاب دبیر کمیسیون</w:t>
      </w:r>
    </w:p>
    <w:p w:rsidR="00350A18" w:rsidRDefault="00350A18" w:rsidP="00350A18">
      <w:pPr>
        <w:pStyle w:val="MT"/>
        <w:rPr>
          <w:rFonts w:hint="cs"/>
          <w:rtl/>
        </w:rPr>
      </w:pPr>
      <w:r>
        <w:rPr>
          <w:rFonts w:hint="cs"/>
          <w:b/>
          <w:bCs/>
          <w:sz w:val="20"/>
          <w:szCs w:val="22"/>
          <w:rtl/>
        </w:rPr>
        <w:t>ماده ۸-</w:t>
      </w:r>
      <w:r>
        <w:rPr>
          <w:rFonts w:hint="cs"/>
          <w:rtl/>
        </w:rPr>
        <w:t xml:space="preserve"> دبیرخانه کمیسیون در وزارت فرهنگ و ارشاد اسلامی مستقر می‌گردد و می‌تواند نیروی اداری موردنیاز خود را متناسب با حجم کار و با رعایت قوانین و مقررات مربوط به‌کارگیری نماید.</w:t>
      </w:r>
    </w:p>
    <w:p w:rsidR="00350A18" w:rsidRDefault="00350A18" w:rsidP="00350A18">
      <w:pPr>
        <w:pStyle w:val="MT"/>
        <w:rPr>
          <w:rFonts w:hint="cs"/>
          <w:rtl/>
        </w:rPr>
      </w:pPr>
      <w:r>
        <w:rPr>
          <w:rFonts w:hint="cs"/>
          <w:b/>
          <w:bCs/>
          <w:sz w:val="20"/>
          <w:szCs w:val="22"/>
          <w:rtl/>
        </w:rPr>
        <w:t>ماده ۹-</w:t>
      </w:r>
      <w:r>
        <w:rPr>
          <w:rFonts w:hint="cs"/>
          <w:rtl/>
        </w:rPr>
        <w:t xml:space="preserve"> وظایف دبیرخانه عبارت است از:</w:t>
      </w:r>
    </w:p>
    <w:p w:rsidR="00350A18" w:rsidRDefault="00350A18" w:rsidP="00350A18">
      <w:pPr>
        <w:pStyle w:val="MT"/>
        <w:rPr>
          <w:rFonts w:hint="cs"/>
          <w:rtl/>
        </w:rPr>
      </w:pPr>
      <w:r>
        <w:rPr>
          <w:rFonts w:hint="cs"/>
          <w:rtl/>
        </w:rPr>
        <w:t>الف- تهیه دستور جلسات با هماهنگی رییس کمیسیون</w:t>
      </w:r>
    </w:p>
    <w:p w:rsidR="00350A18" w:rsidRDefault="00350A18" w:rsidP="00350A18">
      <w:pPr>
        <w:pStyle w:val="MT"/>
        <w:rPr>
          <w:rFonts w:hint="cs"/>
          <w:rtl/>
        </w:rPr>
      </w:pPr>
      <w:r>
        <w:rPr>
          <w:rFonts w:hint="cs"/>
          <w:rtl/>
        </w:rPr>
        <w:t>ب- تدوین صورت‌جلسات و مصوبات کمیسیون</w:t>
      </w:r>
    </w:p>
    <w:p w:rsidR="00350A18" w:rsidRDefault="00350A18" w:rsidP="00350A18">
      <w:pPr>
        <w:pStyle w:val="MT"/>
        <w:rPr>
          <w:rFonts w:hint="cs"/>
          <w:rtl/>
        </w:rPr>
      </w:pPr>
      <w:r>
        <w:rPr>
          <w:rFonts w:hint="cs"/>
          <w:rtl/>
        </w:rPr>
        <w:t>ج- پیگیری تشکیل شورای معین و کارگروه‌های تخصصی با استفاده از ظرفیت دستگاه‌های عضو</w:t>
      </w:r>
    </w:p>
    <w:p w:rsidR="00350A18" w:rsidRDefault="00350A18" w:rsidP="00350A18">
      <w:pPr>
        <w:pStyle w:val="MT"/>
        <w:rPr>
          <w:rFonts w:hint="cs"/>
          <w:rtl/>
        </w:rPr>
      </w:pPr>
      <w:r>
        <w:rPr>
          <w:rFonts w:hint="cs"/>
          <w:rtl/>
        </w:rPr>
        <w:t>د- اطلاع‌رسانی برنامه‌ها و تصمیمات با هماهنگی رییس کمیسیون</w:t>
      </w:r>
    </w:p>
    <w:p w:rsidR="00350A18" w:rsidRDefault="00350A18" w:rsidP="00350A18">
      <w:pPr>
        <w:pStyle w:val="MT"/>
        <w:rPr>
          <w:rFonts w:hint="cs"/>
          <w:rtl/>
        </w:rPr>
      </w:pPr>
      <w:r>
        <w:rPr>
          <w:rFonts w:hint="cs"/>
          <w:rtl/>
        </w:rPr>
        <w:t>هـ- شرکت در جلسات مرتبط با وظایف کمیسیون</w:t>
      </w:r>
    </w:p>
    <w:p w:rsidR="00350A18" w:rsidRDefault="00350A18" w:rsidP="00350A18">
      <w:pPr>
        <w:pStyle w:val="MT"/>
        <w:rPr>
          <w:rFonts w:hint="cs"/>
          <w:rtl/>
        </w:rPr>
      </w:pPr>
      <w:r>
        <w:rPr>
          <w:rFonts w:hint="cs"/>
          <w:rtl/>
        </w:rPr>
        <w:t>و- هماهنگی با دستگاه‌های اجرایی برای ایجاد وحدت رویه در اجرای قانون</w:t>
      </w:r>
    </w:p>
    <w:p w:rsidR="00350A18" w:rsidRDefault="00350A18" w:rsidP="00350A18">
      <w:pPr>
        <w:pStyle w:val="MT"/>
        <w:rPr>
          <w:rFonts w:hint="cs"/>
          <w:rtl/>
        </w:rPr>
      </w:pPr>
      <w:r>
        <w:rPr>
          <w:rFonts w:hint="cs"/>
          <w:rtl/>
        </w:rPr>
        <w:t>ز- ثبت و پیگیری شکایات اشخاص حقیقی و حقوقی موضوع قانون</w:t>
      </w:r>
    </w:p>
    <w:p w:rsidR="00350A18" w:rsidRDefault="00350A18" w:rsidP="00350A18">
      <w:pPr>
        <w:pStyle w:val="MT"/>
        <w:rPr>
          <w:rFonts w:hint="cs"/>
          <w:rtl/>
        </w:rPr>
      </w:pPr>
      <w:r>
        <w:rPr>
          <w:rFonts w:hint="cs"/>
          <w:rtl/>
        </w:rPr>
        <w:t>ح- تدوین گزارش سالیانه برای رییس‌جمهور و مجلس شورای اسلامی</w:t>
      </w:r>
    </w:p>
    <w:p w:rsidR="00350A18" w:rsidRDefault="00350A18" w:rsidP="00350A18">
      <w:pPr>
        <w:pStyle w:val="MT"/>
        <w:rPr>
          <w:rFonts w:hint="cs"/>
          <w:rtl/>
        </w:rPr>
      </w:pPr>
      <w:r>
        <w:rPr>
          <w:rFonts w:hint="cs"/>
          <w:rtl/>
        </w:rPr>
        <w:t xml:space="preserve">ط- تدوین و اجرای برنامه‌های فرهنگی </w:t>
      </w:r>
      <w:r>
        <w:rPr>
          <w:rFonts w:cs="Times New Roman" w:hint="cs"/>
          <w:rtl/>
        </w:rPr>
        <w:t>–</w:t>
      </w:r>
      <w:r>
        <w:rPr>
          <w:rFonts w:hint="cs"/>
          <w:rtl/>
        </w:rPr>
        <w:t xml:space="preserve"> تبلیغی به‌منظور فرهنگ‌سازی مناسب</w:t>
      </w:r>
    </w:p>
    <w:p w:rsidR="00350A18" w:rsidRDefault="00350A18" w:rsidP="00350A18">
      <w:pPr>
        <w:pStyle w:val="MT"/>
        <w:rPr>
          <w:rFonts w:hint="cs"/>
          <w:rtl/>
        </w:rPr>
      </w:pPr>
      <w:r>
        <w:rPr>
          <w:rFonts w:hint="cs"/>
          <w:rtl/>
        </w:rPr>
        <w:t>ی- پیگیری و اجرای تصمیمات کمیسیون</w:t>
      </w:r>
    </w:p>
    <w:p w:rsidR="00350A18" w:rsidRDefault="00350A18" w:rsidP="00350A18">
      <w:pPr>
        <w:pStyle w:val="MT"/>
        <w:rPr>
          <w:rFonts w:hint="cs"/>
          <w:rtl/>
        </w:rPr>
      </w:pPr>
      <w:r>
        <w:rPr>
          <w:rFonts w:hint="cs"/>
          <w:rtl/>
        </w:rPr>
        <w:t>ک- انجام سایر امور محوله از طرف رییس کمیسیون</w:t>
      </w:r>
    </w:p>
    <w:p w:rsidR="00350A18" w:rsidRDefault="00350A18" w:rsidP="00350A18">
      <w:pPr>
        <w:pStyle w:val="MT"/>
        <w:rPr>
          <w:rFonts w:hint="cs"/>
          <w:rtl/>
        </w:rPr>
      </w:pPr>
      <w:r>
        <w:rPr>
          <w:rFonts w:hint="cs"/>
          <w:b/>
          <w:bCs/>
          <w:sz w:val="20"/>
          <w:szCs w:val="22"/>
          <w:rtl/>
        </w:rPr>
        <w:t xml:space="preserve">تبصره </w:t>
      </w:r>
      <w:r>
        <w:rPr>
          <w:rFonts w:cs="Times New Roman" w:hint="cs"/>
          <w:rtl/>
        </w:rPr>
        <w:t>–</w:t>
      </w:r>
      <w:r>
        <w:rPr>
          <w:rFonts w:hint="cs"/>
          <w:rtl/>
        </w:rPr>
        <w:t xml:space="preserve"> دبیرخانه می‌تواند به‌منظور انجام وظایف کارشناسی کمیسیون، از خدمات مشاوره و پژوهشی استفاده نماید.</w:t>
      </w:r>
    </w:p>
    <w:p w:rsidR="00BB6CCA" w:rsidRPr="00350A18" w:rsidRDefault="00350A18" w:rsidP="00350A18">
      <w:pPr>
        <w:bidi/>
      </w:pPr>
      <w:r>
        <w:rPr>
          <w:rFonts w:hint="cs"/>
          <w:b/>
          <w:bCs/>
          <w:sz w:val="20"/>
          <w:rtl/>
        </w:rPr>
        <w:t>ماده ۱۰-</w:t>
      </w:r>
      <w:r>
        <w:rPr>
          <w:rFonts w:hint="cs"/>
          <w:rtl/>
        </w:rPr>
        <w:t xml:space="preserve"> سازمان مدیریت و برنامه‌ریزی کشور موظف است هزینه‌های مربوط به دبیرخانه را در بودجه سالیانه وزارت فرهنگ و ارشاد اسلامی پیش‌بینی نماید.</w:t>
      </w:r>
      <w:bookmarkEnd w:id="2"/>
    </w:p>
    <w:sectPr w:rsidR="00BB6CCA" w:rsidRPr="00350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A21" w:rsidRDefault="00E27A21" w:rsidP="00AB17CF">
      <w:pPr>
        <w:spacing w:after="0" w:line="240" w:lineRule="auto"/>
      </w:pPr>
      <w:r>
        <w:separator/>
      </w:r>
    </w:p>
  </w:endnote>
  <w:endnote w:type="continuationSeparator" w:id="0">
    <w:p w:rsidR="00E27A21" w:rsidRDefault="00E27A21"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A21" w:rsidRDefault="00E27A21" w:rsidP="00AB17CF">
      <w:pPr>
        <w:spacing w:after="0" w:line="240" w:lineRule="auto"/>
      </w:pPr>
      <w:r>
        <w:separator/>
      </w:r>
    </w:p>
  </w:footnote>
  <w:footnote w:type="continuationSeparator" w:id="0">
    <w:p w:rsidR="00E27A21" w:rsidRDefault="00E27A21"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92530"/>
    <w:rsid w:val="000C3340"/>
    <w:rsid w:val="000F4E60"/>
    <w:rsid w:val="000F62FD"/>
    <w:rsid w:val="00151638"/>
    <w:rsid w:val="00171295"/>
    <w:rsid w:val="00181451"/>
    <w:rsid w:val="00183840"/>
    <w:rsid w:val="001F2F8A"/>
    <w:rsid w:val="00252E4D"/>
    <w:rsid w:val="002E3B02"/>
    <w:rsid w:val="003067EF"/>
    <w:rsid w:val="003318E8"/>
    <w:rsid w:val="00350A18"/>
    <w:rsid w:val="0036763B"/>
    <w:rsid w:val="003E5967"/>
    <w:rsid w:val="00430560"/>
    <w:rsid w:val="00432ADD"/>
    <w:rsid w:val="004568B4"/>
    <w:rsid w:val="004E20D2"/>
    <w:rsid w:val="00547B3E"/>
    <w:rsid w:val="005C1EA7"/>
    <w:rsid w:val="005F0350"/>
    <w:rsid w:val="00610FB7"/>
    <w:rsid w:val="00644AFA"/>
    <w:rsid w:val="00646288"/>
    <w:rsid w:val="006B62F4"/>
    <w:rsid w:val="006E6119"/>
    <w:rsid w:val="007131CD"/>
    <w:rsid w:val="00734A1A"/>
    <w:rsid w:val="0073666D"/>
    <w:rsid w:val="007A42DD"/>
    <w:rsid w:val="007C2039"/>
    <w:rsid w:val="007F76D7"/>
    <w:rsid w:val="008900B8"/>
    <w:rsid w:val="008A4B8C"/>
    <w:rsid w:val="00935598"/>
    <w:rsid w:val="00941BC7"/>
    <w:rsid w:val="009634C9"/>
    <w:rsid w:val="00AB17CF"/>
    <w:rsid w:val="00AE67D8"/>
    <w:rsid w:val="00B02CD4"/>
    <w:rsid w:val="00BB6CCA"/>
    <w:rsid w:val="00BC6E82"/>
    <w:rsid w:val="00BD21DA"/>
    <w:rsid w:val="00C75D47"/>
    <w:rsid w:val="00D207FB"/>
    <w:rsid w:val="00D73008"/>
    <w:rsid w:val="00DE0632"/>
    <w:rsid w:val="00DE30FA"/>
    <w:rsid w:val="00DF21A3"/>
    <w:rsid w:val="00E1329F"/>
    <w:rsid w:val="00E27A21"/>
    <w:rsid w:val="00E66D84"/>
    <w:rsid w:val="00E9253F"/>
    <w:rsid w:val="00EF6E0A"/>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1164395676">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2021-07-23T13:02:00Z</dcterms:created>
  <dcterms:modified xsi:type="dcterms:W3CDTF">2021-07-23T13:02:00Z</dcterms:modified>
</cp:coreProperties>
</file>