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C3A" w:rsidRDefault="00072C3A" w:rsidP="00072C3A">
      <w:pPr>
        <w:pStyle w:val="a"/>
      </w:pPr>
      <w:bookmarkStart w:id="0" w:name="_Toc506679583"/>
      <w:bookmarkStart w:id="1" w:name="_Toc506594942"/>
      <w:bookmarkStart w:id="2" w:name="_Toc506358474"/>
      <w:bookmarkStart w:id="3" w:name="_Toc485021866"/>
      <w:bookmarkStart w:id="4" w:name="_Toc450724314"/>
      <w:bookmarkStart w:id="5" w:name="_Toc415946967"/>
      <w:bookmarkStart w:id="6" w:name="_Toc333424298"/>
      <w:bookmarkStart w:id="7" w:name="_Toc332569503"/>
      <w:bookmarkStart w:id="8" w:name="_Toc331970426"/>
      <w:bookmarkStart w:id="9" w:name="_Toc331838842"/>
      <w:bookmarkStart w:id="10" w:name="_Toc330850221"/>
      <w:bookmarkStart w:id="11" w:name="_Toc330251015"/>
      <w:bookmarkStart w:id="12" w:name="_Toc357842129"/>
      <w:bookmarkStart w:id="13" w:name="_Toc356656437"/>
      <w:bookmarkStart w:id="14" w:name="_GoBack"/>
      <w:r>
        <w:rPr>
          <w:rFonts w:hint="cs"/>
          <w:rtl/>
        </w:rPr>
        <w:t>اساسنامه مركز توسعه تجارت الكترونیكی مصوبه شماره 1</w:t>
      </w:r>
      <w:r>
        <w:rPr>
          <w:rFonts w:hint="cs"/>
          <w:rtl/>
          <w:lang w:bidi="fa-IR"/>
        </w:rPr>
        <w:t>۵</w:t>
      </w:r>
      <w:r>
        <w:rPr>
          <w:rFonts w:hint="cs"/>
          <w:rtl/>
        </w:rPr>
        <w:t>1734</w:t>
      </w:r>
      <w:r>
        <w:t>/</w:t>
      </w:r>
      <w:r>
        <w:rPr>
          <w:rFonts w:hint="cs"/>
          <w:rtl/>
        </w:rPr>
        <w:t>ت 32</w:t>
      </w:r>
      <w:r>
        <w:rPr>
          <w:rFonts w:hint="cs"/>
          <w:rtl/>
          <w:lang w:bidi="fa-IR"/>
        </w:rPr>
        <w:t>۵</w:t>
      </w:r>
      <w:r>
        <w:rPr>
          <w:rFonts w:hint="cs"/>
          <w:rtl/>
        </w:rPr>
        <w:t>6</w:t>
      </w:r>
      <w:r>
        <w:rPr>
          <w:rFonts w:hint="cs"/>
          <w:rtl/>
          <w:lang w:bidi="fa-IR"/>
        </w:rPr>
        <w:t xml:space="preserve">۵ </w:t>
      </w:r>
      <w:r>
        <w:rPr>
          <w:rFonts w:hint="cs"/>
          <w:rtl/>
        </w:rPr>
        <w:t>ه‍ مورخ 29/7/1388 هیئت‌وزیران با اعمال اصلاحات</w:t>
      </w:r>
      <w:bookmarkEnd w:id="0"/>
      <w:bookmarkEnd w:id="1"/>
      <w:bookmarkEnd w:id="2"/>
      <w:bookmarkEnd w:id="3"/>
      <w:bookmarkEnd w:id="4"/>
      <w:bookmarkEnd w:id="5"/>
      <w:bookmarkEnd w:id="6"/>
      <w:bookmarkEnd w:id="7"/>
      <w:bookmarkEnd w:id="8"/>
      <w:bookmarkEnd w:id="9"/>
      <w:bookmarkEnd w:id="10"/>
      <w:bookmarkEnd w:id="11"/>
      <w:bookmarkEnd w:id="12"/>
      <w:bookmarkEnd w:id="13"/>
    </w:p>
    <w:p w:rsidR="00072C3A" w:rsidRDefault="00072C3A" w:rsidP="00072C3A">
      <w:pPr>
        <w:pStyle w:val="MT"/>
        <w:jc w:val="center"/>
      </w:pPr>
      <w:r>
        <w:rPr>
          <w:rFonts w:hint="cs"/>
          <w:rtl/>
        </w:rPr>
        <w:t>وزارت بازرگانی - معاونت توسعه مدیریت و سرمایه انسانی رییس‌جمهور</w:t>
      </w:r>
    </w:p>
    <w:p w:rsidR="00072C3A" w:rsidRDefault="00072C3A" w:rsidP="00072C3A">
      <w:pPr>
        <w:pStyle w:val="MT"/>
        <w:rPr>
          <w:rFonts w:hint="cs"/>
          <w:rtl/>
        </w:rPr>
      </w:pPr>
      <w:r>
        <w:rPr>
          <w:rFonts w:hint="cs"/>
          <w:rtl/>
        </w:rPr>
        <w:t>هیئت‌وزیران در جلسه مورخ 4/6/1388 بنا به پیشنهاد مشترك وزارت بازرگانی و معاونت توسعه مدیریت و سرمایه انسانی رییس‌جمهور و به استناد ماده (80) قانون تجارت الكترونیكی - مصوب 1382 - اساسنامه مركز توسعه تجارت الكترونیكی را به شرح زیر تصویب نمود:</w:t>
      </w:r>
    </w:p>
    <w:p w:rsidR="00072C3A" w:rsidRDefault="00072C3A" w:rsidP="00072C3A">
      <w:pPr>
        <w:pStyle w:val="MT"/>
        <w:rPr>
          <w:rFonts w:hint="cs"/>
          <w:rtl/>
        </w:rPr>
      </w:pPr>
      <w:r>
        <w:rPr>
          <w:rFonts w:hint="cs"/>
          <w:bCs/>
          <w:szCs w:val="22"/>
          <w:rtl/>
        </w:rPr>
        <w:t xml:space="preserve">ماده 1- (17/1/1390) - </w:t>
      </w:r>
      <w:r>
        <w:rPr>
          <w:rFonts w:hint="cs"/>
          <w:rtl/>
        </w:rPr>
        <w:t>به‌منظور نظارت بر حُسن اجرای قانون تجارت الكترونیكی - مصوب 1382، استقرار، پیاده‌سازی و توسعه تجارت الكترونیكی در كشور با استفاده از ابزارها و استانداردهای ملی و بین‌المللی و با عنایت به فرهنگ ایرانی و اسلامی و حمایت از فعالیت‌های تجارت الكترونیكی و ارتقای سطح كاربرد فناوری اطلاعات و ارتباطات در اقتصاد و بازرگانی، مركز توسعه تجارت الكترونیكی كه از این پس در این اساسنامه به‌اختصار «مركز» نامیده می‌شود، از تجمیع، مركز دولتی صدور گواهی الكترونیكی ریشه و كمیته ملی ادیفكت تشكیل و تمامی وظایف، اختیارات، دارایی‌ها، تعهدات و نیروی انسانی وزارت بازرگانی در حوزه تجارت الكترونیكی و مراكز یادشده و همچنین وظایف حاكمیتی مركز ملی شماره‌گذاری كالا و خدمات ایران، به مركز منتقل می‌شود.</w:t>
      </w:r>
    </w:p>
    <w:p w:rsidR="00072C3A" w:rsidRDefault="00072C3A" w:rsidP="00072C3A">
      <w:pPr>
        <w:pStyle w:val="MT"/>
      </w:pPr>
      <w:r>
        <w:rPr>
          <w:rFonts w:hint="cs"/>
          <w:bCs/>
          <w:szCs w:val="22"/>
          <w:rtl/>
        </w:rPr>
        <w:t xml:space="preserve">ماده 2 - </w:t>
      </w:r>
      <w:r>
        <w:rPr>
          <w:rFonts w:hint="cs"/>
          <w:rtl/>
        </w:rPr>
        <w:t>مركز دارای شخصیت حقوقی مستقل بوده و به‌صورت مؤسسه دولتی وابسته به وزارت بازرگانی خواهد بود و با رعایت قوانین و مقررات مربوط و این اساسنامه اداره می‌شود.</w:t>
      </w:r>
    </w:p>
    <w:p w:rsidR="00072C3A" w:rsidRDefault="00072C3A" w:rsidP="00072C3A">
      <w:pPr>
        <w:pStyle w:val="MT"/>
      </w:pPr>
      <w:r>
        <w:rPr>
          <w:rFonts w:hint="cs"/>
          <w:bCs/>
          <w:szCs w:val="22"/>
          <w:rtl/>
        </w:rPr>
        <w:t>ماده 3 -</w:t>
      </w:r>
      <w:r>
        <w:rPr>
          <w:rFonts w:hint="cs"/>
          <w:bCs/>
          <w:sz w:val="24"/>
          <w:rtl/>
        </w:rPr>
        <w:t xml:space="preserve"> </w:t>
      </w:r>
      <w:r>
        <w:rPr>
          <w:rFonts w:hint="cs"/>
          <w:rtl/>
        </w:rPr>
        <w:t>وظایف مركز عبارت است از:</w:t>
      </w:r>
    </w:p>
    <w:p w:rsidR="00072C3A" w:rsidRDefault="00072C3A" w:rsidP="00072C3A">
      <w:pPr>
        <w:pStyle w:val="MT"/>
      </w:pPr>
      <w:r>
        <w:rPr>
          <w:rFonts w:hint="cs"/>
          <w:rtl/>
        </w:rPr>
        <w:t>1 - برنامه‌ریزی، ارائه راهكارها، پشتیبانی و نظارت به‌منظور:</w:t>
      </w:r>
    </w:p>
    <w:p w:rsidR="00072C3A" w:rsidRDefault="00072C3A" w:rsidP="00072C3A">
      <w:pPr>
        <w:pStyle w:val="MT"/>
      </w:pPr>
      <w:r>
        <w:rPr>
          <w:rFonts w:hint="cs"/>
          <w:rtl/>
        </w:rPr>
        <w:t>الف - بهره‌برداری از بسترها، راهبردها و نوآوری تجارت الكترونیكی در سطح كشور.</w:t>
      </w:r>
    </w:p>
    <w:p w:rsidR="00072C3A" w:rsidRDefault="00072C3A" w:rsidP="00072C3A">
      <w:pPr>
        <w:pStyle w:val="MT"/>
      </w:pPr>
      <w:r>
        <w:rPr>
          <w:rFonts w:hint="cs"/>
          <w:rtl/>
        </w:rPr>
        <w:t>ب - ارائه تسهیلات و حمایت از ایجاد و توسعه زیرساخت‌های فنی، سرمایه‌های انسانی، قانونی، حاكمیتی و امنیتی توسعه تجارت الكترونیكی.</w:t>
      </w:r>
    </w:p>
    <w:p w:rsidR="00072C3A" w:rsidRDefault="00072C3A" w:rsidP="00072C3A">
      <w:pPr>
        <w:pStyle w:val="MT"/>
      </w:pPr>
      <w:r>
        <w:rPr>
          <w:rFonts w:hint="cs"/>
          <w:rtl/>
        </w:rPr>
        <w:t>پ - فرهنگ‌سازی و آموزش جهت توسعه و ترویج استفاده از تجارت الكترونیك در فرایندهای کسب‌وکار مبتنی بر استانداردهای ملی و بین‌المللی.</w:t>
      </w:r>
    </w:p>
    <w:p w:rsidR="00072C3A" w:rsidRDefault="00072C3A" w:rsidP="00072C3A">
      <w:pPr>
        <w:pStyle w:val="MT"/>
      </w:pPr>
      <w:r>
        <w:rPr>
          <w:rFonts w:hint="cs"/>
          <w:rtl/>
        </w:rPr>
        <w:t>ت - توسعه كاربردها نوآوری‌ها در جهت دست‌یابی به منافع تجارت الكترونیكی در اقتصاد كشور.</w:t>
      </w:r>
    </w:p>
    <w:p w:rsidR="00072C3A" w:rsidRDefault="00072C3A" w:rsidP="00072C3A">
      <w:pPr>
        <w:pStyle w:val="MT"/>
      </w:pPr>
      <w:r>
        <w:rPr>
          <w:rFonts w:hint="cs"/>
          <w:rtl/>
        </w:rPr>
        <w:t>ث - توسعه فعالیت‌های تداركاتی و معاملاتی به‌صورت تجارت الكترونیكی.</w:t>
      </w:r>
    </w:p>
    <w:p w:rsidR="00072C3A" w:rsidRDefault="00072C3A" w:rsidP="00072C3A">
      <w:pPr>
        <w:pStyle w:val="MT"/>
      </w:pPr>
      <w:r>
        <w:rPr>
          <w:rFonts w:hint="cs"/>
          <w:rtl/>
        </w:rPr>
        <w:t>ج - استانداردسازی فعالیت‌های اطلاع‌رسانی تجاری.</w:t>
      </w:r>
    </w:p>
    <w:p w:rsidR="00072C3A" w:rsidRDefault="00072C3A" w:rsidP="00072C3A">
      <w:pPr>
        <w:pStyle w:val="MT"/>
      </w:pPr>
      <w:r>
        <w:rPr>
          <w:rFonts w:hint="cs"/>
          <w:rtl/>
        </w:rPr>
        <w:t>چ - حمایت از گسترش بازارهای دادوستد الكترونیكی.</w:t>
      </w:r>
    </w:p>
    <w:p w:rsidR="00072C3A" w:rsidRDefault="00072C3A" w:rsidP="00072C3A">
      <w:pPr>
        <w:pStyle w:val="MT"/>
      </w:pPr>
      <w:r>
        <w:rPr>
          <w:rFonts w:hint="cs"/>
          <w:rtl/>
        </w:rPr>
        <w:t>ح - ساماندهی فعالیت ایستگاه‌های تجارت الكترونیكی كشور.</w:t>
      </w:r>
    </w:p>
    <w:p w:rsidR="00072C3A" w:rsidRDefault="00072C3A" w:rsidP="00072C3A">
      <w:pPr>
        <w:pStyle w:val="MT"/>
      </w:pPr>
      <w:r>
        <w:rPr>
          <w:rFonts w:hint="cs"/>
          <w:rtl/>
        </w:rPr>
        <w:t>خ - فراهم‌سازی زمینه تعاملات ملی و بین‌المللی در تجارت الكترونیكی.</w:t>
      </w:r>
    </w:p>
    <w:p w:rsidR="00072C3A" w:rsidRDefault="00072C3A" w:rsidP="00072C3A">
      <w:pPr>
        <w:pStyle w:val="MT"/>
      </w:pPr>
      <w:r>
        <w:rPr>
          <w:rFonts w:hint="cs"/>
          <w:rtl/>
        </w:rPr>
        <w:t>د - تسهیل تجارت از طریق استفاده از ابزارها، مدل‌ها و استانداردهای تجارت الكترونیكی ملی و بین‌المللی و ایجاد پنجره واحد تجاری.</w:t>
      </w:r>
    </w:p>
    <w:p w:rsidR="00072C3A" w:rsidRDefault="00072C3A" w:rsidP="00072C3A">
      <w:pPr>
        <w:pStyle w:val="MT"/>
      </w:pPr>
      <w:r>
        <w:rPr>
          <w:rFonts w:hint="cs"/>
          <w:rtl/>
        </w:rPr>
        <w:t>2 - بررسی زمینه‌های مرتبط با تجارت الكترونیكی و ارائه پیشنهادات لازم جهت تأیید مراجع ذ‌‌ی‌صلاح.</w:t>
      </w:r>
    </w:p>
    <w:p w:rsidR="00072C3A" w:rsidRDefault="00072C3A" w:rsidP="00072C3A">
      <w:pPr>
        <w:pStyle w:val="MT"/>
        <w:rPr>
          <w:spacing w:val="-8"/>
        </w:rPr>
      </w:pPr>
      <w:r>
        <w:rPr>
          <w:rFonts w:hint="cs"/>
          <w:spacing w:val="-8"/>
          <w:rtl/>
        </w:rPr>
        <w:t>3 - تدوین مقررات، استانداردها و ضوابط مربوط به تجارت الكترونیكی و پیشنهاد به مراجع ذ‌‌ی‌صلاح جهت تصویب.</w:t>
      </w:r>
    </w:p>
    <w:p w:rsidR="00072C3A" w:rsidRDefault="00072C3A" w:rsidP="00072C3A">
      <w:pPr>
        <w:pStyle w:val="MT"/>
        <w:rPr>
          <w:spacing w:val="-8"/>
        </w:rPr>
      </w:pPr>
      <w:r>
        <w:rPr>
          <w:rFonts w:hint="cs"/>
          <w:spacing w:val="-8"/>
          <w:rtl/>
        </w:rPr>
        <w:t>4 - تدوین و نظارت بر اجرای ضوابط و مقررات استاندارد و یكپارچه در حوزه اطلاع‌رسانی تجاری به صورت الكترونیكی.</w:t>
      </w:r>
    </w:p>
    <w:p w:rsidR="00072C3A" w:rsidRDefault="00072C3A" w:rsidP="00072C3A">
      <w:pPr>
        <w:pStyle w:val="MT"/>
        <w:rPr>
          <w:spacing w:val="-4"/>
        </w:rPr>
      </w:pPr>
      <w:r>
        <w:rPr>
          <w:rFonts w:hint="cs"/>
          <w:spacing w:val="-4"/>
          <w:rtl/>
        </w:rPr>
        <w:t>۵ - ایجاد، نگهداری و پشتیبانی از مركز داده بخش بازرگانی در چهارچوب نظام جامع فناوری اطلاعات كشور.</w:t>
      </w:r>
    </w:p>
    <w:p w:rsidR="00072C3A" w:rsidRDefault="00072C3A" w:rsidP="00072C3A">
      <w:pPr>
        <w:pStyle w:val="MT"/>
      </w:pPr>
      <w:r>
        <w:rPr>
          <w:rFonts w:hint="cs"/>
          <w:rtl/>
        </w:rPr>
        <w:t>6 - همكاری و تعامل با مراجع و سازمان‌های بین‌المللی و منطقه‌ای ذی‌ربط.</w:t>
      </w:r>
    </w:p>
    <w:p w:rsidR="00072C3A" w:rsidRDefault="00072C3A" w:rsidP="00072C3A">
      <w:pPr>
        <w:pStyle w:val="MT"/>
      </w:pPr>
      <w:r>
        <w:rPr>
          <w:rFonts w:hint="cs"/>
          <w:rtl/>
        </w:rPr>
        <w:lastRenderedPageBreak/>
        <w:t>7 - ارائه خدمات صدور گواهی الكترونیكی كشور.</w:t>
      </w:r>
    </w:p>
    <w:p w:rsidR="00072C3A" w:rsidRDefault="00072C3A" w:rsidP="00072C3A">
      <w:pPr>
        <w:pStyle w:val="MT"/>
      </w:pPr>
      <w:r>
        <w:rPr>
          <w:rFonts w:hint="cs"/>
          <w:rtl/>
        </w:rPr>
        <w:t xml:space="preserve">8 - </w:t>
      </w:r>
      <w:r>
        <w:rPr>
          <w:rFonts w:hint="cs"/>
          <w:b/>
          <w:bCs/>
          <w:sz w:val="20"/>
          <w:szCs w:val="22"/>
          <w:rtl/>
        </w:rPr>
        <w:t xml:space="preserve">(17/1/1390) </w:t>
      </w:r>
      <w:r>
        <w:rPr>
          <w:rFonts w:hint="cs"/>
          <w:rtl/>
        </w:rPr>
        <w:t>- حذف</w:t>
      </w:r>
    </w:p>
    <w:p w:rsidR="00072C3A" w:rsidRDefault="00072C3A" w:rsidP="00072C3A">
      <w:pPr>
        <w:pStyle w:val="MT"/>
      </w:pPr>
      <w:r>
        <w:rPr>
          <w:rFonts w:hint="cs"/>
          <w:rtl/>
        </w:rPr>
        <w:t>9 - جمع‌آوری، تهیه و تدوین گزارش‌های سالانه عملكرد تجارت الكترونیكی.</w:t>
      </w:r>
    </w:p>
    <w:p w:rsidR="00072C3A" w:rsidRDefault="00072C3A" w:rsidP="00072C3A">
      <w:pPr>
        <w:pStyle w:val="MT"/>
      </w:pPr>
      <w:r>
        <w:rPr>
          <w:rFonts w:hint="cs"/>
          <w:rtl/>
        </w:rPr>
        <w:t>10 - پیگیری و پیشنهاد تدوین ضوابط و مقررات در خصوص جرائم و مجازات‌ها (موضوع باب چهارم قانون تجارت الكترونیكی) به مراجع ذ‌‌ی‌صلاح.</w:t>
      </w:r>
    </w:p>
    <w:p w:rsidR="00072C3A" w:rsidRDefault="00072C3A" w:rsidP="00072C3A">
      <w:pPr>
        <w:pStyle w:val="MT"/>
      </w:pPr>
      <w:r>
        <w:rPr>
          <w:rFonts w:hint="cs"/>
          <w:rtl/>
        </w:rPr>
        <w:t>11 - ارائه چهارچوب و ضوابط حمایت از مصرف‌كنندگان در فضای تجارت الكترونیكی براساس فصل اول از باب سوم قانون تجارت الكترونیكی.</w:t>
      </w:r>
    </w:p>
    <w:p w:rsidR="00072C3A" w:rsidRDefault="00072C3A" w:rsidP="00072C3A">
      <w:pPr>
        <w:pStyle w:val="MT"/>
      </w:pPr>
      <w:r>
        <w:rPr>
          <w:rFonts w:hint="cs"/>
          <w:rtl/>
        </w:rPr>
        <w:t>12 - پیشنهاد اصلاح این اساسنامه با توجه به مقتضیات زمان و رشد تجارت الكترونیكی.</w:t>
      </w:r>
    </w:p>
    <w:p w:rsidR="00072C3A" w:rsidRDefault="00072C3A" w:rsidP="00072C3A">
      <w:pPr>
        <w:pStyle w:val="MT"/>
      </w:pPr>
      <w:r>
        <w:rPr>
          <w:rFonts w:hint="cs"/>
          <w:bCs/>
          <w:szCs w:val="22"/>
          <w:rtl/>
        </w:rPr>
        <w:t xml:space="preserve">ماده 4 - </w:t>
      </w:r>
      <w:r>
        <w:rPr>
          <w:rFonts w:hint="cs"/>
          <w:rtl/>
        </w:rPr>
        <w:t>به‌منظور تعیین سیاست‌های تجارت الكترونیكی كشور كارگروهی متشكل از اعضای زیر تشكیل خواهد شد:</w:t>
      </w:r>
    </w:p>
    <w:p w:rsidR="00072C3A" w:rsidRDefault="00072C3A" w:rsidP="00072C3A">
      <w:pPr>
        <w:pStyle w:val="MT"/>
      </w:pPr>
      <w:r>
        <w:rPr>
          <w:rFonts w:hint="cs"/>
          <w:rtl/>
        </w:rPr>
        <w:t>1 - وزیر بازرگانی (رییس كارگروه)</w:t>
      </w:r>
    </w:p>
    <w:p w:rsidR="00072C3A" w:rsidRDefault="00072C3A" w:rsidP="00072C3A">
      <w:pPr>
        <w:pStyle w:val="MT"/>
      </w:pPr>
      <w:r>
        <w:rPr>
          <w:rFonts w:hint="cs"/>
          <w:rtl/>
        </w:rPr>
        <w:t>2 - وزیر ارتباطات و فناوری اطلاعات</w:t>
      </w:r>
    </w:p>
    <w:p w:rsidR="00072C3A" w:rsidRDefault="00072C3A" w:rsidP="00072C3A">
      <w:pPr>
        <w:pStyle w:val="MT"/>
      </w:pPr>
      <w:r>
        <w:rPr>
          <w:rFonts w:hint="cs"/>
          <w:rtl/>
        </w:rPr>
        <w:t>3 - وزیر راه و ترابری</w:t>
      </w:r>
    </w:p>
    <w:p w:rsidR="00072C3A" w:rsidRDefault="00072C3A" w:rsidP="00072C3A">
      <w:pPr>
        <w:pStyle w:val="MT"/>
      </w:pPr>
      <w:r>
        <w:rPr>
          <w:rFonts w:hint="cs"/>
          <w:rtl/>
        </w:rPr>
        <w:t>4 - وزیر صنایع و معادن</w:t>
      </w:r>
    </w:p>
    <w:p w:rsidR="00072C3A" w:rsidRDefault="00072C3A" w:rsidP="00072C3A">
      <w:pPr>
        <w:pStyle w:val="MT"/>
      </w:pPr>
      <w:r>
        <w:rPr>
          <w:rFonts w:hint="cs"/>
          <w:rtl/>
        </w:rPr>
        <w:t>۵ - وزیر امور اقتصادی و دارایی</w:t>
      </w:r>
    </w:p>
    <w:p w:rsidR="00072C3A" w:rsidRDefault="00072C3A" w:rsidP="00072C3A">
      <w:pPr>
        <w:pStyle w:val="MT"/>
      </w:pPr>
      <w:r>
        <w:rPr>
          <w:rFonts w:hint="cs"/>
          <w:rtl/>
        </w:rPr>
        <w:t>6 - رییس كل بانك مركزی جمهوری اسلامی ایران</w:t>
      </w:r>
    </w:p>
    <w:p w:rsidR="00072C3A" w:rsidRDefault="00072C3A" w:rsidP="00072C3A">
      <w:pPr>
        <w:pStyle w:val="MT"/>
      </w:pPr>
      <w:r>
        <w:rPr>
          <w:rFonts w:hint="cs"/>
          <w:rtl/>
        </w:rPr>
        <w:t>7 - معاون برنامه‌ریزی و نظارت راهبردی رییس‌جمهور</w:t>
      </w:r>
    </w:p>
    <w:p w:rsidR="00072C3A" w:rsidRDefault="00072C3A" w:rsidP="00072C3A">
      <w:pPr>
        <w:pStyle w:val="MT"/>
      </w:pPr>
      <w:r>
        <w:rPr>
          <w:rFonts w:hint="cs"/>
          <w:rtl/>
        </w:rPr>
        <w:t>8 - معاون توسعه مدیریت و سرمایه انسانی رییس‌جمهور</w:t>
      </w:r>
    </w:p>
    <w:p w:rsidR="00072C3A" w:rsidRDefault="00072C3A" w:rsidP="00072C3A">
      <w:pPr>
        <w:pStyle w:val="MT"/>
      </w:pPr>
      <w:r>
        <w:rPr>
          <w:rFonts w:hint="cs"/>
          <w:rtl/>
        </w:rPr>
        <w:t>9 - سه نفر صاحب‌نظر در امور تجارت الکترونیکی كه توسط رییس کارگروه تعیین می‌شوند.</w:t>
      </w:r>
    </w:p>
    <w:p w:rsidR="00072C3A" w:rsidRDefault="00072C3A" w:rsidP="00072C3A">
      <w:pPr>
        <w:pStyle w:val="MT"/>
      </w:pPr>
      <w:r>
        <w:rPr>
          <w:rFonts w:hint="cs"/>
          <w:bCs/>
          <w:szCs w:val="22"/>
          <w:rtl/>
        </w:rPr>
        <w:t>تبصره 1 -</w:t>
      </w:r>
      <w:r>
        <w:rPr>
          <w:rFonts w:hint="cs"/>
          <w:bCs/>
          <w:i/>
          <w:iCs/>
          <w:szCs w:val="20"/>
          <w:rtl/>
        </w:rPr>
        <w:t xml:space="preserve"> </w:t>
      </w:r>
      <w:r>
        <w:rPr>
          <w:rFonts w:hint="cs"/>
          <w:rtl/>
        </w:rPr>
        <w:t>در اولین جلسه تشكیل كارگروه، یك نفر از اعضاء به‌عنوان نایب‌رییس انتخاب خواهد شد.</w:t>
      </w:r>
    </w:p>
    <w:p w:rsidR="00072C3A" w:rsidRDefault="00072C3A" w:rsidP="00072C3A">
      <w:pPr>
        <w:pStyle w:val="MT"/>
      </w:pPr>
      <w:r>
        <w:rPr>
          <w:rFonts w:hint="cs"/>
          <w:bCs/>
          <w:szCs w:val="22"/>
          <w:rtl/>
        </w:rPr>
        <w:t>تبصره 2 -</w:t>
      </w:r>
      <w:r>
        <w:rPr>
          <w:rFonts w:hint="cs"/>
          <w:rtl/>
        </w:rPr>
        <w:t xml:space="preserve"> كارگروه از وزرا یا رؤسای دستگاه‌های اجرایی ذی‌ربط حسب مورد بدون حق رأی برای شركت در جلسات كارگروه دعوت خواهد كرد.</w:t>
      </w:r>
    </w:p>
    <w:p w:rsidR="00072C3A" w:rsidRDefault="00072C3A" w:rsidP="00072C3A">
      <w:pPr>
        <w:pStyle w:val="MT"/>
      </w:pPr>
      <w:r>
        <w:rPr>
          <w:rFonts w:hint="cs"/>
          <w:bCs/>
          <w:szCs w:val="22"/>
          <w:rtl/>
        </w:rPr>
        <w:t>تبصره 3 -</w:t>
      </w:r>
      <w:r>
        <w:rPr>
          <w:rFonts w:hint="cs"/>
          <w:rtl/>
        </w:rPr>
        <w:t xml:space="preserve"> كارگروه می‌تواند حسب مورد كمیسیون تخصصی تشكیل دهد و هر یك از اعضای كارگروه می‌توانند یكی از معاونان خود را برای شركت در جلسات كمیسیون تخصصی كارگروه معرفی نمایند.</w:t>
      </w:r>
    </w:p>
    <w:p w:rsidR="00072C3A" w:rsidRDefault="00072C3A" w:rsidP="00072C3A">
      <w:pPr>
        <w:pStyle w:val="MT"/>
      </w:pPr>
      <w:r>
        <w:rPr>
          <w:rFonts w:hint="cs"/>
          <w:bCs/>
          <w:szCs w:val="22"/>
          <w:rtl/>
        </w:rPr>
        <w:t>تبصره 4 -</w:t>
      </w:r>
      <w:r>
        <w:rPr>
          <w:rFonts w:hint="cs"/>
          <w:rtl/>
        </w:rPr>
        <w:t xml:space="preserve"> دبیرخانه كارگروه در مركز مستقر می‌باشد و رییس مركز به‌عنوان دبیر كارگروه تعیین می‌شود.</w:t>
      </w:r>
    </w:p>
    <w:p w:rsidR="00072C3A" w:rsidRDefault="00072C3A" w:rsidP="00072C3A">
      <w:pPr>
        <w:pStyle w:val="MT"/>
      </w:pPr>
      <w:r>
        <w:rPr>
          <w:rFonts w:hint="cs"/>
          <w:bCs/>
          <w:szCs w:val="22"/>
          <w:rtl/>
        </w:rPr>
        <w:t>ماده ۵ -</w:t>
      </w:r>
      <w:r>
        <w:rPr>
          <w:rFonts w:hint="cs"/>
          <w:rtl/>
        </w:rPr>
        <w:t xml:space="preserve"> رییس مركز از بین افراد صاحب‌نظر در امور اقتصاد و تجارت الكترونیكی و دارای تحصیلات دانشگاهی و سوابق اجرایی مربوط با حكم وزیر بازرگانی برای مدت چهار سال انتخاب و انتصاب مجدد وی برای دوره‌های بعد بلامانع است.</w:t>
      </w:r>
    </w:p>
    <w:p w:rsidR="00072C3A" w:rsidRDefault="00072C3A" w:rsidP="00072C3A">
      <w:pPr>
        <w:pStyle w:val="MT"/>
      </w:pPr>
      <w:r>
        <w:rPr>
          <w:rFonts w:hint="cs"/>
          <w:bCs/>
          <w:szCs w:val="22"/>
          <w:rtl/>
        </w:rPr>
        <w:t xml:space="preserve">ماده 6 - </w:t>
      </w:r>
      <w:r>
        <w:rPr>
          <w:rFonts w:hint="cs"/>
          <w:rtl/>
        </w:rPr>
        <w:t>وظایف و اختیارات رییس مركز به شرح زیر است:</w:t>
      </w:r>
    </w:p>
    <w:p w:rsidR="00072C3A" w:rsidRDefault="00072C3A" w:rsidP="00072C3A">
      <w:pPr>
        <w:pStyle w:val="MT"/>
      </w:pPr>
      <w:r>
        <w:rPr>
          <w:rFonts w:hint="cs"/>
          <w:rtl/>
        </w:rPr>
        <w:t>1 - اداره امور مركز و نظارت بر حُسن اجرای وظایف آن.</w:t>
      </w:r>
    </w:p>
    <w:p w:rsidR="00072C3A" w:rsidRDefault="00072C3A" w:rsidP="00072C3A">
      <w:pPr>
        <w:pStyle w:val="MT"/>
      </w:pPr>
      <w:r>
        <w:rPr>
          <w:rFonts w:hint="cs"/>
          <w:rtl/>
        </w:rPr>
        <w:t>2 - اخذ تصمیم و صدور دستور درباره امور مالی، اداری و استخدامی مركز در حدود تشكیلات و بودجه مصوب و مقررات مربوط و امضای نامه‌ها و مكاتبات.</w:t>
      </w:r>
    </w:p>
    <w:p w:rsidR="00072C3A" w:rsidRDefault="00072C3A" w:rsidP="00072C3A">
      <w:pPr>
        <w:pStyle w:val="MT"/>
        <w:rPr>
          <w:spacing w:val="-6"/>
        </w:rPr>
      </w:pPr>
      <w:r>
        <w:rPr>
          <w:rFonts w:hint="cs"/>
          <w:spacing w:val="-6"/>
          <w:rtl/>
        </w:rPr>
        <w:t>3 - پیشنهاد اصلاح ساختار تشكیلاتی مركز به وزیر بازرگانی جهت طی مراحل قانونی تصویب به مراجع ذ‌‌ی‌صلاح.</w:t>
      </w:r>
    </w:p>
    <w:p w:rsidR="00072C3A" w:rsidRDefault="00072C3A" w:rsidP="00072C3A">
      <w:pPr>
        <w:pStyle w:val="MT"/>
      </w:pPr>
      <w:r>
        <w:rPr>
          <w:rFonts w:hint="cs"/>
          <w:rtl/>
        </w:rPr>
        <w:lastRenderedPageBreak/>
        <w:t>4 - پیشنهاد تسهیلات و مشوق‌ها برای توسعه تجارت الكترونیكی به وزارت بازرگانی و نظارت بر حُسن اجرای آن پس از تصویب مراجع ذی‌ربط.</w:t>
      </w:r>
    </w:p>
    <w:p w:rsidR="00072C3A" w:rsidRDefault="00072C3A" w:rsidP="00072C3A">
      <w:pPr>
        <w:pStyle w:val="MT"/>
      </w:pPr>
      <w:r>
        <w:rPr>
          <w:rFonts w:hint="cs"/>
          <w:rtl/>
        </w:rPr>
        <w:t>۵ - تهیه و تنظیم گزارش مالی و پیشنهاد بودجه مركز به وزارت بازرگانی جهت تصویب در مراجع ذی‌ربط.</w:t>
      </w:r>
    </w:p>
    <w:p w:rsidR="00072C3A" w:rsidRDefault="00072C3A" w:rsidP="00072C3A">
      <w:pPr>
        <w:pStyle w:val="MT"/>
      </w:pPr>
      <w:r>
        <w:rPr>
          <w:rFonts w:hint="cs"/>
          <w:rtl/>
        </w:rPr>
        <w:t>6- نصب و عزل كاركنان مركز بر طبق مقررات مربوط و براساس تشكیلات مصوب.</w:t>
      </w:r>
    </w:p>
    <w:p w:rsidR="00072C3A" w:rsidRDefault="00072C3A" w:rsidP="00072C3A">
      <w:pPr>
        <w:pStyle w:val="MT"/>
      </w:pPr>
      <w:r>
        <w:rPr>
          <w:rFonts w:hint="cs"/>
          <w:rtl/>
        </w:rPr>
        <w:t>7- نمایندگی مركز در مقابل اشخاص حقیقی و حقوقی اعم از دولتی و غیردولتی و نیز مراجع قضایی با حق توكیل به غیر.</w:t>
      </w:r>
    </w:p>
    <w:p w:rsidR="00072C3A" w:rsidRDefault="00072C3A" w:rsidP="00072C3A">
      <w:pPr>
        <w:pStyle w:val="MT"/>
      </w:pPr>
      <w:r>
        <w:rPr>
          <w:rFonts w:hint="cs"/>
          <w:rtl/>
        </w:rPr>
        <w:t>8 - ارجاع دعاوی به داوری و تعیین داور و پایان دادن دعاوی به صلح با رعایت اصل 139 قانون اساسی.</w:t>
      </w:r>
    </w:p>
    <w:p w:rsidR="00072C3A" w:rsidRDefault="00072C3A" w:rsidP="00072C3A">
      <w:pPr>
        <w:pStyle w:val="MT"/>
      </w:pPr>
      <w:r>
        <w:rPr>
          <w:rFonts w:hint="cs"/>
          <w:rtl/>
        </w:rPr>
        <w:t>9 - معرفی امضاهای مجاز برای استفاده از حساب‌های بانکی با رعایت قوانین و مقررات مربوط.</w:t>
      </w:r>
    </w:p>
    <w:p w:rsidR="00072C3A" w:rsidRDefault="00072C3A" w:rsidP="00072C3A">
      <w:pPr>
        <w:pStyle w:val="MT"/>
      </w:pPr>
      <w:r>
        <w:rPr>
          <w:rFonts w:hint="cs"/>
          <w:rtl/>
        </w:rPr>
        <w:t>10 - انجام اقدامات لازم برای برقراری ارتباط با تشکل‌ها، مراجع و سازمان‌های داخلی و خارجی مرتبط با امر تجارت الكترونیكی برای تحقق اهداف مركز.</w:t>
      </w:r>
    </w:p>
    <w:p w:rsidR="00072C3A" w:rsidRDefault="00072C3A" w:rsidP="00072C3A">
      <w:pPr>
        <w:pStyle w:val="MT"/>
      </w:pPr>
      <w:r>
        <w:rPr>
          <w:rFonts w:hint="cs"/>
          <w:rtl/>
        </w:rPr>
        <w:t>11 - تهیه گزارش عملكرد سالانه مركز و ارائه آن به وزیر بازرگانی و كارگروه یادشده.</w:t>
      </w:r>
    </w:p>
    <w:p w:rsidR="00072C3A" w:rsidRDefault="00072C3A" w:rsidP="00072C3A">
      <w:pPr>
        <w:pStyle w:val="MT"/>
      </w:pPr>
      <w:r>
        <w:rPr>
          <w:rFonts w:hint="cs"/>
          <w:rtl/>
        </w:rPr>
        <w:t>12 - امضای قراردادها و اسناد تعهدآور.</w:t>
      </w:r>
    </w:p>
    <w:p w:rsidR="00072C3A" w:rsidRDefault="00072C3A" w:rsidP="00072C3A">
      <w:pPr>
        <w:pStyle w:val="MT"/>
      </w:pPr>
      <w:r>
        <w:rPr>
          <w:rFonts w:hint="cs"/>
          <w:bCs/>
          <w:szCs w:val="22"/>
          <w:rtl/>
        </w:rPr>
        <w:t xml:space="preserve">ماده 7 - </w:t>
      </w:r>
      <w:r>
        <w:rPr>
          <w:rFonts w:hint="cs"/>
          <w:rtl/>
        </w:rPr>
        <w:t>رییس مركز می‌تواند به مسئولیت خود تمام یا قسمتی از اختیارات و وظایف خود را به هر یك از كاركنان تفویض نماید.</w:t>
      </w:r>
    </w:p>
    <w:p w:rsidR="00072C3A" w:rsidRDefault="00072C3A" w:rsidP="00072C3A">
      <w:pPr>
        <w:pStyle w:val="MT"/>
      </w:pPr>
      <w:r>
        <w:rPr>
          <w:rFonts w:hint="cs"/>
          <w:sz w:val="28"/>
          <w:rtl/>
        </w:rPr>
        <w:t>تبصره -</w:t>
      </w:r>
      <w:r>
        <w:rPr>
          <w:rFonts w:hint="cs"/>
          <w:bCs/>
          <w:i/>
          <w:iCs/>
          <w:sz w:val="28"/>
          <w:rtl/>
        </w:rPr>
        <w:t xml:space="preserve"> </w:t>
      </w:r>
      <w:r>
        <w:rPr>
          <w:rFonts w:hint="cs"/>
          <w:rtl/>
        </w:rPr>
        <w:t>تفویض اختیارات موضوع این ماده نافی مسئولیت‌های نهایی و پاسخگویی رییس مركز به مراجع ذ‌‌ی‌صلاح نمی‌باشد.</w:t>
      </w:r>
    </w:p>
    <w:p w:rsidR="00072C3A" w:rsidRDefault="00072C3A" w:rsidP="00072C3A">
      <w:pPr>
        <w:pStyle w:val="MT"/>
      </w:pPr>
      <w:r>
        <w:rPr>
          <w:rFonts w:hint="cs"/>
          <w:bCs/>
          <w:szCs w:val="22"/>
          <w:rtl/>
        </w:rPr>
        <w:t>ماده 8 -</w:t>
      </w:r>
      <w:r>
        <w:rPr>
          <w:rFonts w:hint="cs"/>
          <w:bCs/>
          <w:sz w:val="24"/>
          <w:rtl/>
        </w:rPr>
        <w:t xml:space="preserve"> </w:t>
      </w:r>
      <w:r>
        <w:rPr>
          <w:rFonts w:hint="cs"/>
          <w:rtl/>
        </w:rPr>
        <w:t>منابع مالی مركز همه‌ساله در لوایح بودجه سالانه پیش‌بینی می‌شود.</w:t>
      </w:r>
    </w:p>
    <w:p w:rsidR="00072C3A" w:rsidRDefault="00072C3A" w:rsidP="00072C3A">
      <w:pPr>
        <w:pStyle w:val="MT"/>
      </w:pPr>
      <w:r>
        <w:rPr>
          <w:rFonts w:hint="cs"/>
          <w:bCs/>
          <w:szCs w:val="22"/>
          <w:rtl/>
        </w:rPr>
        <w:t xml:space="preserve">ماده 9 - </w:t>
      </w:r>
      <w:r>
        <w:rPr>
          <w:rFonts w:hint="cs"/>
          <w:rtl/>
        </w:rPr>
        <w:t>سال مالی مركز از اول فروردین‌ماه تا پایان اسفندماه هرسال می‌باشد.</w:t>
      </w:r>
    </w:p>
    <w:p w:rsidR="00072C3A" w:rsidRDefault="00072C3A" w:rsidP="00072C3A">
      <w:pPr>
        <w:pStyle w:val="MT"/>
      </w:pPr>
      <w:r>
        <w:rPr>
          <w:rFonts w:hint="cs"/>
          <w:bCs/>
          <w:szCs w:val="22"/>
          <w:rtl/>
        </w:rPr>
        <w:t xml:space="preserve">ماده ۱۰- (1۵/2/1392) - </w:t>
      </w:r>
      <w:r>
        <w:rPr>
          <w:rFonts w:hint="cs"/>
          <w:rtl/>
        </w:rPr>
        <w:t>دارندگان حق امضای قراردادها و اسناد تعهدآور مالی عبارت از رییس مركز یا معاون ذی‌ربط وی می‌باشد. در مورد چک‌ها طبق قوانین و مقررات مربوط اقدام خواهد شد.</w:t>
      </w:r>
    </w:p>
    <w:p w:rsidR="00072C3A" w:rsidRDefault="00072C3A" w:rsidP="00072C3A">
      <w:pPr>
        <w:pStyle w:val="MT"/>
        <w:keepLines/>
      </w:pPr>
      <w:r>
        <w:rPr>
          <w:rFonts w:hint="cs"/>
          <w:bCs/>
          <w:szCs w:val="22"/>
          <w:rtl/>
        </w:rPr>
        <w:t>ماده 11 -</w:t>
      </w:r>
      <w:r>
        <w:rPr>
          <w:rFonts w:hint="cs"/>
          <w:bCs/>
          <w:sz w:val="24"/>
          <w:rtl/>
        </w:rPr>
        <w:t xml:space="preserve"> </w:t>
      </w:r>
      <w:r>
        <w:rPr>
          <w:rFonts w:hint="cs"/>
          <w:rtl/>
        </w:rPr>
        <w:t>وزارت بازرگانی مكلف است ظرف دو ماه پس از ابلاغ این اساسنامه، ساختار تشكیلاتی مركز را تهیه و جهت تصویب به معاونت توسعه مدیریت و سرمایه انسانی رییس‌جمهور ارائه نماید. معاونت یادشده مكلف است ظرف دو ماه تشكیلات مذكور را با رعایت مقررات مربوط تأیید یا اصلاح نماید.</w:t>
      </w:r>
    </w:p>
    <w:p w:rsidR="00072C3A" w:rsidRDefault="00072C3A" w:rsidP="00072C3A">
      <w:pPr>
        <w:pStyle w:val="MT"/>
        <w:keepLines/>
      </w:pPr>
      <w:r>
        <w:rPr>
          <w:rFonts w:hint="cs"/>
          <w:bCs/>
          <w:szCs w:val="22"/>
          <w:rtl/>
        </w:rPr>
        <w:t xml:space="preserve">ماده 12 - </w:t>
      </w:r>
      <w:r>
        <w:rPr>
          <w:rFonts w:hint="cs"/>
          <w:rtl/>
        </w:rPr>
        <w:t>مركز، نقطه تماس جمهوری اسلامی ایران با سازمان‌های بین‌المللی و منطقه‌ای فعال در تجارت الكترونیكی با هماهنگی وزارت امور خارجه است.</w:t>
      </w:r>
    </w:p>
    <w:p w:rsidR="00072C3A" w:rsidRDefault="00072C3A" w:rsidP="00072C3A">
      <w:pPr>
        <w:pStyle w:val="MT"/>
        <w:keepLines/>
        <w:rPr>
          <w:rFonts w:hint="cs"/>
          <w:sz w:val="28"/>
          <w:rtl/>
        </w:rPr>
      </w:pPr>
      <w:r>
        <w:rPr>
          <w:rFonts w:hint="cs"/>
          <w:bCs/>
          <w:szCs w:val="22"/>
          <w:rtl/>
        </w:rPr>
        <w:t>ماده 13 (17/1/1390) -</w:t>
      </w:r>
      <w:r>
        <w:rPr>
          <w:rFonts w:hint="cs"/>
          <w:rtl/>
        </w:rPr>
        <w:t xml:space="preserve"> </w:t>
      </w:r>
      <w:r>
        <w:rPr>
          <w:rFonts w:hint="cs"/>
          <w:sz w:val="28"/>
          <w:rtl/>
        </w:rPr>
        <w:t>حذف</w:t>
      </w:r>
    </w:p>
    <w:p w:rsidR="00072C3A" w:rsidRDefault="00072C3A" w:rsidP="00072C3A">
      <w:pPr>
        <w:pStyle w:val="MT"/>
        <w:keepLines/>
      </w:pPr>
      <w:r>
        <w:rPr>
          <w:rFonts w:hint="cs"/>
          <w:rtl/>
        </w:rPr>
        <w:t>این اساسنامه به‌موجب نامه شماره 36019/30/88 مورخ 8/7/1388 شورای نگهبان به تأیید شورای یادشده رسیده است.</w:t>
      </w:r>
    </w:p>
    <w:bookmarkEnd w:id="14"/>
    <w:p w:rsidR="00BB6CCA" w:rsidRPr="00072C3A" w:rsidRDefault="00BB6CCA" w:rsidP="00072C3A">
      <w:pPr>
        <w:bidi/>
      </w:pPr>
    </w:p>
    <w:sectPr w:rsidR="00BB6CCA" w:rsidRPr="00072C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DA3" w:rsidRDefault="000C7DA3" w:rsidP="00AB17CF">
      <w:pPr>
        <w:spacing w:after="0" w:line="240" w:lineRule="auto"/>
      </w:pPr>
      <w:r>
        <w:separator/>
      </w:r>
    </w:p>
  </w:endnote>
  <w:endnote w:type="continuationSeparator" w:id="0">
    <w:p w:rsidR="000C7DA3" w:rsidRDefault="000C7DA3" w:rsidP="00AB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DA3" w:rsidRDefault="000C7DA3" w:rsidP="00AB17CF">
      <w:pPr>
        <w:spacing w:after="0" w:line="240" w:lineRule="auto"/>
      </w:pPr>
      <w:r>
        <w:separator/>
      </w:r>
    </w:p>
  </w:footnote>
  <w:footnote w:type="continuationSeparator" w:id="0">
    <w:p w:rsidR="000C7DA3" w:rsidRDefault="000C7DA3" w:rsidP="00AB17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B7295"/>
    <w:multiLevelType w:val="hybridMultilevel"/>
    <w:tmpl w:val="1EDE74CC"/>
    <w:lvl w:ilvl="0" w:tplc="A8E852B0">
      <w:start w:val="1"/>
      <w:numFmt w:val="bullet"/>
      <w:pStyle w:val="a"/>
      <w:lvlText w:val=""/>
      <w:lvlJc w:val="left"/>
      <w:pPr>
        <w:tabs>
          <w:tab w:val="num" w:pos="3133"/>
        </w:tabs>
        <w:ind w:left="0" w:firstLine="0"/>
      </w:pPr>
      <w:rPr>
        <w:rFonts w:ascii="Webdings" w:hAnsi="Webdings" w:hint="default"/>
        <w:b/>
        <w:i w:val="0"/>
        <w:color w:val="auto"/>
        <w:sz w:val="26"/>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29F"/>
    <w:rsid w:val="00007211"/>
    <w:rsid w:val="00072C3A"/>
    <w:rsid w:val="00092352"/>
    <w:rsid w:val="00092530"/>
    <w:rsid w:val="000C3340"/>
    <w:rsid w:val="000C7DA3"/>
    <w:rsid w:val="000F4E60"/>
    <w:rsid w:val="000F62FD"/>
    <w:rsid w:val="00151638"/>
    <w:rsid w:val="00171295"/>
    <w:rsid w:val="00181451"/>
    <w:rsid w:val="00183840"/>
    <w:rsid w:val="0019360A"/>
    <w:rsid w:val="001F2F8A"/>
    <w:rsid w:val="00252E4D"/>
    <w:rsid w:val="002E3B02"/>
    <w:rsid w:val="003067EF"/>
    <w:rsid w:val="003318E8"/>
    <w:rsid w:val="00350A18"/>
    <w:rsid w:val="0036763B"/>
    <w:rsid w:val="003E5967"/>
    <w:rsid w:val="00430560"/>
    <w:rsid w:val="00432ADD"/>
    <w:rsid w:val="004568B4"/>
    <w:rsid w:val="004E20D2"/>
    <w:rsid w:val="005331E0"/>
    <w:rsid w:val="00547B3E"/>
    <w:rsid w:val="005C1EA7"/>
    <w:rsid w:val="005F0350"/>
    <w:rsid w:val="00602101"/>
    <w:rsid w:val="00610FB7"/>
    <w:rsid w:val="00644AFA"/>
    <w:rsid w:val="00646288"/>
    <w:rsid w:val="006B62F4"/>
    <w:rsid w:val="006E6119"/>
    <w:rsid w:val="007131CD"/>
    <w:rsid w:val="00734A1A"/>
    <w:rsid w:val="0073666D"/>
    <w:rsid w:val="007A42DD"/>
    <w:rsid w:val="007C2039"/>
    <w:rsid w:val="007F76D7"/>
    <w:rsid w:val="00803D52"/>
    <w:rsid w:val="008900B8"/>
    <w:rsid w:val="008A4B8C"/>
    <w:rsid w:val="00935598"/>
    <w:rsid w:val="00941BC7"/>
    <w:rsid w:val="009634C9"/>
    <w:rsid w:val="00AB17CF"/>
    <w:rsid w:val="00AE67D8"/>
    <w:rsid w:val="00B02CD4"/>
    <w:rsid w:val="00B315A6"/>
    <w:rsid w:val="00B92FC7"/>
    <w:rsid w:val="00BB6CCA"/>
    <w:rsid w:val="00BC6E82"/>
    <w:rsid w:val="00BD21DA"/>
    <w:rsid w:val="00C34F68"/>
    <w:rsid w:val="00C75D47"/>
    <w:rsid w:val="00C863B7"/>
    <w:rsid w:val="00CD13CC"/>
    <w:rsid w:val="00CE698D"/>
    <w:rsid w:val="00D207FB"/>
    <w:rsid w:val="00D73008"/>
    <w:rsid w:val="00DE0632"/>
    <w:rsid w:val="00DE30FA"/>
    <w:rsid w:val="00DF21A3"/>
    <w:rsid w:val="00E1329F"/>
    <w:rsid w:val="00E33EDE"/>
    <w:rsid w:val="00E66D84"/>
    <w:rsid w:val="00E9253F"/>
    <w:rsid w:val="00EF6E0A"/>
    <w:rsid w:val="00FF67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D973F-3030-4825-842D-4FE007E2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Caption"/>
    <w:link w:val="Style1Char"/>
    <w:qFormat/>
    <w:rsid w:val="00DF21A3"/>
    <w:pPr>
      <w:bidi/>
      <w:jc w:val="center"/>
    </w:pPr>
    <w:rPr>
      <w:rFonts w:ascii="Times New Roman" w:hAnsi="Times New Roman" w:cs="B Nazanin"/>
      <w:szCs w:val="22"/>
    </w:rPr>
  </w:style>
  <w:style w:type="character" w:customStyle="1" w:styleId="Style1Char">
    <w:name w:val="Style1 Char"/>
    <w:basedOn w:val="DefaultParagraphFont"/>
    <w:link w:val="Style1"/>
    <w:rsid w:val="00DF21A3"/>
    <w:rPr>
      <w:rFonts w:ascii="Times New Roman" w:hAnsi="Times New Roman" w:cs="B Nazanin"/>
      <w:i/>
      <w:iCs/>
      <w:color w:val="44546A" w:themeColor="text2"/>
      <w:sz w:val="18"/>
    </w:rPr>
  </w:style>
  <w:style w:type="paragraph" w:styleId="Caption">
    <w:name w:val="caption"/>
    <w:basedOn w:val="Normal"/>
    <w:next w:val="Normal"/>
    <w:uiPriority w:val="35"/>
    <w:semiHidden/>
    <w:unhideWhenUsed/>
    <w:qFormat/>
    <w:rsid w:val="00DF21A3"/>
    <w:pPr>
      <w:spacing w:after="200" w:line="240" w:lineRule="auto"/>
    </w:pPr>
    <w:rPr>
      <w:i/>
      <w:iCs/>
      <w:color w:val="44546A" w:themeColor="text2"/>
      <w:sz w:val="18"/>
      <w:szCs w:val="18"/>
    </w:rPr>
  </w:style>
  <w:style w:type="paragraph" w:customStyle="1" w:styleId="Style2">
    <w:name w:val="Style2"/>
    <w:basedOn w:val="Normal"/>
    <w:link w:val="Style2Char"/>
    <w:qFormat/>
    <w:rsid w:val="00DF21A3"/>
    <w:pPr>
      <w:bidi/>
      <w:jc w:val="both"/>
    </w:pPr>
    <w:rPr>
      <w:rFonts w:asciiTheme="majorBidi" w:hAnsiTheme="majorBidi" w:cs="B Nazanin"/>
      <w:sz w:val="24"/>
      <w:szCs w:val="28"/>
    </w:rPr>
  </w:style>
  <w:style w:type="character" w:customStyle="1" w:styleId="Style2Char">
    <w:name w:val="Style2 Char"/>
    <w:basedOn w:val="DefaultParagraphFont"/>
    <w:link w:val="Style2"/>
    <w:rsid w:val="00DF21A3"/>
    <w:rPr>
      <w:rFonts w:asciiTheme="majorBidi" w:hAnsiTheme="majorBidi" w:cs="B Nazanin"/>
      <w:sz w:val="24"/>
      <w:szCs w:val="28"/>
    </w:rPr>
  </w:style>
  <w:style w:type="character" w:customStyle="1" w:styleId="Char">
    <w:name w:val="سهيل Char"/>
    <w:link w:val="a"/>
    <w:uiPriority w:val="99"/>
    <w:locked/>
    <w:rsid w:val="00151638"/>
    <w:rPr>
      <w:rFonts w:ascii="Times New Roman Bold" w:hAnsi="Times New Roman Bold" w:cs="B Mitra"/>
      <w:b/>
      <w:bCs/>
      <w:noProof/>
      <w:sz w:val="26"/>
      <w:szCs w:val="26"/>
    </w:rPr>
  </w:style>
  <w:style w:type="paragraph" w:customStyle="1" w:styleId="a">
    <w:name w:val="سهيل"/>
    <w:basedOn w:val="Normal"/>
    <w:next w:val="Normal"/>
    <w:link w:val="Char"/>
    <w:uiPriority w:val="99"/>
    <w:qFormat/>
    <w:rsid w:val="00151638"/>
    <w:pPr>
      <w:keepNext/>
      <w:keepLines/>
      <w:widowControl w:val="0"/>
      <w:numPr>
        <w:numId w:val="1"/>
      </w:numPr>
      <w:tabs>
        <w:tab w:val="left" w:pos="425"/>
      </w:tabs>
      <w:bidi/>
      <w:spacing w:before="240" w:after="120" w:line="288" w:lineRule="auto"/>
      <w:jc w:val="both"/>
    </w:pPr>
    <w:rPr>
      <w:rFonts w:ascii="Times New Roman Bold" w:hAnsi="Times New Roman Bold" w:cs="B Mitra"/>
      <w:b/>
      <w:bCs/>
      <w:noProof/>
      <w:sz w:val="26"/>
      <w:szCs w:val="26"/>
    </w:rPr>
  </w:style>
  <w:style w:type="paragraph" w:customStyle="1" w:styleId="MT">
    <w:name w:val="MT"/>
    <w:basedOn w:val="Normal"/>
    <w:uiPriority w:val="99"/>
    <w:qFormat/>
    <w:rsid w:val="00151638"/>
    <w:pPr>
      <w:keepNext/>
      <w:bidi/>
      <w:spacing w:after="0" w:line="288" w:lineRule="auto"/>
      <w:ind w:firstLine="284"/>
      <w:jc w:val="both"/>
    </w:pPr>
    <w:rPr>
      <w:rFonts w:ascii="Times New Roman" w:eastAsia="Times New Roman" w:hAnsi="Times New Roman" w:cs="B Mitra"/>
      <w:noProof/>
      <w:szCs w:val="24"/>
      <w:lang w:bidi="fa-IR"/>
    </w:rPr>
  </w:style>
  <w:style w:type="paragraph" w:customStyle="1" w:styleId="MF">
    <w:name w:val="MF"/>
    <w:basedOn w:val="Normal"/>
    <w:uiPriority w:val="99"/>
    <w:qFormat/>
    <w:rsid w:val="00AB17CF"/>
    <w:pPr>
      <w:bidi/>
      <w:spacing w:after="0" w:line="288" w:lineRule="auto"/>
      <w:jc w:val="both"/>
    </w:pPr>
    <w:rPr>
      <w:rFonts w:ascii="Times New Roman" w:eastAsia="Times New Roman" w:hAnsi="Times New Roman" w:cs="B Mitra"/>
      <w:noProof/>
      <w:sz w:val="20"/>
      <w:lang w:bidi="fa-IR"/>
    </w:rPr>
  </w:style>
  <w:style w:type="character" w:styleId="FootnoteReference">
    <w:name w:val="footnote reference"/>
    <w:aliases w:val="شماره زيرنويس,پاورقی,زيرنويس,Footnote Reference_RYM,ft#"/>
    <w:semiHidden/>
    <w:unhideWhenUsed/>
    <w:rsid w:val="00AB17CF"/>
    <w:rPr>
      <w:rFonts w:ascii="Times New Roman" w:hAnsi="Times New Roman" w:cs="Times New Roman" w:hint="default"/>
      <w:vertAlign w:val="superscript"/>
    </w:rPr>
  </w:style>
  <w:style w:type="paragraph" w:customStyle="1" w:styleId="a0">
    <w:name w:val="متن جدول"/>
    <w:basedOn w:val="Normal"/>
    <w:uiPriority w:val="99"/>
    <w:qFormat/>
    <w:rsid w:val="00644AFA"/>
    <w:pPr>
      <w:widowControl w:val="0"/>
      <w:bidi/>
      <w:spacing w:after="0" w:line="288" w:lineRule="auto"/>
    </w:pPr>
    <w:rPr>
      <w:rFonts w:ascii="Times New Roman" w:eastAsia="Times New Roman" w:hAnsi="Times New Roman" w:cs="B Mitra"/>
      <w:noProof/>
      <w:sz w:val="18"/>
      <w:szCs w:val="20"/>
      <w:lang w:bidi="fa-IR"/>
    </w:rPr>
  </w:style>
  <w:style w:type="table" w:styleId="TableGrid">
    <w:name w:val="Table Grid"/>
    <w:aliases w:val="HRN"/>
    <w:basedOn w:val="TableNormal"/>
    <w:uiPriority w:val="59"/>
    <w:rsid w:val="00644AFA"/>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aliases w:val="Footnote Text Char Char Char Char1,Footnote Text Char Char Char Char Char,Footnote Text1 Char,Footnote Text Char Char Char1 Char,Char Char Char Char Char Char Char,Char Char Char Char Char Char Char Char Cha Char,متن زيرنويس Char"/>
    <w:basedOn w:val="DefaultParagraphFont"/>
    <w:link w:val="FootnoteText"/>
    <w:uiPriority w:val="99"/>
    <w:semiHidden/>
    <w:locked/>
    <w:rsid w:val="00734A1A"/>
    <w:rPr>
      <w:rFonts w:cs="B Mitra"/>
      <w:noProof/>
      <w:sz w:val="26"/>
      <w:szCs w:val="26"/>
    </w:rPr>
  </w:style>
  <w:style w:type="paragraph" w:styleId="FootnoteText">
    <w:name w:val="footnote text"/>
    <w:aliases w:val="Footnote Text Char Char Char,Footnote Text Char Char Char Char,Footnote Text1,Footnote Text Char Char Char1,Char Char Char Char Char Char,Char Char Char Char Char Char Char Char Cha,Char Char Char Char,متن زيرنويس,Char Char Char Char Char"/>
    <w:basedOn w:val="Normal"/>
    <w:link w:val="FootnoteTextChar"/>
    <w:uiPriority w:val="99"/>
    <w:semiHidden/>
    <w:unhideWhenUsed/>
    <w:qFormat/>
    <w:rsid w:val="00734A1A"/>
    <w:pPr>
      <w:bidi/>
      <w:spacing w:after="0" w:line="288" w:lineRule="auto"/>
      <w:ind w:left="284"/>
      <w:jc w:val="both"/>
    </w:pPr>
    <w:rPr>
      <w:rFonts w:cs="B Mitra"/>
      <w:noProof/>
      <w:sz w:val="26"/>
      <w:szCs w:val="26"/>
    </w:rPr>
  </w:style>
  <w:style w:type="character" w:customStyle="1" w:styleId="FootnoteTextChar1">
    <w:name w:val="Footnote Text Char1"/>
    <w:basedOn w:val="DefaultParagraphFont"/>
    <w:uiPriority w:val="99"/>
    <w:semiHidden/>
    <w:rsid w:val="00734A1A"/>
    <w:rPr>
      <w:sz w:val="20"/>
      <w:szCs w:val="20"/>
    </w:rPr>
  </w:style>
  <w:style w:type="paragraph" w:customStyle="1" w:styleId="MRJ">
    <w:name w:val="MRJ"/>
    <w:basedOn w:val="Normal"/>
    <w:uiPriority w:val="99"/>
    <w:qFormat/>
    <w:rsid w:val="0019360A"/>
    <w:pPr>
      <w:keepNext/>
      <w:keepLines/>
      <w:widowControl w:val="0"/>
      <w:bidi/>
      <w:spacing w:after="0" w:line="288" w:lineRule="auto"/>
    </w:pPr>
    <w:rPr>
      <w:rFonts w:ascii="Times New Roman" w:eastAsia="Times New Roman" w:hAnsi="Times New Roman" w:cs="B Mitra"/>
      <w:noProof/>
      <w:sz w:val="18"/>
      <w:szCs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0740">
      <w:bodyDiv w:val="1"/>
      <w:marLeft w:val="0"/>
      <w:marRight w:val="0"/>
      <w:marTop w:val="0"/>
      <w:marBottom w:val="0"/>
      <w:divBdr>
        <w:top w:val="none" w:sz="0" w:space="0" w:color="auto"/>
        <w:left w:val="none" w:sz="0" w:space="0" w:color="auto"/>
        <w:bottom w:val="none" w:sz="0" w:space="0" w:color="auto"/>
        <w:right w:val="none" w:sz="0" w:space="0" w:color="auto"/>
      </w:divBdr>
    </w:div>
    <w:div w:id="81920395">
      <w:bodyDiv w:val="1"/>
      <w:marLeft w:val="0"/>
      <w:marRight w:val="0"/>
      <w:marTop w:val="0"/>
      <w:marBottom w:val="0"/>
      <w:divBdr>
        <w:top w:val="none" w:sz="0" w:space="0" w:color="auto"/>
        <w:left w:val="none" w:sz="0" w:space="0" w:color="auto"/>
        <w:bottom w:val="none" w:sz="0" w:space="0" w:color="auto"/>
        <w:right w:val="none" w:sz="0" w:space="0" w:color="auto"/>
      </w:divBdr>
    </w:div>
    <w:div w:id="201134533">
      <w:bodyDiv w:val="1"/>
      <w:marLeft w:val="0"/>
      <w:marRight w:val="0"/>
      <w:marTop w:val="0"/>
      <w:marBottom w:val="0"/>
      <w:divBdr>
        <w:top w:val="none" w:sz="0" w:space="0" w:color="auto"/>
        <w:left w:val="none" w:sz="0" w:space="0" w:color="auto"/>
        <w:bottom w:val="none" w:sz="0" w:space="0" w:color="auto"/>
        <w:right w:val="none" w:sz="0" w:space="0" w:color="auto"/>
      </w:divBdr>
    </w:div>
    <w:div w:id="213809506">
      <w:bodyDiv w:val="1"/>
      <w:marLeft w:val="0"/>
      <w:marRight w:val="0"/>
      <w:marTop w:val="0"/>
      <w:marBottom w:val="0"/>
      <w:divBdr>
        <w:top w:val="none" w:sz="0" w:space="0" w:color="auto"/>
        <w:left w:val="none" w:sz="0" w:space="0" w:color="auto"/>
        <w:bottom w:val="none" w:sz="0" w:space="0" w:color="auto"/>
        <w:right w:val="none" w:sz="0" w:space="0" w:color="auto"/>
      </w:divBdr>
    </w:div>
    <w:div w:id="225725240">
      <w:bodyDiv w:val="1"/>
      <w:marLeft w:val="0"/>
      <w:marRight w:val="0"/>
      <w:marTop w:val="0"/>
      <w:marBottom w:val="0"/>
      <w:divBdr>
        <w:top w:val="none" w:sz="0" w:space="0" w:color="auto"/>
        <w:left w:val="none" w:sz="0" w:space="0" w:color="auto"/>
        <w:bottom w:val="none" w:sz="0" w:space="0" w:color="auto"/>
        <w:right w:val="none" w:sz="0" w:space="0" w:color="auto"/>
      </w:divBdr>
    </w:div>
    <w:div w:id="276370786">
      <w:bodyDiv w:val="1"/>
      <w:marLeft w:val="0"/>
      <w:marRight w:val="0"/>
      <w:marTop w:val="0"/>
      <w:marBottom w:val="0"/>
      <w:divBdr>
        <w:top w:val="none" w:sz="0" w:space="0" w:color="auto"/>
        <w:left w:val="none" w:sz="0" w:space="0" w:color="auto"/>
        <w:bottom w:val="none" w:sz="0" w:space="0" w:color="auto"/>
        <w:right w:val="none" w:sz="0" w:space="0" w:color="auto"/>
      </w:divBdr>
    </w:div>
    <w:div w:id="346031029">
      <w:bodyDiv w:val="1"/>
      <w:marLeft w:val="0"/>
      <w:marRight w:val="0"/>
      <w:marTop w:val="0"/>
      <w:marBottom w:val="0"/>
      <w:divBdr>
        <w:top w:val="none" w:sz="0" w:space="0" w:color="auto"/>
        <w:left w:val="none" w:sz="0" w:space="0" w:color="auto"/>
        <w:bottom w:val="none" w:sz="0" w:space="0" w:color="auto"/>
        <w:right w:val="none" w:sz="0" w:space="0" w:color="auto"/>
      </w:divBdr>
    </w:div>
    <w:div w:id="361054361">
      <w:bodyDiv w:val="1"/>
      <w:marLeft w:val="0"/>
      <w:marRight w:val="0"/>
      <w:marTop w:val="0"/>
      <w:marBottom w:val="0"/>
      <w:divBdr>
        <w:top w:val="none" w:sz="0" w:space="0" w:color="auto"/>
        <w:left w:val="none" w:sz="0" w:space="0" w:color="auto"/>
        <w:bottom w:val="none" w:sz="0" w:space="0" w:color="auto"/>
        <w:right w:val="none" w:sz="0" w:space="0" w:color="auto"/>
      </w:divBdr>
    </w:div>
    <w:div w:id="364255665">
      <w:bodyDiv w:val="1"/>
      <w:marLeft w:val="0"/>
      <w:marRight w:val="0"/>
      <w:marTop w:val="0"/>
      <w:marBottom w:val="0"/>
      <w:divBdr>
        <w:top w:val="none" w:sz="0" w:space="0" w:color="auto"/>
        <w:left w:val="none" w:sz="0" w:space="0" w:color="auto"/>
        <w:bottom w:val="none" w:sz="0" w:space="0" w:color="auto"/>
        <w:right w:val="none" w:sz="0" w:space="0" w:color="auto"/>
      </w:divBdr>
    </w:div>
    <w:div w:id="366763961">
      <w:bodyDiv w:val="1"/>
      <w:marLeft w:val="0"/>
      <w:marRight w:val="0"/>
      <w:marTop w:val="0"/>
      <w:marBottom w:val="0"/>
      <w:divBdr>
        <w:top w:val="none" w:sz="0" w:space="0" w:color="auto"/>
        <w:left w:val="none" w:sz="0" w:space="0" w:color="auto"/>
        <w:bottom w:val="none" w:sz="0" w:space="0" w:color="auto"/>
        <w:right w:val="none" w:sz="0" w:space="0" w:color="auto"/>
      </w:divBdr>
    </w:div>
    <w:div w:id="378093966">
      <w:bodyDiv w:val="1"/>
      <w:marLeft w:val="0"/>
      <w:marRight w:val="0"/>
      <w:marTop w:val="0"/>
      <w:marBottom w:val="0"/>
      <w:divBdr>
        <w:top w:val="none" w:sz="0" w:space="0" w:color="auto"/>
        <w:left w:val="none" w:sz="0" w:space="0" w:color="auto"/>
        <w:bottom w:val="none" w:sz="0" w:space="0" w:color="auto"/>
        <w:right w:val="none" w:sz="0" w:space="0" w:color="auto"/>
      </w:divBdr>
    </w:div>
    <w:div w:id="564949382">
      <w:bodyDiv w:val="1"/>
      <w:marLeft w:val="0"/>
      <w:marRight w:val="0"/>
      <w:marTop w:val="0"/>
      <w:marBottom w:val="0"/>
      <w:divBdr>
        <w:top w:val="none" w:sz="0" w:space="0" w:color="auto"/>
        <w:left w:val="none" w:sz="0" w:space="0" w:color="auto"/>
        <w:bottom w:val="none" w:sz="0" w:space="0" w:color="auto"/>
        <w:right w:val="none" w:sz="0" w:space="0" w:color="auto"/>
      </w:divBdr>
    </w:div>
    <w:div w:id="568615427">
      <w:bodyDiv w:val="1"/>
      <w:marLeft w:val="0"/>
      <w:marRight w:val="0"/>
      <w:marTop w:val="0"/>
      <w:marBottom w:val="0"/>
      <w:divBdr>
        <w:top w:val="none" w:sz="0" w:space="0" w:color="auto"/>
        <w:left w:val="none" w:sz="0" w:space="0" w:color="auto"/>
        <w:bottom w:val="none" w:sz="0" w:space="0" w:color="auto"/>
        <w:right w:val="none" w:sz="0" w:space="0" w:color="auto"/>
      </w:divBdr>
    </w:div>
    <w:div w:id="745345330">
      <w:bodyDiv w:val="1"/>
      <w:marLeft w:val="0"/>
      <w:marRight w:val="0"/>
      <w:marTop w:val="0"/>
      <w:marBottom w:val="0"/>
      <w:divBdr>
        <w:top w:val="none" w:sz="0" w:space="0" w:color="auto"/>
        <w:left w:val="none" w:sz="0" w:space="0" w:color="auto"/>
        <w:bottom w:val="none" w:sz="0" w:space="0" w:color="auto"/>
        <w:right w:val="none" w:sz="0" w:space="0" w:color="auto"/>
      </w:divBdr>
    </w:div>
    <w:div w:id="746417711">
      <w:bodyDiv w:val="1"/>
      <w:marLeft w:val="0"/>
      <w:marRight w:val="0"/>
      <w:marTop w:val="0"/>
      <w:marBottom w:val="0"/>
      <w:divBdr>
        <w:top w:val="none" w:sz="0" w:space="0" w:color="auto"/>
        <w:left w:val="none" w:sz="0" w:space="0" w:color="auto"/>
        <w:bottom w:val="none" w:sz="0" w:space="0" w:color="auto"/>
        <w:right w:val="none" w:sz="0" w:space="0" w:color="auto"/>
      </w:divBdr>
    </w:div>
    <w:div w:id="748313152">
      <w:bodyDiv w:val="1"/>
      <w:marLeft w:val="0"/>
      <w:marRight w:val="0"/>
      <w:marTop w:val="0"/>
      <w:marBottom w:val="0"/>
      <w:divBdr>
        <w:top w:val="none" w:sz="0" w:space="0" w:color="auto"/>
        <w:left w:val="none" w:sz="0" w:space="0" w:color="auto"/>
        <w:bottom w:val="none" w:sz="0" w:space="0" w:color="auto"/>
        <w:right w:val="none" w:sz="0" w:space="0" w:color="auto"/>
      </w:divBdr>
    </w:div>
    <w:div w:id="777332554">
      <w:bodyDiv w:val="1"/>
      <w:marLeft w:val="0"/>
      <w:marRight w:val="0"/>
      <w:marTop w:val="0"/>
      <w:marBottom w:val="0"/>
      <w:divBdr>
        <w:top w:val="none" w:sz="0" w:space="0" w:color="auto"/>
        <w:left w:val="none" w:sz="0" w:space="0" w:color="auto"/>
        <w:bottom w:val="none" w:sz="0" w:space="0" w:color="auto"/>
        <w:right w:val="none" w:sz="0" w:space="0" w:color="auto"/>
      </w:divBdr>
    </w:div>
    <w:div w:id="858814134">
      <w:bodyDiv w:val="1"/>
      <w:marLeft w:val="0"/>
      <w:marRight w:val="0"/>
      <w:marTop w:val="0"/>
      <w:marBottom w:val="0"/>
      <w:divBdr>
        <w:top w:val="none" w:sz="0" w:space="0" w:color="auto"/>
        <w:left w:val="none" w:sz="0" w:space="0" w:color="auto"/>
        <w:bottom w:val="none" w:sz="0" w:space="0" w:color="auto"/>
        <w:right w:val="none" w:sz="0" w:space="0" w:color="auto"/>
      </w:divBdr>
    </w:div>
    <w:div w:id="1164395676">
      <w:bodyDiv w:val="1"/>
      <w:marLeft w:val="0"/>
      <w:marRight w:val="0"/>
      <w:marTop w:val="0"/>
      <w:marBottom w:val="0"/>
      <w:divBdr>
        <w:top w:val="none" w:sz="0" w:space="0" w:color="auto"/>
        <w:left w:val="none" w:sz="0" w:space="0" w:color="auto"/>
        <w:bottom w:val="none" w:sz="0" w:space="0" w:color="auto"/>
        <w:right w:val="none" w:sz="0" w:space="0" w:color="auto"/>
      </w:divBdr>
    </w:div>
    <w:div w:id="1171139730">
      <w:bodyDiv w:val="1"/>
      <w:marLeft w:val="0"/>
      <w:marRight w:val="0"/>
      <w:marTop w:val="0"/>
      <w:marBottom w:val="0"/>
      <w:divBdr>
        <w:top w:val="none" w:sz="0" w:space="0" w:color="auto"/>
        <w:left w:val="none" w:sz="0" w:space="0" w:color="auto"/>
        <w:bottom w:val="none" w:sz="0" w:space="0" w:color="auto"/>
        <w:right w:val="none" w:sz="0" w:space="0" w:color="auto"/>
      </w:divBdr>
    </w:div>
    <w:div w:id="1179926530">
      <w:bodyDiv w:val="1"/>
      <w:marLeft w:val="0"/>
      <w:marRight w:val="0"/>
      <w:marTop w:val="0"/>
      <w:marBottom w:val="0"/>
      <w:divBdr>
        <w:top w:val="none" w:sz="0" w:space="0" w:color="auto"/>
        <w:left w:val="none" w:sz="0" w:space="0" w:color="auto"/>
        <w:bottom w:val="none" w:sz="0" w:space="0" w:color="auto"/>
        <w:right w:val="none" w:sz="0" w:space="0" w:color="auto"/>
      </w:divBdr>
    </w:div>
    <w:div w:id="1266503215">
      <w:bodyDiv w:val="1"/>
      <w:marLeft w:val="0"/>
      <w:marRight w:val="0"/>
      <w:marTop w:val="0"/>
      <w:marBottom w:val="0"/>
      <w:divBdr>
        <w:top w:val="none" w:sz="0" w:space="0" w:color="auto"/>
        <w:left w:val="none" w:sz="0" w:space="0" w:color="auto"/>
        <w:bottom w:val="none" w:sz="0" w:space="0" w:color="auto"/>
        <w:right w:val="none" w:sz="0" w:space="0" w:color="auto"/>
      </w:divBdr>
    </w:div>
    <w:div w:id="1308820186">
      <w:bodyDiv w:val="1"/>
      <w:marLeft w:val="0"/>
      <w:marRight w:val="0"/>
      <w:marTop w:val="0"/>
      <w:marBottom w:val="0"/>
      <w:divBdr>
        <w:top w:val="none" w:sz="0" w:space="0" w:color="auto"/>
        <w:left w:val="none" w:sz="0" w:space="0" w:color="auto"/>
        <w:bottom w:val="none" w:sz="0" w:space="0" w:color="auto"/>
        <w:right w:val="none" w:sz="0" w:space="0" w:color="auto"/>
      </w:divBdr>
    </w:div>
    <w:div w:id="1367371777">
      <w:bodyDiv w:val="1"/>
      <w:marLeft w:val="0"/>
      <w:marRight w:val="0"/>
      <w:marTop w:val="0"/>
      <w:marBottom w:val="0"/>
      <w:divBdr>
        <w:top w:val="none" w:sz="0" w:space="0" w:color="auto"/>
        <w:left w:val="none" w:sz="0" w:space="0" w:color="auto"/>
        <w:bottom w:val="none" w:sz="0" w:space="0" w:color="auto"/>
        <w:right w:val="none" w:sz="0" w:space="0" w:color="auto"/>
      </w:divBdr>
    </w:div>
    <w:div w:id="1386955213">
      <w:bodyDiv w:val="1"/>
      <w:marLeft w:val="0"/>
      <w:marRight w:val="0"/>
      <w:marTop w:val="0"/>
      <w:marBottom w:val="0"/>
      <w:divBdr>
        <w:top w:val="none" w:sz="0" w:space="0" w:color="auto"/>
        <w:left w:val="none" w:sz="0" w:space="0" w:color="auto"/>
        <w:bottom w:val="none" w:sz="0" w:space="0" w:color="auto"/>
        <w:right w:val="none" w:sz="0" w:space="0" w:color="auto"/>
      </w:divBdr>
    </w:div>
    <w:div w:id="1399593845">
      <w:bodyDiv w:val="1"/>
      <w:marLeft w:val="0"/>
      <w:marRight w:val="0"/>
      <w:marTop w:val="0"/>
      <w:marBottom w:val="0"/>
      <w:divBdr>
        <w:top w:val="none" w:sz="0" w:space="0" w:color="auto"/>
        <w:left w:val="none" w:sz="0" w:space="0" w:color="auto"/>
        <w:bottom w:val="none" w:sz="0" w:space="0" w:color="auto"/>
        <w:right w:val="none" w:sz="0" w:space="0" w:color="auto"/>
      </w:divBdr>
    </w:div>
    <w:div w:id="1492715940">
      <w:bodyDiv w:val="1"/>
      <w:marLeft w:val="0"/>
      <w:marRight w:val="0"/>
      <w:marTop w:val="0"/>
      <w:marBottom w:val="0"/>
      <w:divBdr>
        <w:top w:val="none" w:sz="0" w:space="0" w:color="auto"/>
        <w:left w:val="none" w:sz="0" w:space="0" w:color="auto"/>
        <w:bottom w:val="none" w:sz="0" w:space="0" w:color="auto"/>
        <w:right w:val="none" w:sz="0" w:space="0" w:color="auto"/>
      </w:divBdr>
    </w:div>
    <w:div w:id="1592397496">
      <w:bodyDiv w:val="1"/>
      <w:marLeft w:val="0"/>
      <w:marRight w:val="0"/>
      <w:marTop w:val="0"/>
      <w:marBottom w:val="0"/>
      <w:divBdr>
        <w:top w:val="none" w:sz="0" w:space="0" w:color="auto"/>
        <w:left w:val="none" w:sz="0" w:space="0" w:color="auto"/>
        <w:bottom w:val="none" w:sz="0" w:space="0" w:color="auto"/>
        <w:right w:val="none" w:sz="0" w:space="0" w:color="auto"/>
      </w:divBdr>
    </w:div>
    <w:div w:id="1898127345">
      <w:bodyDiv w:val="1"/>
      <w:marLeft w:val="0"/>
      <w:marRight w:val="0"/>
      <w:marTop w:val="0"/>
      <w:marBottom w:val="0"/>
      <w:divBdr>
        <w:top w:val="none" w:sz="0" w:space="0" w:color="auto"/>
        <w:left w:val="none" w:sz="0" w:space="0" w:color="auto"/>
        <w:bottom w:val="none" w:sz="0" w:space="0" w:color="auto"/>
        <w:right w:val="none" w:sz="0" w:space="0" w:color="auto"/>
      </w:divBdr>
    </w:div>
    <w:div w:id="2051496513">
      <w:bodyDiv w:val="1"/>
      <w:marLeft w:val="0"/>
      <w:marRight w:val="0"/>
      <w:marTop w:val="0"/>
      <w:marBottom w:val="0"/>
      <w:divBdr>
        <w:top w:val="none" w:sz="0" w:space="0" w:color="auto"/>
        <w:left w:val="none" w:sz="0" w:space="0" w:color="auto"/>
        <w:bottom w:val="none" w:sz="0" w:space="0" w:color="auto"/>
        <w:right w:val="none" w:sz="0" w:space="0" w:color="auto"/>
      </w:divBdr>
    </w:div>
    <w:div w:id="2066172529">
      <w:bodyDiv w:val="1"/>
      <w:marLeft w:val="0"/>
      <w:marRight w:val="0"/>
      <w:marTop w:val="0"/>
      <w:marBottom w:val="0"/>
      <w:divBdr>
        <w:top w:val="none" w:sz="0" w:space="0" w:color="auto"/>
        <w:left w:val="none" w:sz="0" w:space="0" w:color="auto"/>
        <w:bottom w:val="none" w:sz="0" w:space="0" w:color="auto"/>
        <w:right w:val="none" w:sz="0" w:space="0" w:color="auto"/>
      </w:divBdr>
    </w:div>
    <w:div w:id="207673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2021-07-23T13:09:00Z</dcterms:created>
  <dcterms:modified xsi:type="dcterms:W3CDTF">2021-07-23T13:11:00Z</dcterms:modified>
</cp:coreProperties>
</file>