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A7B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5716C3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城市布局估算：</w:t>
      </w:r>
    </w:p>
    <w:p w14:paraId="4BB851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假设城市为方形，边长约为547米（547米 × 547米 ≈ 30万平方米）。</w:t>
      </w:r>
    </w:p>
    <w:p w14:paraId="35DE4B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物流管网设计：</w:t>
      </w:r>
    </w:p>
    <w:p w14:paraId="04C790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/>
          <w:lang w:val="en-US" w:eastAsia="zh-CN"/>
        </w:rPr>
        <w:t>主干道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：假设采用环状布局，周长约2188米（4 × 547米）。</w:t>
      </w:r>
    </w:p>
    <w:p w14:paraId="425BF6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/>
          <w:lang w:val="en-US" w:eastAsia="zh-CN"/>
        </w:rPr>
        <w:t>分支管道</w:t>
      </w: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：假设分为10个区域，每个区域连接一条分支管道，每条长度约100米，总计1000米。</w:t>
      </w:r>
    </w:p>
    <w:p w14:paraId="1FBFE260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总管道长度估算：</w:t>
      </w:r>
    </w:p>
    <w:p w14:paraId="49A692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主干道：2188米</w:t>
      </w:r>
    </w:p>
    <w:p w14:paraId="505F50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分支管道：1000米</w:t>
      </w:r>
    </w:p>
    <w:p w14:paraId="6C9201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总长度：约3188米</w:t>
      </w:r>
    </w:p>
    <w:p w14:paraId="2B4CC12C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空间占用计算：</w:t>
      </w:r>
    </w:p>
    <w:p w14:paraId="490CB5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每根管道横截面积：π × (3米)² ≈ 28.27平方米</w:t>
      </w:r>
    </w:p>
    <w:p w14:paraId="4A3CBE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总体积：3188米 × 28.27平方米 ≈ 90000立方米</w:t>
      </w:r>
    </w:p>
    <w:p w14:paraId="4DA473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80" w:firstLineChars="20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投影面积：3188米 × 6米 ≈ 19128平方米（约占城市面积的6.37%）</w:t>
      </w:r>
    </w:p>
    <w:p w14:paraId="1DD90F38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考虑因素：</w:t>
      </w:r>
    </w:p>
    <w:p w14:paraId="4211C8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可能需要冗余设计，增加总长度。</w:t>
      </w:r>
    </w:p>
    <w:p w14:paraId="6E53FF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其他设施如连接节点、物流节点等会增加空间占用。</w:t>
      </w:r>
    </w:p>
    <w:p w14:paraId="1B94F5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管道深度和施工成本也需考虑。</w:t>
      </w:r>
    </w:p>
    <w:p w14:paraId="22B77E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结论：初步估算显示，物流管网总长度约为3188米，占用地下空间约19128平方米。</w:t>
      </w:r>
    </w:p>
    <w:p w14:paraId="4ABA09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67F996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基本假设</w:t>
      </w:r>
    </w:p>
    <w:p w14:paraId="6D4396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物流官网总长度：约3188米。</w:t>
      </w:r>
    </w:p>
    <w:p w14:paraId="10E352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物流载体：假设使用100辆电动小车，每辆功率1千瓦。</w:t>
      </w:r>
    </w:p>
    <w:p w14:paraId="7C618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通风与空调系统：功率100千瓦。</w:t>
      </w:r>
    </w:p>
    <w:p w14:paraId="3B3D4B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AI规划系统：假设使用一个服务器，功率1千瓦。</w:t>
      </w:r>
    </w:p>
    <w:p w14:paraId="5093A2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监控与控制系统：功率2千瓦。</w:t>
      </w:r>
    </w:p>
    <w:p w14:paraId="7D954F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维护设备：假设抽水机功率5千瓦，每月运行5小时。</w:t>
      </w:r>
    </w:p>
    <w:p w14:paraId="2CCE18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运行时间：物流系统每天运行10小时，AI规划系统全天候运行（24小时/天）。</w:t>
      </w:r>
    </w:p>
    <w:p w14:paraId="285392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能耗计算</w:t>
      </w:r>
    </w:p>
    <w:p w14:paraId="6D7598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(1) 物流载体</w:t>
      </w:r>
    </w:p>
    <w:p w14:paraId="63DC4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每月总能耗 = 10辆 × 1千瓦 × 10小时/天 × 30天 = 30000千瓦时。</w:t>
      </w:r>
    </w:p>
    <w:p w14:paraId="440A3F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(2) 通风与空调</w:t>
      </w:r>
    </w:p>
    <w:p w14:paraId="211505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每月总能耗 = 10千瓦 × 24小时/天 × 30天 = 7200千瓦时。</w:t>
      </w:r>
    </w:p>
    <w:p w14:paraId="6E8D4A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(3) AI规划系统</w:t>
      </w:r>
    </w:p>
    <w:p w14:paraId="668A7D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每月总能耗 = 1千瓦 × 24小时/天 × 30天 = 720千瓦时。</w:t>
      </w:r>
    </w:p>
    <w:p w14:paraId="23DE20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(4) 监控与控制系统</w:t>
      </w:r>
    </w:p>
    <w:p w14:paraId="23E185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每月总能耗 = 2千瓦 × 24小时/天 × 30天 = 1440千瓦时。</w:t>
      </w:r>
    </w:p>
    <w:p w14:paraId="68F596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(5) 维护设备</w:t>
      </w:r>
    </w:p>
    <w:p w14:paraId="53946B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每月总能耗 = 5千瓦 × 5小时 = 25千瓦时。</w:t>
      </w:r>
    </w:p>
    <w:p w14:paraId="342D739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总能耗</w:t>
      </w:r>
    </w:p>
    <w:p w14:paraId="05302C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将上述各部分能耗相加39385千瓦时</w:t>
      </w:r>
    </w:p>
    <w:p w14:paraId="3E66F6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得全年能耗为39385*12=472620千瓦时</w:t>
      </w:r>
    </w:p>
    <w:p w14:paraId="60ED4E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F1475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地上地下交通系统：</w:t>
      </w:r>
    </w:p>
    <w:p w14:paraId="0070E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地上交通以人行道和厢式电梯为主。</w:t>
      </w:r>
    </w:p>
    <w:p w14:paraId="32128DB0">
      <w:pPr>
        <w:ind w:firstLine="420" w:firstLineChars="0"/>
        <w:rPr>
          <w:rFonts w:hint="default"/>
          <w:lang w:val="en-US" w:eastAsia="zh-CN"/>
        </w:rPr>
      </w:pPr>
    </w:p>
    <w:p w14:paraId="148909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电梯参数：</w:t>
      </w:r>
    </w:p>
    <w:p w14:paraId="23E626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每个电梯容量：10个物流单元/次。</w:t>
      </w:r>
    </w:p>
    <w:p w14:paraId="730F53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每个电梯能耗：10000千瓦时/年。</w:t>
      </w:r>
    </w:p>
    <w:p w14:paraId="39BFC6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运行时间：每天12小时，每年365天。</w:t>
      </w:r>
    </w:p>
    <w:p w14:paraId="4E762B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4. 节点数量估算</w:t>
      </w:r>
    </w:p>
    <w:p w14:paraId="0028B7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城市区域划分：假设城市分为10个区域。</w:t>
      </w:r>
    </w:p>
    <w:p w14:paraId="21E17C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每个区域物流需求：1200个/天 ÷ 10个区域 = 120个/天/区域。</w:t>
      </w:r>
    </w:p>
    <w:p w14:paraId="4348E5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每个电梯每天运输次数：120个/天 ÷ 10个/次 = 12次/天。</w:t>
      </w:r>
    </w:p>
    <w:p w14:paraId="4BF0A6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所需电梯数量：10个区域 × 1个电梯/区域 = 10个电梯。</w:t>
      </w:r>
    </w:p>
    <w:p w14:paraId="1BF783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5. 年度能耗计算</w:t>
      </w:r>
    </w:p>
    <w:p w14:paraId="561828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单个电梯年度能耗：10000千瓦时/年。</w:t>
      </w:r>
    </w:p>
    <w:p w14:paraId="43031C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总年度能耗：10个电梯 × 10000千瓦时/年 = 100000千瓦时/年。</w:t>
      </w:r>
    </w:p>
    <w:p w14:paraId="532934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最终答案</w:t>
      </w:r>
    </w:p>
    <w:p w14:paraId="73D946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在考虑地下物流管网和地上交通系统（采用电梯运输）的情况下，这个微型城市需要10个地下地上沟通节点（电梯），而这些节点的年度能耗约为 100000千瓦时。</w:t>
      </w:r>
    </w:p>
    <w:p w14:paraId="6D4B83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256A86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物资方面，基础设施已基本建好，维护成本：应急管道直径6m，长度1m，100根；</w:t>
      </w:r>
    </w:p>
    <w:p w14:paraId="391B35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应急小车10辆；</w:t>
      </w:r>
    </w:p>
    <w:p w14:paraId="0E338F77">
      <w:pPr>
        <w:rPr>
          <w:rFonts w:hint="eastAsia"/>
          <w:lang w:val="en-US" w:eastAsia="zh-CN"/>
        </w:rPr>
      </w:pPr>
    </w:p>
    <w:p w14:paraId="119300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地面道路面积：</w:t>
      </w:r>
    </w:p>
    <w:p w14:paraId="6EF23EB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建造环形主道路和中心十字主道路，形成“田字形”。总长约为2.6千米。</w:t>
      </w:r>
    </w:p>
    <w:p w14:paraId="40CAE12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主干道宽13米，包括2*1.5米自动人行道。这样30%以上的人会使用自动人行道。</w:t>
      </w:r>
    </w:p>
    <w:p w14:paraId="2118D13F">
      <w:pPr>
        <w:ind w:firstLine="420" w:firstLineChars="0"/>
        <w:rPr>
          <w:rFonts w:hint="eastAsia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面积估计为33800m</w:t>
      </w:r>
      <w:r>
        <w:rPr>
          <w:rFonts w:hint="eastAsia"/>
          <w:vertAlign w:val="superscript"/>
          <w:lang w:val="en-US" w:eastAsia="zh-CN"/>
        </w:rPr>
        <w:t>2</w:t>
      </w:r>
    </w:p>
    <w:p w14:paraId="5973998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人群流量计算：</w:t>
      </w:r>
    </w:p>
    <w:p w14:paraId="1F2C4E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先假设每人每日会有6人次的出行（具体看生活安排，6次出行分别是早中晚各一次出门与回家） </w:t>
      </w:r>
    </w:p>
    <w:p w14:paraId="1F6125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人群步行速度约为1.2m/s，自动人行道助力速度为0.75m/s，则平均速度为1.425m/s</w:t>
      </w:r>
    </w:p>
    <w:p w14:paraId="5124896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平均每人次出行距离为700m（这得看城市规划，先如此假设）。</w:t>
      </w:r>
    </w:p>
    <w:p w14:paraId="2B3ADF0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根据我们城市人口年龄分布，425的中年人出行时间会重叠，这是最大的交通流量峰值。</w:t>
      </w:r>
    </w:p>
    <w:p w14:paraId="2815B4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已经错峰出行的情况下，在一个时间段（2小时）内，至少要让主干道承担1000人次的双向通行，即1000人/小时。每人需要约6分钟完成一次出行。则峰值时，平均有100人同时在道路上。这对于宽13米的主干道，是有充足余量的。</w:t>
      </w:r>
    </w:p>
    <w:p w14:paraId="255BE4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自动人行道耗能估算：</w:t>
      </w:r>
    </w:p>
    <w:p w14:paraId="495E4A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铺设总长约2.4千米的自动人行道。每段200米，共12段分布在田字型主道路上。</w:t>
      </w:r>
    </w:p>
    <w:p w14:paraId="0FA181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采用智能化运行自动人行道，可以节省大量能源，估计每日只需要满功率运行6小时。</w:t>
      </w:r>
    </w:p>
    <w:p w14:paraId="0EDA52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假设运行总功率为4kw（因为人流确实不大，从市面数据来看，8kw的扶梯能满足6000人/h的流量），则只需要8760kwh。</w:t>
      </w:r>
    </w:p>
    <w:p w14:paraId="5DDB15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Fonts w:hint="eastAsia"/>
          <w:lang w:val="en-US" w:eastAsia="zh-CN"/>
        </w:rPr>
      </w:pPr>
    </w:p>
    <w:p w14:paraId="584D13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旅游交通</w:t>
      </w:r>
    </w:p>
    <w:p w14:paraId="7EA1A40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基础交通</w:t>
      </w:r>
    </w:p>
    <w:p w14:paraId="59168E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采用轻轨系统连接生活区域和旅游区域</w:t>
      </w:r>
    </w:p>
    <w:p w14:paraId="5FFC32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假设常住人口中，每人的年旅游次数为24次（每月两次），则每日需要70人次左右的往返交通流量。</w:t>
      </w:r>
    </w:p>
    <w:p w14:paraId="23CBE5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假设生活区域和旅游区域距离5km</w:t>
      </w:r>
    </w:p>
    <w:p w14:paraId="61F170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 w:firstLine="420" w:firstLineChars="0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轻轨运行为5kwh/km，且每次能满载70人（人数再增加的话，额外的能耗是很低的，因为主要重量是轻轨自重），则每年只需要18250</w:t>
      </w:r>
      <w:bookmarkStart w:id="0" w:name="_GoBack"/>
      <w:bookmarkEnd w:id="0"/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kwh。</w:t>
      </w:r>
    </w:p>
    <w:p w14:paraId="1F2CA9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跨区域交通枢纽</w:t>
      </w:r>
    </w:p>
    <w:p w14:paraId="21B4DD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停机坪：</w:t>
      </w:r>
    </w:p>
    <w:p w14:paraId="3FB985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暂时支支持直升机起落，后续会再修建跑道等；</w:t>
      </w:r>
    </w:p>
    <w:p w14:paraId="758E5B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直升机停机坪11个，直径为30m；</w:t>
      </w:r>
    </w:p>
    <w:p w14:paraId="3D3FF6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综合交通枢纽：</w:t>
      </w:r>
    </w:p>
    <w:p w14:paraId="42E298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集公路和地下交通于一体的综合交通枢纽，方便游客和居民换乘。</w:t>
      </w:r>
    </w:p>
    <w:p w14:paraId="3797C3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智能物流中心：</w:t>
      </w:r>
    </w:p>
    <w:p w14:paraId="4FC45A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建立高效的物流中心，支持两地之间的货物运输和旅游物资供应。</w:t>
      </w:r>
    </w:p>
    <w:p w14:paraId="300E75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旅游服务中心：</w:t>
      </w:r>
    </w:p>
    <w:p w14:paraId="5D0F08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在交通枢纽附近建设旅游服务中心，提供信息咨询、票务和住宿服务。</w:t>
      </w:r>
    </w:p>
    <w:p w14:paraId="4D2124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53468C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30"/>
          <w:szCs w:val="30"/>
          <w:shd w:val="clear" w:fill="FFFFFF"/>
          <w:lang w:val="en-US" w:eastAsia="zh-CN" w:bidi="ar-SA"/>
        </w:rPr>
      </w:pPr>
    </w:p>
    <w:p w14:paraId="37821A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Ansi="Cambria Math" w:cs="宋体"/>
          <w:bCs w:val="0"/>
          <w:i w:val="0"/>
          <w:iCs w:val="0"/>
          <w:caps w:val="0"/>
          <w:color w:val="262626"/>
          <w:spacing w:val="0"/>
          <w:kern w:val="2"/>
          <w:sz w:val="30"/>
          <w:szCs w:val="30"/>
          <w:shd w:val="clear" w:fill="FFFFFF"/>
          <w:lang w:val="en-US" w:bidi="ar-SA"/>
        </w:rPr>
      </w:pPr>
    </w:p>
    <w:p w14:paraId="70CC22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default" w:hAnsi="Cambria Math" w:cs="宋体"/>
          <w:bCs w:val="0"/>
          <w:i w:val="0"/>
          <w:iCs w:val="0"/>
          <w:caps w:val="0"/>
          <w:color w:val="262626"/>
          <w:spacing w:val="0"/>
          <w:kern w:val="2"/>
          <w:sz w:val="30"/>
          <w:szCs w:val="30"/>
          <w:shd w:val="clear" w:fill="FFFFFF"/>
          <w:lang w:val="en-US" w:eastAsia="zh-CN" w:bidi="ar-SA"/>
        </w:rPr>
      </w:pPr>
    </w:p>
    <w:p w14:paraId="46A5D6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eastAsia" w:ascii="宋体" w:hAnsi="宋体" w:eastAsia="宋体" w:cs="宋体"/>
          <w:b/>
          <w:bCs w:val="0"/>
          <w:i w:val="0"/>
          <w:iCs w:val="0"/>
          <w:caps w:val="0"/>
          <w:color w:val="262626"/>
          <w:spacing w:val="0"/>
          <w:kern w:val="2"/>
          <w:sz w:val="30"/>
          <w:szCs w:val="30"/>
          <w:shd w:val="clear" w:fill="FFFFFF"/>
          <w:lang w:val="en-US" w:eastAsia="zh-CN" w:bidi="ar-SA"/>
        </w:rPr>
      </w:pPr>
    </w:p>
    <w:p w14:paraId="20CA78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Style w:val="9"/>
          <w:rFonts w:hint="default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30"/>
          <w:szCs w:val="30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C62F4"/>
    <w:multiLevelType w:val="singleLevel"/>
    <w:tmpl w:val="AA7C62F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F8AAB31"/>
    <w:multiLevelType w:val="singleLevel"/>
    <w:tmpl w:val="6F8AAB3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1B4126"/>
    <w:rsid w:val="40E71B00"/>
    <w:rsid w:val="45FD31B5"/>
    <w:rsid w:val="49A94931"/>
    <w:rsid w:val="537A7FEF"/>
    <w:rsid w:val="B997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3 Char"/>
    <w:link w:val="3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1949</Words>
  <Characters>2026</Characters>
  <Lines>0</Lines>
  <Paragraphs>0</Paragraphs>
  <TotalTime>54</TotalTime>
  <ScaleCrop>false</ScaleCrop>
  <LinksUpToDate>false</LinksUpToDate>
  <CharactersWithSpaces>2033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2025-10-12T17:48:00Z</dcterms:created>
  <dc:creator>atangge</dc:creator>
  <cp:lastModifiedBy>无言</cp:lastModifiedBy>
  <dcterms:modified xsi:type="dcterms:W3CDTF">2025-10-15T18:26:38Z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KSOTemplateDocerSaveRecord">
    <vt:lpwstr>eyJoZGlkIjoiZjVhNGJiMWVmZTg4ZjFhYWZhYWFiMzBkODkwYWRkZmUiLCJ1c2VySWQiOiIxNzUwNjkyODIxIn0=</vt:lpwstr>
  </property>
  <property fmtid="{D5CDD505-2E9C-101B-9397-08002B2CF9AE}" pid="4" name="ICV">
    <vt:lpwstr>DCABB274F3C168C46276EF68EAEAFA73_43</vt:lpwstr>
  </property>
</Properties>
</file>