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75013">
      <w:pPr>
        <w:pStyle w:val="12"/>
        <w:rPr>
          <w:rFonts w:ascii="方正小标宋简体" w:eastAsia="方正小标宋简体"/>
        </w:rPr>
      </w:pPr>
      <w:r>
        <w:rPr>
          <w:rFonts w:hint="eastAsia" w:ascii="方正小标宋简体" w:eastAsia="方正小标宋简体"/>
        </w:rPr>
        <w:t>工作模块</w:t>
      </w:r>
    </w:p>
    <w:p w14:paraId="5F900064">
      <w:pPr>
        <w:pStyle w:val="11"/>
        <w:rPr>
          <w:rFonts w:hint="eastAsia"/>
        </w:rPr>
      </w:pPr>
      <w:r>
        <w:rPr>
          <w:rFonts w:hint="eastAsia"/>
        </w:rPr>
        <w:t>《基于贡献值的可持续发展与激励制度》</w:t>
      </w:r>
    </w:p>
    <w:p w14:paraId="70C161BC">
      <w:pPr>
        <w:pStyle w:val="2"/>
      </w:pPr>
      <w:r>
        <w:rPr>
          <w:rFonts w:hint="eastAsia"/>
        </w:rPr>
        <w:t>第一章：总则与核心理念</w:t>
      </w:r>
    </w:p>
    <w:p w14:paraId="680184F4">
      <w:pPr>
        <w:rPr>
          <w:rFonts w:hint="eastAsia"/>
        </w:rPr>
      </w:pPr>
    </w:p>
    <w:p w14:paraId="45CF60F5">
      <w:pPr>
        <w:pStyle w:val="3"/>
        <w:rPr>
          <w:rFonts w:hint="eastAsia"/>
        </w:rPr>
      </w:pPr>
      <w:r>
        <w:rPr>
          <w:rFonts w:hint="eastAsia"/>
        </w:rPr>
        <w:t>第一条：制度目标</w:t>
      </w:r>
    </w:p>
    <w:p w14:paraId="3D1EDACC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本制度旨在建立一个以任务分配为基础，以贡献值为衡量标准，旨在保障每位成员获得必备的生产生活资料，以“</w:t>
      </w:r>
      <w:r>
        <w:rPr>
          <w:rFonts w:hint="eastAsia" w:ascii="宋体" w:hAnsi="宋体" w:eastAsia="宋体"/>
          <w:b/>
          <w:bCs/>
          <w:sz w:val="28"/>
          <w:szCs w:val="28"/>
        </w:rPr>
        <w:t>基础保障+奖励激励</w:t>
      </w:r>
      <w:r>
        <w:rPr>
          <w:rFonts w:hint="eastAsia" w:ascii="宋体" w:hAnsi="宋体" w:eastAsia="宋体"/>
          <w:sz w:val="28"/>
          <w:szCs w:val="28"/>
        </w:rPr>
        <w:t>”为核心，确保每位社会成员通过合理劳动获取必备生产生活资料，同时激励创新与高效协作，坚决遏制内卷风气，并确保社会、环境、经济的可持续发展的新型工作与社会分配体系。</w:t>
      </w:r>
    </w:p>
    <w:p w14:paraId="11C85857">
      <w:pPr>
        <w:pStyle w:val="3"/>
        <w:rPr>
          <w:rFonts w:hint="eastAsia"/>
        </w:rPr>
      </w:pPr>
      <w:r>
        <w:rPr>
          <w:rFonts w:hint="eastAsia"/>
        </w:rPr>
        <w:t>第二条：三大核心理念</w:t>
      </w:r>
    </w:p>
    <w:p w14:paraId="4DF1AC8A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基础保障，按贡献奖励： 确保所有成员的基本生存与发展需求（衣、食、住、行、医疗、教育）得到无条件满足。在此之上，通过“贡献值”系统对超额、高效、创新的劳动进行奖励，获取更丰富的资源与发展机会。</w:t>
      </w:r>
    </w:p>
    <w:p w14:paraId="4B75070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价值导向，遏制内卷： 工作的价值不以“工作时长”或“重复劳动强度”来衡量，而是以任务的实际效益、创新程度、技术难度和对可持续发展的正面影响来评估。反对无效竞争，鼓励协作与知识共享。</w:t>
      </w:r>
    </w:p>
    <w:p w14:paraId="75B175E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生态优先，永续发展： 所有任务分配和贡献值评估，都必须嵌入对环境影响和社会长期效益的考核。鼓励资源循环、环境保护和有利于社区长期健康发展的项目。</w:t>
      </w:r>
    </w:p>
    <w:p w14:paraId="3F3EAE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第三条：特点概述</w:t>
      </w:r>
    </w:p>
    <w:p w14:paraId="6B451DFF">
      <w:pPr>
        <w:pStyle w:val="33"/>
        <w:widowControl/>
        <w:numPr>
          <w:ilvl w:val="0"/>
          <w:numId w:val="0"/>
        </w:numPr>
        <w:ind w:leftChars="0" w:right="0" w:rightChars="0"/>
        <w:contextualSpacing/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取消细小工作分类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。将整个社会按照发张需求分为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三大类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：经世科，包括工农医警等实践类活动；天演科，包括理科计科等微实践类活动；博雅科，包括人文社科等思想类活动。</w:t>
      </w:r>
    </w:p>
    <w:p w14:paraId="21F479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Times New Roman"/>
          <w:kern w:val="2"/>
          <w:sz w:val="32"/>
          <w:szCs w:val="32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具体工作分配加入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AI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算法，以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任务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形式分配到个人，根据每个人的不同情况个性化定制工作内容</w:t>
      </w:r>
      <w:r>
        <w:rPr>
          <w:rFonts w:hint="eastAsia" w:ascii="宋体" w:hAnsi="宋体" w:eastAsia="宋体" w:cs="Times New Roman"/>
          <w:kern w:val="2"/>
          <w:sz w:val="32"/>
          <w:szCs w:val="32"/>
          <w:lang w:val="en-US" w:eastAsia="zh-CN" w:bidi="ar"/>
          <w14:ligatures w14:val="standardContextual"/>
        </w:rPr>
        <w:t>。</w:t>
      </w:r>
    </w:p>
    <w:p w14:paraId="41917E9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kern w:val="2"/>
          <w:sz w:val="32"/>
          <w:szCs w:val="32"/>
          <w:lang w:val="en-US" w:eastAsia="zh-CN" w:bidi="ar"/>
          <w14:ligatures w14:val="standardContextual"/>
        </w:rPr>
      </w:pPr>
    </w:p>
    <w:p w14:paraId="3E70EBC9">
      <w:pPr>
        <w:pStyle w:val="2"/>
      </w:pPr>
      <w:r>
        <w:rPr>
          <w:rFonts w:hint="eastAsia"/>
        </w:rPr>
        <w:t>第二章：任务分配体系</w:t>
      </w:r>
    </w:p>
    <w:p w14:paraId="3AFA76AA">
      <w:pPr>
        <w:rPr>
          <w:rFonts w:hint="eastAsia"/>
        </w:rPr>
      </w:pPr>
    </w:p>
    <w:p w14:paraId="140F011B">
      <w:pPr>
        <w:pStyle w:val="3"/>
        <w:rPr>
          <w:rFonts w:hint="eastAsia"/>
        </w:rPr>
      </w:pPr>
      <w:r>
        <w:rPr>
          <w:rFonts w:hint="eastAsia"/>
        </w:rPr>
        <w:t>第四条：任务分类与发布</w:t>
      </w:r>
    </w:p>
    <w:p w14:paraId="1EAA1FA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基础保障类任务： 指向社会运转和基本生活资料生产所必需的工作（如：基础农业生产、物资配送、基础设施维护、基础医疗教育服务等）。此类任务优先保证人员配置，确保社会基础稳定。</w:t>
      </w:r>
    </w:p>
    <w:p w14:paraId="7F8D485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创新发展类任务： 指向技术研发、艺术创作、工艺改进、管理优化、教育深化等能提升社会整体效能和生活质量的工作。</w:t>
      </w:r>
    </w:p>
    <w:p w14:paraId="6A1E444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可持续发展类任务： 指向生态修复、环境保护、资源回收、新能源开发、生物多样性保护等确保长期生存环境的工作。</w:t>
      </w:r>
    </w:p>
    <w:p w14:paraId="4A8260A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4. 社区服务与协作类任务： 指向社区管理、育儿养老、知识分享、技能培训等增强社会凝聚力的工作。</w:t>
      </w:r>
    </w:p>
    <w:p w14:paraId="689682BA">
      <w:pPr>
        <w:pStyle w:val="3"/>
        <w:rPr>
          <w:rFonts w:hint="eastAsia" w:ascii="宋体" w:hAnsi="宋体" w:eastAsia="宋体"/>
          <w:sz w:val="28"/>
          <w:szCs w:val="28"/>
        </w:rPr>
      </w:pPr>
      <w:r>
        <w:rPr>
          <w:rFonts w:hint="eastAsia"/>
        </w:rPr>
        <w:t>第五条：任务认领机制</w:t>
      </w:r>
    </w:p>
    <w:p w14:paraId="71221AA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平台化公示： 所有任务通过统一平台公示，明确任务内容、所需技能、预估耗时、基础贡献值及可持续发展系数。</w:t>
      </w:r>
    </w:p>
    <w:p w14:paraId="4466110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双向选择： 成员可根据自身兴趣、技能和时间，自主申请认领任务。任务发布方（可以是社区、项目组或管理机构）根据申请者的资质和方案进行选择。</w:t>
      </w:r>
    </w:p>
    <w:p w14:paraId="1AA8EE2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团队协作鼓励： 鼓励以团队形式认领复杂任务，团队内部可自行协商贡献值分配方案。</w:t>
      </w:r>
    </w:p>
    <w:p w14:paraId="5AD2FC97">
      <w:pPr>
        <w:rPr>
          <w:rFonts w:hint="eastAsia" w:ascii="宋体" w:hAnsi="宋体" w:eastAsia="宋体"/>
          <w:sz w:val="28"/>
          <w:szCs w:val="28"/>
        </w:rPr>
      </w:pPr>
    </w:p>
    <w:p w14:paraId="6B311D2C">
      <w:pPr>
        <w:pStyle w:val="2"/>
        <w:rPr>
          <w:rFonts w:hint="eastAsia"/>
        </w:rPr>
      </w:pPr>
      <w:r>
        <w:rPr>
          <w:rFonts w:hint="eastAsia"/>
        </w:rPr>
        <w:t>第三章：贡献值系统与奖励机制</w:t>
      </w:r>
    </w:p>
    <w:p w14:paraId="5639058A">
      <w:pPr>
        <w:rPr>
          <w:rFonts w:hint="eastAsia" w:ascii="宋体" w:hAnsi="宋体" w:eastAsia="宋体"/>
          <w:sz w:val="28"/>
          <w:szCs w:val="28"/>
        </w:rPr>
      </w:pPr>
    </w:p>
    <w:p w14:paraId="64964FFB">
      <w:pPr>
        <w:pStyle w:val="3"/>
        <w:rPr>
          <w:rFonts w:hint="eastAsia"/>
        </w:rPr>
      </w:pPr>
      <w:r>
        <w:rPr>
          <w:rFonts w:hint="eastAsia"/>
        </w:rPr>
        <w:t>第六条：贡献值定义与计算</w:t>
      </w:r>
    </w:p>
    <w:p w14:paraId="758729A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贡献值是衡量个人劳动价值的唯一虚拟单位，是获取奖励和额外生活资料的凭证。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以节约能耗，反哺自然为基。质化与量化并存。质量化工作成果，并通过质与量的加权平均来分配。（其中，经世类量化权重：80%；天演类量化权重:40%；博雅类量化权重：20%）</w:t>
      </w:r>
    </w:p>
    <w:p w14:paraId="3814E83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个人贡献值 = 任务基础值 × 效率系数 × 质量系数 × 可持续发展系数</w:t>
      </w:r>
    </w:p>
    <w:p w14:paraId="151D0C9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 任务基础值： 由社会管理机构根据任务的重要性、复杂度和稀缺性定期核定。</w:t>
      </w:r>
    </w:p>
    <w:p w14:paraId="16783CA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 效率系数（&gt;1）： 在保证质量的前提下，以更短时间、更少资源完成任务将获得加成。</w:t>
      </w:r>
    </w:p>
    <w:p w14:paraId="1DBB463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 质量系数（&gt;1）： 任务成果超出预期标准，具有创新性或获得广泛好评将获得加成。</w:t>
      </w:r>
    </w:p>
    <w:p w14:paraId="3482196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· 可持续发展系数（固定权重）： 所有任务都需评估其环境和社会影响。</w:t>
      </w:r>
    </w:p>
    <w:p w14:paraId="7E165C2F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· 正面（&gt;1）： 如任务促进节能减排、社区和谐。</w:t>
      </w:r>
    </w:p>
    <w:p w14:paraId="3ADB855D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· 中性（=1）： 对环境和社会无明显影响。</w:t>
      </w:r>
    </w:p>
    <w:p w14:paraId="6FE641EF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· 负面（&lt;1，甚至为负）： 如任务造成污染、资源浪费或加剧内耗，将大幅降低贡献值。</w:t>
      </w:r>
    </w:p>
    <w:p w14:paraId="6AF52191">
      <w:pPr>
        <w:pStyle w:val="3"/>
        <w:rPr>
          <w:rFonts w:hint="eastAsia"/>
        </w:rPr>
      </w:pPr>
      <w:r>
        <w:rPr>
          <w:rFonts w:hint="eastAsia"/>
        </w:rPr>
        <w:t>第七条：奖励获取与兑换</w:t>
      </w:r>
    </w:p>
    <w:p w14:paraId="5C6B1753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• 为每位成年社会成员设定“基础生存任务”，内容匹配个人能力（如基础生产劳动、公共服务协助等），任务强度控制在每日4-6小时，确保劳动与休息平衡。</w:t>
      </w:r>
    </w:p>
    <w:p w14:paraId="00F65475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• 完成基础任务后，可直接获取“基础生存包”，包含食品、饮用水、基础住宿、医疗保障、基础教育等必备资源，覆盖个人生产生活核心需求，无任务完成度排名差异。</w:t>
      </w:r>
    </w:p>
    <w:p w14:paraId="3BBAAD97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• 设立“分类奖励任务库”，按社会需求划分为“可持续发展类”（如环保技术研发、资源循环利用）、“公共服务类”（如社区帮扶、文化传承）、“创新创造类”（如技术革新、艺术创作）等类别，任务难度与奖励挂钩。</w:t>
      </w:r>
    </w:p>
    <w:p w14:paraId="03A249D7">
      <w:pPr>
        <w:ind w:firstLine="560" w:firstLineChars="20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• 成员可自主选择奖励任务（不强制参与），完成后获得“增值资源积分”，可兑换优质商品（如升级住宿、特色食品）、技能培训机会、休闲资源（如旅行、文化体验）等非必备资源，积分不设“排行榜”，仅作为个人资源兑换凭证。</w:t>
      </w:r>
    </w:p>
    <w:p w14:paraId="1048BA51">
      <w:pPr>
        <w:rPr>
          <w:rFonts w:hint="eastAsia" w:ascii="宋体" w:hAnsi="宋体" w:eastAsia="宋体"/>
          <w:sz w:val="28"/>
          <w:szCs w:val="28"/>
        </w:rPr>
      </w:pPr>
    </w:p>
    <w:p w14:paraId="51205F76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基础生活资料包： 所有成员按月完成基础任务获得，确保生存尊严。包括但不限于：定量的食物、水、基本住房、能源、医疗和教育资源。</w:t>
      </w:r>
    </w:p>
    <w:p w14:paraId="61FB07E2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贡献值兑换商城： 成员可使用贡献值兑换：</w:t>
      </w:r>
    </w:p>
    <w:p w14:paraId="766A570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 · 升级版生活资料： 更舒适的住房、更丰富的食品选择、更个性化的服装等。</w:t>
      </w:r>
    </w:p>
    <w:p w14:paraId="68994690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 · 发展资源： 高端教育名额、深度技能培训、科研项目支持、艺术创作资助。</w:t>
      </w:r>
    </w:p>
    <w:p w14:paraId="5B34E3F1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 · 体验与服务： 旅行机会、文化娱乐活动、个性化服务。</w:t>
      </w:r>
    </w:p>
    <w:p w14:paraId="1719886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   · 社会荣誉： 某些荣誉头衔或社会职务的竞选资格可能与累计贡献值挂钩。</w:t>
      </w:r>
    </w:p>
    <w:p w14:paraId="49923720">
      <w:pPr>
        <w:rPr>
          <w:rFonts w:hint="eastAsia" w:ascii="宋体" w:hAnsi="宋体" w:eastAsia="宋体"/>
          <w:sz w:val="28"/>
          <w:szCs w:val="28"/>
        </w:rPr>
      </w:pPr>
    </w:p>
    <w:p w14:paraId="12059762">
      <w:pPr>
        <w:pStyle w:val="2"/>
        <w:rPr>
          <w:rFonts w:hint="eastAsia"/>
        </w:rPr>
      </w:pPr>
      <w:r>
        <w:rPr>
          <w:rFonts w:hint="eastAsia"/>
        </w:rPr>
        <w:t>第四章：遏制内卷与促进协作</w:t>
      </w:r>
    </w:p>
    <w:p w14:paraId="7B8D481D">
      <w:pPr>
        <w:rPr>
          <w:rFonts w:hint="eastAsia" w:ascii="宋体" w:hAnsi="宋体" w:eastAsia="宋体"/>
          <w:sz w:val="28"/>
          <w:szCs w:val="28"/>
        </w:rPr>
      </w:pPr>
    </w:p>
    <w:p w14:paraId="0C567BEE">
      <w:pPr>
        <w:pStyle w:val="3"/>
        <w:rPr>
          <w:rFonts w:hint="eastAsia"/>
        </w:rPr>
      </w:pPr>
      <w:r>
        <w:rPr>
          <w:rFonts w:hint="eastAsia"/>
        </w:rPr>
        <w:t>第八条：反内卷条款</w:t>
      </w:r>
    </w:p>
    <w:p w14:paraId="6CDD0D3C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禁止工时竞赛： 系统对同一任务的贡献值评估设有上限，超出合理工时部分不再计算贡献值。鼓励“高效工作，充分生活”。</w:t>
      </w:r>
    </w:p>
    <w:p w14:paraId="7751A457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反对重复造轮子： 对于已有成熟解决方案的任务，后续重复提交的类似方案所获贡献值将大幅降低。鼓励在现有基础上进行改进和创新。</w:t>
      </w:r>
    </w:p>
    <w:p w14:paraId="121A8D07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“内耗”行为负贡献值： 对于通过恶意竞争、信息封锁、诋毁他人等手段谋取利益的行为，一经核实，将扣除其贡献值，并公示惩戒。</w:t>
      </w:r>
    </w:p>
    <w:p w14:paraId="1FA0FCE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4. 任务饱和度监测： 系统会监测成员的总体任务量，当接近个人承受极限时，会发出提醒并限制其接取新任务，防止过劳。</w:t>
      </w:r>
    </w:p>
    <w:p w14:paraId="3A89FF6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5. 设定“增值资源上限”：单个成员每月可兑换的增值资源积分不超过社会平均积分的1.5倍，避免少数人通过“超额劳动”垄断优质资源，保障资源分配均衡。</w:t>
      </w:r>
    </w:p>
    <w:p w14:paraId="7E137FC3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6. 取消“竞争式评价”：不设立“劳动标兵”“效率排名”等易引发内卷的荣誉，奖励仅与“任务完成质量”挂钩（如环保任务需达标、公共服务需获服务对象认可），而非“完成速度”或“完成数量”。</w:t>
      </w:r>
    </w:p>
    <w:p w14:paraId="5D7D4B51">
      <w:pPr>
        <w:pStyle w:val="3"/>
        <w:rPr>
          <w:rFonts w:hint="eastAsia"/>
        </w:rPr>
      </w:pPr>
      <w:r>
        <w:rPr>
          <w:rFonts w:hint="eastAsia"/>
        </w:rPr>
        <w:t>第九条：促协作机制</w:t>
      </w:r>
    </w:p>
    <w:p w14:paraId="2ABF3DD7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知识共享奖励： 成员将个人知识、经验、技能制作成教程或开源方案共享给社区，可获得持续性贡献值奖励。</w:t>
      </w:r>
    </w:p>
    <w:p w14:paraId="05B42BAA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团队任务加成： 团队完成的任务，总贡献值会获得额外的“协作加成”。</w:t>
      </w:r>
    </w:p>
    <w:p w14:paraId="6BFBC1F7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导师制奖励： 资深成员指导新人快速上岗，可根据新人的成长速度和成果获得贡献值奖励。</w:t>
      </w:r>
    </w:p>
    <w:p w14:paraId="344D1D30">
      <w:pPr>
        <w:rPr>
          <w:rFonts w:hint="eastAsia" w:ascii="宋体" w:hAnsi="宋体" w:eastAsia="宋体"/>
          <w:sz w:val="28"/>
          <w:szCs w:val="28"/>
        </w:rPr>
      </w:pPr>
    </w:p>
    <w:p w14:paraId="3FC55805">
      <w:pPr>
        <w:pStyle w:val="2"/>
        <w:rPr>
          <w:rFonts w:hint="eastAsia"/>
        </w:rPr>
      </w:pPr>
      <w:r>
        <w:rPr>
          <w:rFonts w:hint="eastAsia"/>
        </w:rPr>
        <w:t>第五章：可持续发展嵌入与监督</w:t>
      </w:r>
    </w:p>
    <w:p w14:paraId="10CE9A93">
      <w:pPr>
        <w:rPr>
          <w:rFonts w:hint="eastAsia" w:ascii="宋体" w:hAnsi="宋体" w:eastAsia="宋体"/>
          <w:sz w:val="28"/>
          <w:szCs w:val="28"/>
        </w:rPr>
      </w:pPr>
    </w:p>
    <w:p w14:paraId="610CBC50">
      <w:pPr>
        <w:pStyle w:val="3"/>
        <w:rPr>
          <w:rFonts w:hint="eastAsia"/>
        </w:rPr>
      </w:pPr>
      <w:r>
        <w:rPr>
          <w:rFonts w:hint="eastAsia"/>
        </w:rPr>
        <w:t>第十条：生态成本核算</w:t>
      </w:r>
    </w:p>
    <w:p w14:paraId="40A12AC5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每一项任务在发布前，都必须进行初步的“</w:t>
      </w:r>
      <w:r>
        <w:rPr>
          <w:rFonts w:hint="eastAsia" w:ascii="宋体" w:hAnsi="宋体" w:eastAsia="宋体"/>
          <w:b/>
          <w:bCs/>
          <w:sz w:val="28"/>
          <w:szCs w:val="28"/>
        </w:rPr>
        <w:t>生态成本</w:t>
      </w:r>
      <w:r>
        <w:rPr>
          <w:rFonts w:hint="eastAsia" w:ascii="宋体" w:hAnsi="宋体" w:eastAsia="宋体"/>
          <w:sz w:val="28"/>
          <w:szCs w:val="28"/>
        </w:rPr>
        <w:t>”评估，并将其作为可持续发展系数的重要依据。鼓励使用可再生资源、低碳技术和循环材料。</w:t>
      </w:r>
    </w:p>
    <w:p w14:paraId="01F29C0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且奖励任务库中，“可持续发展类任务”占比不低于30%，且该类任务的增值积分高于普通任务10%-20%，引导成员主动参与环保、资源节约工作。</w:t>
      </w:r>
    </w:p>
    <w:p w14:paraId="5357EDC4">
      <w:pPr>
        <w:pStyle w:val="3"/>
        <w:rPr>
          <w:rFonts w:hint="eastAsia"/>
        </w:rPr>
      </w:pPr>
      <w:r>
        <w:rPr>
          <w:rFonts w:hint="eastAsia"/>
        </w:rPr>
        <w:t>第十一条：长期社会效益评估</w:t>
      </w:r>
    </w:p>
    <w:p w14:paraId="6F494767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对于大型项目和长期任务，设立定期评估机制，考核其对社会结构、社区文化、公众心理健康的长期影响，并动态调整其贡献值系数。</w:t>
      </w:r>
    </w:p>
    <w:p w14:paraId="6148420C">
      <w:pPr>
        <w:pStyle w:val="3"/>
        <w:rPr>
          <w:rFonts w:hint="eastAsia"/>
        </w:rPr>
      </w:pPr>
      <w:r>
        <w:rPr>
          <w:rFonts w:hint="eastAsia"/>
        </w:rPr>
        <w:t>第十二条：能力提升与长期发展</w:t>
      </w:r>
    </w:p>
    <w:p w14:paraId="1504D041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• 从社会总资源中划拨15%作为“公共技能培训基金”，成员可凭基础任务完成记录免费参与技能培训，提升个人能力以匹配更高质量的奖励任务，而非通过“拼时间”竞争，实现“能力提升型发展”而非“内卷消耗型发展”。</w:t>
      </w:r>
    </w:p>
    <w:p w14:paraId="69452B08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• 设立“代际资源传承机制”，基础生存保障覆盖未成年人与老年人，避免“为下一代积累资源”引发的过度劳动，保障社会长期人口结构与资源分配平衡。</w:t>
      </w:r>
    </w:p>
    <w:p w14:paraId="1D90D269">
      <w:pPr>
        <w:pStyle w:val="3"/>
        <w:rPr>
          <w:rFonts w:hint="eastAsia"/>
        </w:rPr>
      </w:pPr>
      <w:r>
        <w:rPr>
          <w:rFonts w:hint="eastAsia"/>
        </w:rPr>
        <w:t>第十三条：监督与修订</w:t>
      </w:r>
    </w:p>
    <w:p w14:paraId="7FA5D86B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设立由普通成员、领域专家和管理者共同组成的制度委员会，负责：</w:t>
      </w:r>
    </w:p>
    <w:p w14:paraId="186C76F6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1. 监督贡献值评估的公平性。</w:t>
      </w:r>
    </w:p>
    <w:p w14:paraId="141C7909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2. 受理关于内卷行为和不可持续实践的投诉。</w:t>
      </w:r>
    </w:p>
    <w:p w14:paraId="235C148E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3. 定期根据社会发展的新情况，对任务分类、贡献值计算方式和奖励内容进行修订和优化。</w:t>
      </w:r>
    </w:p>
    <w:p w14:paraId="79FEB6EE">
      <w:pPr>
        <w:pStyle w:val="2"/>
        <w:bidi w:val="0"/>
        <w:rPr>
          <w:rFonts w:hint="eastAsia" w:ascii="宋体" w:hAnsi="宋体" w:eastAsia="宋体" w:cs="Times New Roman"/>
          <w:kern w:val="2"/>
          <w:szCs w:val="32"/>
          <w:lang w:val="en-US" w:eastAsia="zh-CN" w:bidi="ar"/>
          <w14:ligatures w14:val="standardContextual"/>
        </w:rPr>
      </w:pPr>
      <w:r>
        <w:rPr>
          <w:rFonts w:hint="eastAsia"/>
          <w:lang w:val="en-US" w:eastAsia="zh-CN"/>
        </w:rPr>
        <w:t>第六章：三大分类下的技术创新</w:t>
      </w:r>
    </w:p>
    <w:p w14:paraId="1F31D41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Times New Roman"/>
          <w:b/>
          <w:bCs/>
          <w:kern w:val="2"/>
          <w:sz w:val="32"/>
          <w:szCs w:val="32"/>
          <w:lang w:val="en-US" w:eastAsia="zh-CN" w:bidi="ar"/>
          <w14:ligatures w14:val="standardContextual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核心：社会智能操作系统</w:t>
      </w:r>
    </w:p>
    <w:p w14:paraId="5323C363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这是一个覆盖全社会的AI平台，是设想的工作分配系统的技术核心。它负责收集数据、分析需求、分配任务、评估效果。</w:t>
      </w:r>
    </w:p>
    <w:p w14:paraId="598BCCC5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12B14B4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一、经世科 - 改造物质世界的实践科学</w:t>
      </w:r>
    </w:p>
    <w:p w14:paraId="0840D550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5A1E15B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核心使命： 直接从事物质生产、社会运行、生命保障和秩序维护，满足社会生存与发展的基本物质需求。</w:t>
      </w:r>
    </w:p>
    <w:p w14:paraId="2A59F3C6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具体技术体系：</w:t>
      </w:r>
    </w:p>
    <w:p w14:paraId="64E7420B">
      <w:pPr>
        <w:numPr>
          <w:ilvl w:val="0"/>
          <w:numId w:val="1"/>
        </w:num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实体自动化与机器人技术群：</w:t>
      </w:r>
    </w:p>
    <w:p w14:paraId="7978BB9D">
      <w:pPr>
        <w:numPr>
          <w:numId w:val="0"/>
        </w:numPr>
        <w:ind w:firstLine="560" w:firstLineChars="20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· 智能柔性制造： 3D/4D打印【1】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Yang C ,Xin X ,Zhao W , et al.Highly programmable 4D printed multi-shape gradient metamaterials and multifunctional devices[J].International Journal of Extreme Manufacturing,2025,7(05):422-438.DOI:CNKI:SUN:IJEG.0.2025-05-016.</w:t>
      </w:r>
    </w:p>
    <w:p w14:paraId="0FFFDA3C">
      <w:pPr>
        <w:widowControl w:val="0"/>
        <w:numPr>
          <w:numId w:val="0"/>
        </w:numPr>
        <w:spacing w:after="160" w:line="278" w:lineRule="auto"/>
        <w:ind w:leftChars="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【2】Yang C ,Xin X ,Zhao W , et al.Highly programmable 4D printed multi-shape gradient metamaterials and multifunctional devices[J].International Journal of Extreme Manufacturing,2025,7(05):422-438.DOI:CNKI:SUN:IJEG.0.2025-05-016.</w:t>
      </w:r>
    </w:p>
    <w:p w14:paraId="6C64DE55">
      <w:pPr>
        <w:widowControl w:val="0"/>
        <w:numPr>
          <w:numId w:val="0"/>
        </w:numPr>
        <w:spacing w:after="160" w:line="278" w:lineRule="auto"/>
        <w:ind w:leftChars="0"/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、模块化机器人【3】</w:t>
      </w:r>
      <w:r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高宇航.面向共融协作任务的模块化机器人系统迭代学习优化交互控制研究[D].长春工业大学,2025.DOI:10.27805/d.cnki.gccgy.2025.000612.</w:t>
      </w:r>
    </w:p>
    <w:p w14:paraId="4092A100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，能够根据AI下发的个性化订单快速切换生产模式。</w:t>
      </w:r>
    </w:p>
    <w:p w14:paraId="5CBD16BA">
      <w:pPr>
        <w:widowControl w:val="0"/>
        <w:numPr>
          <w:ilvl w:val="0"/>
          <w:numId w:val="0"/>
        </w:numPr>
        <w:spacing w:after="160" w:line="278" w:lineRule="auto"/>
        <w:ind w:left="0" w:leftChars="0" w:firstLine="0" w:firstLineChars="0"/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无人化农业： 全周期农业机器人【4】</w:t>
      </w:r>
      <w:r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尚进,尹章轩,连傲星,等.基于STM32单片机的智慧农业机器人设计[J].仪表技术,2025,(05):36-39.DOI:10.19432/j.cnki.issn1006-2394.2025.05.015.</w:t>
      </w:r>
    </w:p>
    <w:p w14:paraId="0E53F22F">
      <w:pPr>
        <w:widowControl w:val="0"/>
        <w:numPr>
          <w:ilvl w:val="0"/>
          <w:numId w:val="0"/>
        </w:numPr>
        <w:spacing w:after="160" w:line="278" w:lineRule="auto"/>
        <w:ind w:left="0" w:leftChars="0" w:firstLine="0" w:firstLineChars="0"/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、垂直农业系统、基因编辑育种【5】</w:t>
      </w:r>
      <w:r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HUANG L ,WU D ,ZHANG G .耐盐胁迫相关离子转运蛋白与作物耐盐育种研究的进展（英文）[J].Journal of Zhejiang University-Science B(Biomedicine &amp; Biotechnology),2020,21(06):426-441.DOI:CNKI:SUN:ZDYW.0.2020-06-002.</w:t>
      </w:r>
    </w:p>
    <w:p w14:paraId="42EF32FA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、无人机植保。</w:t>
      </w:r>
    </w:p>
    <w:p w14:paraId="19F1F3DB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智慧城市基建： 自修复混凝土【6】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朱杰,王东才,唐思哲.自修复混凝土在建筑结构中的应用[J].城市建设理论研究(电子版),2025,(02):208-210.DOI:10.19569/j.cnki.cn119313/tu.202502069.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、智能电网【7】黄刚,吴飞,郭创新.深度学习驱动的智能电网调度：综述（英文）[J].Frontiers of Information Technology &amp; Electronic Engineering,2022,23(05):763-777.DOI:CNKI:SUN:JZUS.0.2022-05-006.</w:t>
      </w:r>
    </w:p>
    <w:p w14:paraId="284D5AAF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、无人驾驶交通网络、地下物流管道系统【8】鲁世博,许元鲜,董建军,等.基于地铁的城市地下物流网络设计及货运性能研究[J].隧道建设(中英文),2025,45(06):1192-1201.DOI:CNKI:SUN:JSSD.0.2025-06-014.</w:t>
      </w:r>
    </w:p>
    <w:p w14:paraId="07B2B98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。【9】刘志明,周浩,黄胜,等.用于城市地下管道物流的载货车辆设计方法研究[J/OL].地下空间与工程学报,1-11[2025-10-14].https://link.cnki.net/urlid/50.1169.TU.20250613.1658.010.</w:t>
      </w:r>
    </w:p>
    <w:p w14:paraId="24B1FB95">
      <w:pPr>
        <w:numPr>
          <w:ilvl w:val="4"/>
          <w:numId w:val="0"/>
        </w:numPr>
        <w:ind w:left="0" w:leftChars="0" w:firstLine="380" w:firstLineChars="136"/>
        <w:jc w:val="both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· 智慧交通：运载器械统一采用碳纤维和复合材料【10】刘博,李建波,封舟杭,等.具有原位生成三重界面的碳纤维增强Mg-4Y-2Nd-1Gd-0.5Zr复合材料的制备及力学性能（英文）[J].Science China(Materials),2025,68(10):3745-3756.</w:t>
      </w:r>
    </w:p>
    <w:p w14:paraId="3B24550B">
      <w:pPr>
        <w:numPr>
          <w:ilvl w:val="4"/>
          <w:numId w:val="0"/>
        </w:numPr>
        <w:ind w:left="0" w:leftChars="0" w:firstLine="380" w:firstLineChars="136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，在保留结构强度的同时减轻重量，降低能耗。低空无人载具（货物/人员）;无人轮式车;全地形车（对外）;旋翼机（对外）。</w:t>
      </w:r>
    </w:p>
    <w:p w14:paraId="0AD4E43A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资源循环技术： 高效垃圾分类与AI识别、分子级回收、废物能源转化系统。【11】李昕昱,赵婧,储刚,等.生物炭在农田退水中氮磷回收与循环利用中的应用及挑战[J/OL].环境科学研究,1-17[2025-10-14].https://doi.org/10.13198/j.issn.1001-6929.2025.08.08.【12】NGOWI J N .将木炭废物转化为燃料能源以实现循环经济和环境可持续性的模式：以坦桑尼亚为例（英文）[J].Journal of Resources and Ecology,2023,14(06):1148-1155.DOI:CNKI:SUN:JORE.0.2023-06-004.</w:t>
      </w:r>
    </w:p>
    <w:p w14:paraId="0B1221B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2. 先进能源技术群：</w:t>
      </w:r>
    </w:p>
    <w:p w14:paraId="0CE35A7E"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太阳能地热能组合利用：实现充足能源供应</w:t>
      </w:r>
    </w:p>
    <w:p w14:paraId="3574F45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分布式智能电网： 实现能源的按需、精准调配。【13】周郑.智能电网中用电信息实时监测与分布式储能系统的协同控制[J].储能科学与技术,2025,14(09):3619-3621.DOI:10.19799/j.cnki.2095-4239.2025.0718.</w:t>
      </w:r>
    </w:p>
    <w:p w14:paraId="3D9389E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高效储能技术： 新一代电池、超级电容、氢储能。【14】伊立其,郭常青,谭弘毅,等.基于有机液体储氢载体的氢储能系统能效分析[J].新能源进展,2017,5(03):197-203.【15】胡赠彬,液体有机氢储能装置技术标准体系研究.云南省,云南省产品质量监督检验研究院,2019-12-02.</w:t>
      </w:r>
    </w:p>
    <w:p w14:paraId="28A0A0D4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3. 人体增强与生命保障技术群：</w:t>
      </w:r>
    </w:p>
    <w:p w14:paraId="57018914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外骨骼与动力服： 增强体力劳动者的能力，减少劳损。 【16】张琦,梁鹏,钟明月,等.下肢外骨骼康复机器人平衡机构的优化设计与分析[J].机械工程师,2025,(10):18-23+28.DOI:CNKI:SUN:JXGU.0.2025-10-005.</w:t>
      </w:r>
    </w:p>
    <w:p w14:paraId="36770101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【17】张珍珍,梁爽.基于人工智能的可穿戴设备在骨科康复中的应用[J].骨科,2025,16(05):461-465.DOI:CNKI:SUN:HYXZ.0.2025-05-015.</w:t>
      </w:r>
    </w:p>
    <w:p w14:paraId="7879E304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4E86E4FE">
      <w:pPr>
        <w:ind w:left="0" w:leftChars="0" w:firstLine="397" w:firstLineChars="142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· 健康监测系统：免费开放，为全体公民进行对轻微疾病的初步诊疗，配合精准给药和病原体灭杀。【18】王导利.基于语音与行为数据分析的体质健康监测可穿戴设备研究[J].自动化与仪器仪表,2025,(09):265-269.DOI:10.14016/j.cnki.1001-9227.2025.09.265.【19】贺寿成,李英,王乐,等.“智慧童行”——婴幼儿健康监测系统构建研究[J].标准生活,2025,(05):121-124.DOI:CNKI:SUN:SJBA.0.2025-05-024.</w:t>
      </w:r>
    </w:p>
    <w:p w14:paraId="7BFC2084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远程医疗与手术机器人： 让顶尖医疗资源无远弗届。【20】周寿军,彭永军,李茂全,等.手术机器人技术发展现状与前沿趋势[J].中国介入影像与治疗学,2025,22(08):550-553.DOI:10.13929/j.issn.1672-8475.2025.08.013.</w:t>
      </w:r>
    </w:p>
    <w:p w14:paraId="07B3B2E9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应急响应系统： 灾害预测无人机群、AI指挥的救援机器人、快速部署的临时避难所。【21】杨月巧,宁占金,李明媛,等.DeepSeek应用于自然灾害风险机器学习预测研究的探索[J].灾害学,2025,40(04):114-119+179.</w:t>
      </w:r>
    </w:p>
    <w:p w14:paraId="565E333F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5FB11B5F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4. 社会物理信息系统：</w:t>
      </w:r>
    </w:p>
    <w:p w14:paraId="763AB439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万物互联： 所有物理设备（工具、车辆、家电）接入社会操作系统，实时反馈状态。</w:t>
      </w:r>
    </w:p>
    <w:p w14:paraId="15781A88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数字孪生： 为整个物理世界（城市、工厂、农田）创建高保真虚拟模型，用于模拟、预测和优化。【22】陈致蓬,韩杰,阳春华,等.工业垂域具身智控大模型构建新范式探索[J/OL].自动化学报,1-18[2025-10-14].https://doi.org/10.16383/j.aas.c250247CSTR32138.14.j.aas.c250247.</w:t>
      </w:r>
    </w:p>
    <w:p w14:paraId="672A028C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42BBCE3D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11843B06">
      <w:pPr>
        <w:pStyle w:val="3"/>
        <w:bidi w:val="0"/>
        <w:rPr>
          <w:rFonts w:hint="eastAsia" w:ascii="宋体" w:hAnsi="宋体" w:eastAsia="宋体"/>
          <w:szCs w:val="28"/>
          <w:lang w:val="en-US" w:eastAsia="zh-CN"/>
        </w:rPr>
      </w:pPr>
      <w:r>
        <w:rPr>
          <w:rFonts w:hint="eastAsia"/>
          <w:lang w:val="en-US" w:eastAsia="zh-CN"/>
        </w:rPr>
        <w:t>二、天演科 - 探索自然规律的微实践科学</w:t>
      </w:r>
    </w:p>
    <w:p w14:paraId="08AC7833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079034AA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核心使命： 发现并建模宇宙、自然和信息的底层规律，为“经世科”提供理论、模型和工具，是技术进步的源泉。</w:t>
      </w:r>
    </w:p>
    <w:p w14:paraId="7DB55420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232A6D5A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具体技术体系：</w:t>
      </w:r>
    </w:p>
    <w:p w14:paraId="04CB37D8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665EBDF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1. 计算与模拟技术群：</w:t>
      </w:r>
    </w:p>
    <w:p w14:paraId="7F13056E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下一代计算： 量子计算、光子计算、类脑计算，用于解决极端复杂的科学问题。【23】马静.新一代计算机信息技术的创新与应用模式研究[J].中国宽带,2025,21(10):22-24.DOI:10.20167/j.cnki.ISSN1673-7911.2025.10.08.【24】胡有能,李一涛,金孝飞,等.类脑计算芯片：研究现状、挑战及展望[J].人工智能,2025,(04):53-67+4.DOI:10.16453/j.2096-5036.202538.</w:t>
      </w:r>
    </w:p>
    <w:p w14:paraId="62C7DBB8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多尺度模拟平台： 从夸克到宇宙，从微秒到亿年，对物理、化学、生物、社会现象进行高精度模拟。</w:t>
      </w:r>
    </w:p>
    <w:p w14:paraId="0C51F98E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大规模数据科学： 处理从经世科和全社会汇集的海量数据，挖掘新知识。</w:t>
      </w:r>
    </w:p>
    <w:p w14:paraId="5895C20E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2. 基础科学研究工具群：</w:t>
      </w:r>
    </w:p>
    <w:p w14:paraId="44E0671B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自动化实验室： AI驱动的实验机器人，7x24小时进行高通量材料筛选、药物发现和基因测序分析。【25】杨文韬,朱熹.自动化实验室展望：化学实验的数字化[J].南京工业大学学报(自然科学版),2025,47(02):115-124.DOI:CNKI:SUN:NHXB.0.2025-02-001.</w:t>
      </w:r>
    </w:p>
    <w:p w14:paraId="22343817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大科学装置网络： 分布式射电望远镜、粒子对撞机、深海/深空探测网络，由AI协同进行数据采集与分析。【26】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Qingsheng X ,Hui L ,Fengqin L , et al.Underwater hyperspectral imaging system for deep-sea exploration[J].Frontiers in Physics,2022,DOI:10.3389/FPHY.2022.1058733.</w:t>
      </w:r>
    </w:p>
    <w:p w14:paraId="321B233D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科学AI： 能够自主提出科学假说、设计实验、并撰写论文的强人工智能。</w:t>
      </w:r>
    </w:p>
    <w:p w14:paraId="7E6B3A78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3. 信息与数字基础技术群：</w:t>
      </w:r>
    </w:p>
    <w:p w14:paraId="5AF5C14F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新一代人工智能算法： 解释性强AI、通用人工智能的探索、伦理对齐算法。【27】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郑煌杰.从ChatGPT到DeepSeek：智能体价值对齐的规范进路[J/OL].科学学研究,1-20[2025-10-14].https://doi.org/10.16192/j.cnki.1003-2053.20250616.001.</w:t>
      </w:r>
    </w:p>
    <w:p w14:paraId="06CD0862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信息安全与密码学： 保障整个社会操作系统和数据流通的安全，特别是量子加密与抗量子密码。【28】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魏宝琳,米鹏伟,杭涛,等.5G电子政务外网量子保密通信与抗量子加密应用研究[J].信息通信技术与政策,2025,51(07):62-69.DOI:CNKI:SUN:DXWJ.0.2025-07-009.</w:t>
      </w:r>
    </w:p>
    <w:p w14:paraId="05D248F7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软件工程自动化： AI根据博雅科的需求和天演科的模型，自动生成、测试和优化经世科所需的控制软件。</w:t>
      </w:r>
    </w:p>
    <w:p w14:paraId="221620BE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452E19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三、博雅科 - 塑造精神世界的思想科学</w:t>
      </w:r>
    </w:p>
    <w:p w14:paraId="6A9738B0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6F6957AD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核心使命： 研究人本身、社会关系、文化价值和意义，定义社会发展的方向、伦理和美学，为整个社会系统提供“灵魂”和“罗盘”。</w:t>
      </w:r>
    </w:p>
    <w:p w14:paraId="589DCF05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73DF64BB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具体技术体系：</w:t>
      </w:r>
    </w:p>
    <w:p w14:paraId="32011C74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0E9368E6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1. 心智与情感计算技术群：</w:t>
      </w:r>
    </w:p>
    <w:p w14:paraId="3282CBBD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高级神经接口： 非侵入式脑机接口，用于研究人类思维、情感和创造力的神经基础。【29】高晗,蒲琪然,赵永生,等.非侵入式脑机接口在机器人控制领域的研究综述[J].机械工程学报,2025,61(15):105-120.【30】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张瑜琨,庄贺,禚月,等.非侵入性脑机接口神经反馈训练在抑郁症患者康复中的应用进展[J/OL].神经损伤与功能重建,1-5[2025-10-14].https://doi.org/10.16780/j.cnki.sjssgncj.20241237.</w:t>
      </w:r>
    </w:p>
    <w:p w14:paraId="06905C01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情感AI与共情计算： 能够深度理解、模拟甚至响应人类复杂情感的系统，用于心理辅导、艺术创作和伦理评估。【31】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张瑜琨,庄贺,禚月,等.非侵入性脑机接口神经反馈训练在抑郁症患者康复中的应用进展[J/OL].神经损伤与功能重建,1-5[2025-10-14].https://doi.org/10.16780/j.cnki.sjssgncj.20241237.</w:t>
      </w:r>
    </w:p>
    <w:p w14:paraId="13441A95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认知增强工具： AR/VR沉浸式历史/文化体验装置，增强记忆与理解的学习系统。</w:t>
      </w:r>
    </w:p>
    <w:p w14:paraId="7D0CC810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2. 社会模拟与决策支持技术群：</w:t>
      </w:r>
    </w:p>
    <w:p w14:paraId="39FF0CF1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超大规模社会动态模拟： 基于个体代理的模型，模拟政策、文化思潮、经济变化的长期社会影响。【32】</w:t>
      </w: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  <w:t>朴景华,高宸,张芳,等.大型社会模拟器：前沿与展望[J].系统仿真学报,2025,37(07):1770-1790.DOI:10.16182/j.issn1004731x.joss.25-0135.</w:t>
      </w:r>
    </w:p>
    <w:p w14:paraId="7C3FCEE9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共识构建平台： 利用AI辅助的德尔菲法、辩论系统，帮助群体在复杂伦理问题上（如基因编辑准则、AI权利）达成共识。</w:t>
      </w:r>
    </w:p>
    <w:p w14:paraId="68775EE4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文化遗产数字化与活化： 高精度扫描、虚拟重建、AI翻译古文，让文明遗产成为活的创意资源。</w:t>
      </w:r>
    </w:p>
    <w:p w14:paraId="677D2D1A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3. 创意与叙事生成技术群：</w:t>
      </w:r>
    </w:p>
    <w:p w14:paraId="06CFC5D1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多模态创意AI： 能够根据文化主题和情感目标，生成文学、音乐、美术、影视剧本的AI，作为人类艺术家的灵感伙伴。</w:t>
      </w:r>
      <w:bookmarkStart w:id="0" w:name="_GoBack"/>
      <w:bookmarkEnd w:id="0"/>
    </w:p>
    <w:p w14:paraId="08CC6332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   · 价值与伦理建模框架： 将抽象的哲学理念（如正义、幸福、自由）转化为可量化的模型，供社会操作系统在决策时参考。</w:t>
      </w:r>
    </w:p>
    <w:p w14:paraId="3626BEEB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772730F7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三大体系的协同运作：</w:t>
      </w:r>
    </w:p>
    <w:p w14:paraId="62ADE421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4226FEF2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· 博雅科 提出“我们想要一个怎样的世界？”（目标与价值）。</w:t>
      </w:r>
    </w:p>
    <w:p w14:paraId="22365BEF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· 天演科 回答“这个世界如何运行？”并探索“我们如何实现目标？”（规律与工具）。</w:t>
      </w:r>
    </w:p>
    <w:p w14:paraId="643FC8C3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· 经世科 执行“动手去建造这个世界”（实践与创造）。</w:t>
      </w:r>
    </w:p>
    <w:p w14:paraId="553ECF30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23D9722C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举例： 社会需要解决孤独感问题（博雅科提出的价值需求）。天演科研究心理学和社会学模型，开发出有效的陪伴AI算法和沟通策略。经世科则制造出实体陪伴机器人、部署虚拟社交空间，并将服务通过社会操作系统精准推送给需要的个人。</w:t>
      </w:r>
    </w:p>
    <w:p w14:paraId="46C5C86D">
      <w:pPr>
        <w:rPr>
          <w:rFonts w:hint="eastAsia" w:ascii="宋体" w:hAnsi="宋体" w:eastAsia="宋体"/>
          <w:sz w:val="28"/>
          <w:szCs w:val="28"/>
          <w:lang w:val="en-US" w:eastAsia="zh-CN"/>
        </w:rPr>
      </w:pPr>
    </w:p>
    <w:p w14:paraId="136FD458">
      <w:p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这个技术体系的核心思想是融合与反馈。每个领域的进步都会立刻惠及其他两个领域，而AI是社会这台精密仪器的“中央处理器”和“神经中枢”，确保三大系统和谐共进，朝着人类集体定义的美好未来前进。</w:t>
      </w:r>
    </w:p>
    <w:p w14:paraId="49268755">
      <w:pPr>
        <w:widowControl w:val="0"/>
        <w:numPr>
          <w:numId w:val="0"/>
        </w:numPr>
        <w:spacing w:after="160" w:line="278" w:lineRule="auto"/>
        <w:ind w:leftChars="0"/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  <w14:ligatures w14:val="standardContextu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A0601"/>
    <w:multiLevelType w:val="singleLevel"/>
    <w:tmpl w:val="F99A060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A43"/>
    <w:rsid w:val="002342A8"/>
    <w:rsid w:val="00310E17"/>
    <w:rsid w:val="004C2EDE"/>
    <w:rsid w:val="006E0A43"/>
    <w:rsid w:val="006F2FF4"/>
    <w:rsid w:val="00B45241"/>
    <w:rsid w:val="00CB5BAA"/>
    <w:rsid w:val="00CF2C10"/>
    <w:rsid w:val="017E6F26"/>
    <w:rsid w:val="1E7A2AF8"/>
    <w:rsid w:val="25565941"/>
    <w:rsid w:val="3C9D51AD"/>
    <w:rsid w:val="5B722179"/>
    <w:rsid w:val="609F196E"/>
    <w:rsid w:val="752F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160" w:afterAutospacing="0" w:line="276" w:lineRule="auto"/>
      <w:ind w:left="720" w:right="0"/>
      <w:contextualSpacing/>
      <w:jc w:val="left"/>
    </w:pPr>
    <w:rPr>
      <w:rFonts w:hint="eastAsia" w:ascii="等线" w:hAnsi="等线" w:eastAsia="等线" w:cs="Times New Roman"/>
      <w:kern w:val="2"/>
      <w:sz w:val="22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E663D-6E42-4266-8B5B-5B3CFB915E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5039</Words>
  <Characters>5128</Characters>
  <Lines>82</Lines>
  <Paragraphs>63</Paragraphs>
  <TotalTime>685</TotalTime>
  <ScaleCrop>false</ScaleCrop>
  <LinksUpToDate>false</LinksUpToDate>
  <CharactersWithSpaces>5404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2025-10-09T23:58:00Z</dcterms:created>
  <dc:creator>玉洁 郝</dc:creator>
  <cp:lastModifiedBy>WPS_1627712623</cp:lastModifiedBy>
  <dcterms:modified xsi:type="dcterms:W3CDTF">2025-10-14T02:55:22Z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eyJoZGlkIjoiOWMzMTIyNzBmNDkyMGVmOWM5NWI4MTE4NWZiYjQwYTIiLCJ1c2VySWQiOiIxMjQyNTE2NzU4In0=</vt:lpwstr>
  </property>
  <property fmtid="{D5CDD505-2E9C-101B-9397-08002B2CF9AE}" pid="3" name="KSOProductBuildVer">
    <vt:lpwstr>2052-12.1.0.23125</vt:lpwstr>
  </property>
  <property fmtid="{D5CDD505-2E9C-101B-9397-08002B2CF9AE}" pid="4" name="ICV">
    <vt:lpwstr>FBAD731C6E92436A962AE0B27C92648B_13</vt:lpwstr>
  </property>
</Properties>
</file>