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CE3C9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电能供需平衡与能源转化技术</w:t>
      </w:r>
      <w:bookmarkStart w:id="0" w:name="_GoBack"/>
      <w:bookmarkEnd w:id="0"/>
    </w:p>
    <w:p w14:paraId="14702D58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一、电能供需的平衡机制</w:t>
      </w:r>
    </w:p>
    <w:p w14:paraId="039AB8A2">
      <w:pPr>
        <w:rPr>
          <w:rFonts w:hint="default" w:ascii="仿宋_GB2312" w:hAnsi="仿宋_GB2312" w:eastAsia="仿宋_GB2312" w:cs="仿宋_GB2312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 电网侧输电优化：通过特高压电网建设（2025年特高压建设加速）实现能源大规模跨区域调配，缓解局部供需矛盾。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不过考虑到百万立方，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highlight w:val="yellow"/>
          <w:lang w:val="en-US" w:eastAsia="zh-CN"/>
        </w:rPr>
        <w:t>超高压输电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已经足够。</w:t>
      </w:r>
    </w:p>
    <w:p w14:paraId="16A88318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 储能系统调节：利用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电池储能、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氢能储能</w:t>
      </w:r>
      <w:r>
        <w:rPr>
          <w:rFonts w:hint="eastAsia" w:ascii="仿宋_GB2312" w:hAnsi="仿宋_GB2312" w:eastAsia="仿宋_GB2312" w:cs="仿宋_GB2312"/>
          <w:sz w:val="32"/>
          <w:szCs w:val="32"/>
        </w:rPr>
        <w:t>（兆瓦级示范项目）等技术平滑新能源发电波动。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固态氢电池</w:t>
      </w:r>
    </w:p>
    <w:p w14:paraId="122C0A3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 需求侧响应机制：通过电价信号引导用户参与调峰，如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峰谷电价</w:t>
      </w:r>
      <w:r>
        <w:rPr>
          <w:rFonts w:hint="eastAsia" w:ascii="仿宋_GB2312" w:hAnsi="仿宋_GB2312" w:eastAsia="仿宋_GB2312" w:cs="仿宋_GB2312"/>
          <w:sz w:val="32"/>
          <w:szCs w:val="32"/>
        </w:rPr>
        <w:t>（浙江实现每日两个峰谷电价）、有序用电等  。</w:t>
      </w:r>
    </w:p>
    <w:p w14:paraId="41C1B9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0" w:lineRule="atLeast"/>
        <w:ind w:left="0" w:right="0" w:firstLine="420"/>
        <w:rPr>
          <w:rFonts w:hint="eastAsia" w:ascii="仿宋_GB2312" w:hAnsi="仿宋_GB2312" w:eastAsia="仿宋_GB2312" w:cs="仿宋_GB2312"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 虚拟电厂聚合调节：将分布式能源、可控负荷和储能系统聚合为一个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虚拟电厂（VPP）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，参与电力市场和辅助服务市场。</w:t>
      </w:r>
    </w:p>
    <w:p w14:paraId="78F0DB2A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二、氢储能与电能的转化技术</w:t>
      </w:r>
    </w:p>
    <w:p w14:paraId="705A283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氢储能技术的典型案例</w:t>
      </w:r>
    </w:p>
    <w:p w14:paraId="474CDF8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云南电氢智慧能源站：</w:t>
      </w:r>
    </w:p>
    <w:p w14:paraId="6905951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光伏制氢-固态储氢-发电供能全链条运行。</w:t>
      </w:r>
    </w:p>
    <w:p w14:paraId="5D2C6CC9">
      <w:pPr>
        <w:numPr>
          <w:ilvl w:val="0"/>
          <w:numId w:val="1"/>
        </w:num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地热能与电能的转化技术</w:t>
      </w:r>
    </w:p>
    <w:p w14:paraId="1BBC7F81">
      <w:pPr>
        <w:numPr>
          <w:numId w:val="0"/>
        </w:num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地热热泵技术：</w:t>
      </w:r>
    </w:p>
    <w:p w14:paraId="781CA3D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热泵系数（COP）可达3-5，能效比远高于传统电采暖。</w:t>
      </w:r>
    </w:p>
    <w:p w14:paraId="53CF496E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在需求侧管理中，可作为柔性负荷参与电网调峰，如冬季供暖负荷的可调节性。</w:t>
      </w:r>
    </w:p>
    <w:p w14:paraId="349AA535">
      <w:pPr>
        <w:numPr>
          <w:ilvl w:val="0"/>
          <w:numId w:val="2"/>
        </w:num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太阳能与电能的转化技术及效率</w:t>
      </w:r>
    </w:p>
    <w:p w14:paraId="1F15AD7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</w:rPr>
        <w:t>光伏制氢技术：</w:t>
      </w:r>
      <w:r>
        <w:rPr>
          <w:rFonts w:hint="eastAsia" w:ascii="仿宋_GB2312" w:hAnsi="仿宋_GB2312" w:eastAsia="仿宋_GB2312" w:cs="仿宋_GB2312"/>
          <w:sz w:val="32"/>
          <w:szCs w:val="32"/>
        </w:rPr>
        <w:t>利用富余光伏电力进行电解水制氢，将电能转化为氢能存储。</w:t>
      </w:r>
    </w:p>
    <w:p w14:paraId="5321131E">
      <w:pPr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五、</w:t>
      </w:r>
      <w:r>
        <w:rPr>
          <w:rFonts w:hint="eastAsia" w:ascii="楷体_GB2312" w:hAnsi="楷体_GB2312" w:eastAsia="楷体_GB2312" w:cs="楷体_GB2312"/>
          <w:sz w:val="32"/>
          <w:szCs w:val="32"/>
          <w:highlight w:val="yellow"/>
        </w:rPr>
        <w:t>智慧电网与虚拟电厂技术</w:t>
      </w:r>
    </w:p>
    <w:p w14:paraId="617690A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智慧电网在解决电能供需不平衡中的应用</w:t>
      </w:r>
    </w:p>
    <w:p w14:paraId="0B04E02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智慧电网通过多种技术手段解决电能供需不平衡问题：</w:t>
      </w:r>
    </w:p>
    <w:p w14:paraId="7614515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动态负荷预测：</w:t>
      </w:r>
    </w:p>
    <w:p w14:paraId="280C584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采用AI算法（如LSTM）对电力需求进行预测，误差可降至1.22%。</w:t>
      </w:r>
    </w:p>
    <w:p w14:paraId="3C5E9FF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隐私保护的Split Learning框架可在不共享数据的情况下实现准确预测，解决数据安全问题。</w:t>
      </w:r>
    </w:p>
    <w:p w14:paraId="60AA96A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柔性输电技术：</w:t>
      </w:r>
    </w:p>
    <w:p w14:paraId="13F0673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柔性直流输电（VSC-HVDC）可提高电网的稳定性和灵活性。</w:t>
      </w:r>
    </w:p>
    <w:p w14:paraId="1E7131A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5G专网技术（如5G LAN叠加TSN）可满足电网差动保护对超低时延及高可靠性的要求。</w:t>
      </w:r>
    </w:p>
    <w:p w14:paraId="35D24311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 分布式能源管理：</w:t>
      </w:r>
    </w:p>
    <w:p w14:paraId="39375A4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通过物联网技术实现分布式能源的接入和监控。</w:t>
      </w:r>
    </w:p>
    <w:p w14:paraId="06830B2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智能家庭技术实现家庭用电设备的智能控制和优化，提高用电效率。</w:t>
      </w:r>
    </w:p>
    <w:p w14:paraId="2751890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虚拟电厂技术与应用</w:t>
      </w:r>
    </w:p>
    <w:p w14:paraId="246ECBD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通过先进信息通信技术和软件系统，实现分布式能源资源（DG、储能系统、可控负荷、电动汽车等）的聚合和协调优化，以作为一个特殊电厂参与电力市场和电网运行。</w:t>
      </w:r>
    </w:p>
    <w:p w14:paraId="0675129E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虚拟电厂在解决电能供需不平衡中的应用</w:t>
      </w:r>
    </w:p>
    <w:p w14:paraId="4359430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削峰填谷：</w:t>
      </w:r>
    </w:p>
    <w:p w14:paraId="19EFB7B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用电低谷时储存电能，在高峰时释放电能。</w:t>
      </w:r>
    </w:p>
    <w:p w14:paraId="085FBE9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新能源消纳</w:t>
      </w:r>
    </w:p>
    <w:p w14:paraId="4AB46E93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 需求侧响应：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</w:p>
    <w:p w14:paraId="712BE13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电价信号引导用户参与调峰</w:t>
      </w:r>
    </w:p>
    <w:p w14:paraId="646451C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建立基于区块链的去中心化交易机制</w:t>
      </w:r>
    </w:p>
    <w:p w14:paraId="3321032E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国际案例与经验借鉴</w:t>
      </w:r>
    </w:p>
    <w:p w14:paraId="571BAE5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德国E-Energy项目</w:t>
      </w:r>
    </w:p>
    <w:p w14:paraId="04AFACE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澳大利亚虚拟电厂</w:t>
      </w:r>
    </w:p>
    <w:p w14:paraId="5298F099">
      <w:pPr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505ED"/>
    <w:multiLevelType w:val="singleLevel"/>
    <w:tmpl w:val="837505E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1C6A7F6"/>
    <w:multiLevelType w:val="singleLevel"/>
    <w:tmpl w:val="31C6A7F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B6C6C"/>
    <w:rsid w:val="1ED92C3B"/>
    <w:rsid w:val="22751C2F"/>
    <w:rsid w:val="26831881"/>
    <w:rsid w:val="2A0F0064"/>
    <w:rsid w:val="3BAC5E63"/>
    <w:rsid w:val="559A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6438</Words>
  <Characters>7066</Characters>
  <Lines>0</Lines>
  <Paragraphs>0</Paragraphs>
  <TotalTime>49</TotalTime>
  <ScaleCrop>false</ScaleCrop>
  <LinksUpToDate>false</LinksUpToDate>
  <CharactersWithSpaces>7685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2025-10-08T06:41:00Z</dcterms:created>
  <dc:creator>s</dc:creator>
  <cp:lastModifiedBy>慧</cp:lastModifiedBy>
  <dcterms:modified xsi:type="dcterms:W3CDTF">2025-10-08T07:35:30Z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eyJoZGlkIjoiMGI0MDJmMzhiMWI1NTM5MDMxNjU4YTY2N2VjYzkxZWMiLCJ1c2VySWQiOiI0MTUyMTcwNjcifQ==</vt:lpwstr>
  </property>
  <property fmtid="{D5CDD505-2E9C-101B-9397-08002B2CF9AE}" pid="4" name="ICV">
    <vt:lpwstr>5971D19EA7BB43F78127DB59F43DFBBE_12</vt:lpwstr>
  </property>
</Properties>
</file>