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C515EF" w14:paraId="68A96A7F" w14:textId="77777777">
        <w:tc>
          <w:tcPr>
            <w:tcW w:w="1704" w:type="dxa"/>
            <w:vAlign w:val="center"/>
          </w:tcPr>
          <w:p w14:paraId="243E8FC4" w14:textId="77777777" w:rsidR="00C515EF" w:rsidRDefault="00000000">
            <w:pPr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科技\规划</w:t>
            </w:r>
          </w:p>
        </w:tc>
        <w:tc>
          <w:tcPr>
            <w:tcW w:w="1704" w:type="dxa"/>
            <w:vAlign w:val="center"/>
          </w:tcPr>
          <w:p w14:paraId="67401F26" w14:textId="77777777" w:rsidR="00C515EF" w:rsidRDefault="00000000">
            <w:pPr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交通</w:t>
            </w:r>
          </w:p>
        </w:tc>
        <w:tc>
          <w:tcPr>
            <w:tcW w:w="1704" w:type="dxa"/>
            <w:vAlign w:val="center"/>
          </w:tcPr>
          <w:p w14:paraId="50E3B0CF" w14:textId="77777777" w:rsidR="00C515EF" w:rsidRDefault="00000000">
            <w:pPr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居住</w:t>
            </w:r>
          </w:p>
        </w:tc>
        <w:tc>
          <w:tcPr>
            <w:tcW w:w="1705" w:type="dxa"/>
            <w:vAlign w:val="center"/>
          </w:tcPr>
          <w:p w14:paraId="68261EFA" w14:textId="77777777" w:rsidR="00C515EF" w:rsidRDefault="00000000">
            <w:pPr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工作</w:t>
            </w:r>
          </w:p>
        </w:tc>
        <w:tc>
          <w:tcPr>
            <w:tcW w:w="1705" w:type="dxa"/>
            <w:vAlign w:val="center"/>
          </w:tcPr>
          <w:p w14:paraId="313C9C93" w14:textId="77777777" w:rsidR="00C515EF" w:rsidRDefault="00000000">
            <w:pPr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游憩</w:t>
            </w:r>
          </w:p>
        </w:tc>
      </w:tr>
      <w:tr w:rsidR="00C515EF" w14:paraId="2C7B8591" w14:textId="77777777">
        <w:tc>
          <w:tcPr>
            <w:tcW w:w="1704" w:type="dxa"/>
            <w:vAlign w:val="center"/>
          </w:tcPr>
          <w:p w14:paraId="567B1F15" w14:textId="77777777" w:rsidR="00C515EF" w:rsidRDefault="00000000">
            <w:pPr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当下</w:t>
            </w:r>
          </w:p>
        </w:tc>
        <w:tc>
          <w:tcPr>
            <w:tcW w:w="1704" w:type="dxa"/>
            <w:vAlign w:val="center"/>
          </w:tcPr>
          <w:p w14:paraId="63A91478" w14:textId="77777777" w:rsidR="00C515EF" w:rsidRDefault="00C515EF">
            <w:pPr>
              <w:rPr>
                <w:rFonts w:ascii="仿宋" w:eastAsia="仿宋" w:hAnsi="仿宋" w:cs="仿宋"/>
              </w:rPr>
            </w:pPr>
          </w:p>
        </w:tc>
        <w:tc>
          <w:tcPr>
            <w:tcW w:w="1704" w:type="dxa"/>
            <w:vAlign w:val="center"/>
          </w:tcPr>
          <w:p w14:paraId="6C221106" w14:textId="77777777" w:rsidR="00C515EF" w:rsidRDefault="00C515EF">
            <w:pPr>
              <w:rPr>
                <w:rFonts w:ascii="仿宋" w:eastAsia="仿宋" w:hAnsi="仿宋" w:cs="仿宋"/>
              </w:rPr>
            </w:pPr>
          </w:p>
        </w:tc>
        <w:tc>
          <w:tcPr>
            <w:tcW w:w="1705" w:type="dxa"/>
            <w:vAlign w:val="center"/>
          </w:tcPr>
          <w:p w14:paraId="20B1FAC5" w14:textId="77777777" w:rsidR="00C515EF" w:rsidRDefault="00C515EF">
            <w:pPr>
              <w:rPr>
                <w:rFonts w:ascii="仿宋" w:eastAsia="仿宋" w:hAnsi="仿宋" w:cs="仿宋"/>
              </w:rPr>
            </w:pPr>
          </w:p>
        </w:tc>
        <w:tc>
          <w:tcPr>
            <w:tcW w:w="1705" w:type="dxa"/>
            <w:vAlign w:val="center"/>
          </w:tcPr>
          <w:p w14:paraId="117E0D44" w14:textId="77777777" w:rsidR="00C515EF" w:rsidRDefault="00000000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游憩场景设计三块：1、Apple Park环内，一二层接近居住区的便民健身房、超市、影院等，地下一层的温泉和SPA等；2、在Apple Park环的内侧，河两岸分别有综合体商城和博物大楼，以及绿道和露天广场；3、在Apple Park环的北部为体育运动区，包括大型体育场馆、水上运动中心、自然探险营等设施</w:t>
            </w:r>
          </w:p>
        </w:tc>
      </w:tr>
      <w:tr w:rsidR="00C515EF" w14:paraId="11E64FBC" w14:textId="77777777">
        <w:tc>
          <w:tcPr>
            <w:tcW w:w="1704" w:type="dxa"/>
            <w:vAlign w:val="center"/>
          </w:tcPr>
          <w:p w14:paraId="4A331635" w14:textId="77777777" w:rsidR="00C515EF" w:rsidRDefault="00000000">
            <w:pPr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过程</w:t>
            </w:r>
          </w:p>
        </w:tc>
        <w:tc>
          <w:tcPr>
            <w:tcW w:w="1704" w:type="dxa"/>
            <w:vAlign w:val="center"/>
          </w:tcPr>
          <w:p w14:paraId="5C905E6E" w14:textId="77777777" w:rsidR="00C515EF" w:rsidRDefault="00C515EF">
            <w:pPr>
              <w:rPr>
                <w:rFonts w:ascii="仿宋" w:eastAsia="仿宋" w:hAnsi="仿宋" w:cs="仿宋"/>
              </w:rPr>
            </w:pPr>
          </w:p>
        </w:tc>
        <w:tc>
          <w:tcPr>
            <w:tcW w:w="1704" w:type="dxa"/>
            <w:vAlign w:val="center"/>
          </w:tcPr>
          <w:p w14:paraId="73A45695" w14:textId="77777777" w:rsidR="00C515EF" w:rsidRDefault="00C515EF">
            <w:pPr>
              <w:rPr>
                <w:rFonts w:ascii="仿宋" w:eastAsia="仿宋" w:hAnsi="仿宋" w:cs="仿宋"/>
              </w:rPr>
            </w:pPr>
          </w:p>
        </w:tc>
        <w:tc>
          <w:tcPr>
            <w:tcW w:w="1705" w:type="dxa"/>
            <w:vAlign w:val="center"/>
          </w:tcPr>
          <w:p w14:paraId="114ED2D4" w14:textId="77777777" w:rsidR="00C515EF" w:rsidRDefault="00C515EF">
            <w:pPr>
              <w:rPr>
                <w:rFonts w:ascii="仿宋" w:eastAsia="仿宋" w:hAnsi="仿宋" w:cs="仿宋"/>
              </w:rPr>
            </w:pPr>
          </w:p>
        </w:tc>
        <w:tc>
          <w:tcPr>
            <w:tcW w:w="1705" w:type="dxa"/>
            <w:vAlign w:val="center"/>
          </w:tcPr>
          <w:p w14:paraId="7406F156" w14:textId="0534FF71" w:rsidR="00C515EF" w:rsidRDefault="00FF2B92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在</w:t>
            </w:r>
            <w:r w:rsidR="0049569D">
              <w:rPr>
                <w:rFonts w:ascii="仿宋" w:eastAsia="仿宋" w:hAnsi="仿宋" w:cs="仿宋" w:hint="eastAsia"/>
              </w:rPr>
              <w:t>打印</w:t>
            </w:r>
            <w:r>
              <w:rPr>
                <w:rFonts w:ascii="仿宋" w:eastAsia="仿宋" w:hAnsi="仿宋" w:cs="仿宋" w:hint="eastAsia"/>
              </w:rPr>
              <w:t>机的开发过程中，我们将利用技术成果逐步对现有的游憩建筑进行更新</w:t>
            </w:r>
            <w:r w:rsidR="00000000">
              <w:rPr>
                <w:rFonts w:ascii="仿宋" w:eastAsia="仿宋" w:hAnsi="仿宋" w:cs="仿宋" w:hint="eastAsia"/>
              </w:rPr>
              <w:t>。</w:t>
            </w:r>
            <w:r>
              <w:rPr>
                <w:rFonts w:ascii="仿宋" w:eastAsia="仿宋" w:hAnsi="仿宋" w:cs="仿宋" w:hint="eastAsia"/>
              </w:rPr>
              <w:t>更新内容包括建设统一化的能源、物质接口，使用模块化布局，墙体材料更新等，为后续动态的空间分配做好基础。</w:t>
            </w:r>
          </w:p>
          <w:p w14:paraId="3C5060DB" w14:textId="67AB3AA0" w:rsidR="00FF2B92" w:rsidRDefault="00FF2B92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同时，设施的智能化和统一管理也会相应推进，让游憩设施更加人性化，符合世界“回到自然，回到当下”的核心理念。</w:t>
            </w:r>
          </w:p>
          <w:p w14:paraId="17FFB112" w14:textId="14F1D578" w:rsidR="0049569D" w:rsidRDefault="0049569D">
            <w:pPr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在思想教育上，着重强调游憩的</w:t>
            </w:r>
            <w:r>
              <w:rPr>
                <w:rFonts w:ascii="仿宋" w:eastAsia="仿宋" w:hAnsi="仿宋" w:cs="仿宋" w:hint="eastAsia"/>
              </w:rPr>
              <w:lastRenderedPageBreak/>
              <w:t>目的并非纯粹满足欲望，而是对回归自然、自我实现等追求，避免欲望的无限膨胀造成资源浪费。</w:t>
            </w:r>
          </w:p>
          <w:p w14:paraId="66CD225A" w14:textId="33F32831" w:rsidR="00FF2B92" w:rsidRDefault="00FF2B92">
            <w:pPr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一切改变旨在满足更多人口和人民日益增长的游憩需求。</w:t>
            </w:r>
          </w:p>
        </w:tc>
      </w:tr>
      <w:tr w:rsidR="00C515EF" w14:paraId="70006124" w14:textId="77777777">
        <w:tc>
          <w:tcPr>
            <w:tcW w:w="1704" w:type="dxa"/>
            <w:vAlign w:val="center"/>
          </w:tcPr>
          <w:p w14:paraId="7FFBD466" w14:textId="77777777" w:rsidR="00C515EF" w:rsidRDefault="00000000">
            <w:pPr>
              <w:jc w:val="center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lastRenderedPageBreak/>
              <w:t>未来</w:t>
            </w:r>
          </w:p>
        </w:tc>
        <w:tc>
          <w:tcPr>
            <w:tcW w:w="1704" w:type="dxa"/>
            <w:vAlign w:val="center"/>
          </w:tcPr>
          <w:p w14:paraId="5DF76CAA" w14:textId="77777777" w:rsidR="00C515EF" w:rsidRDefault="00C515EF">
            <w:pPr>
              <w:rPr>
                <w:rFonts w:ascii="仿宋" w:eastAsia="仿宋" w:hAnsi="仿宋" w:cs="仿宋"/>
              </w:rPr>
            </w:pPr>
          </w:p>
        </w:tc>
        <w:tc>
          <w:tcPr>
            <w:tcW w:w="1704" w:type="dxa"/>
            <w:vAlign w:val="center"/>
          </w:tcPr>
          <w:p w14:paraId="26294E6D" w14:textId="77777777" w:rsidR="00C515EF" w:rsidRDefault="00C515EF">
            <w:pPr>
              <w:rPr>
                <w:rFonts w:ascii="仿宋" w:eastAsia="仿宋" w:hAnsi="仿宋" w:cs="仿宋"/>
              </w:rPr>
            </w:pPr>
          </w:p>
        </w:tc>
        <w:tc>
          <w:tcPr>
            <w:tcW w:w="1705" w:type="dxa"/>
            <w:vAlign w:val="center"/>
          </w:tcPr>
          <w:p w14:paraId="6DA234B2" w14:textId="77777777" w:rsidR="00C515EF" w:rsidRDefault="00C515EF">
            <w:pPr>
              <w:rPr>
                <w:rFonts w:ascii="仿宋" w:eastAsia="仿宋" w:hAnsi="仿宋" w:cs="仿宋"/>
              </w:rPr>
            </w:pPr>
          </w:p>
        </w:tc>
        <w:tc>
          <w:tcPr>
            <w:tcW w:w="1705" w:type="dxa"/>
            <w:vAlign w:val="center"/>
          </w:tcPr>
          <w:p w14:paraId="57E0E4DC" w14:textId="77777777" w:rsidR="0049569D" w:rsidRDefault="0049569D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完善的打印应用可以使得游憩不再局限于固定场所，而是随时随地获得高度的可自定义游憩体验。</w:t>
            </w:r>
          </w:p>
          <w:p w14:paraId="189A60C9" w14:textId="77777777" w:rsidR="00C515EF" w:rsidRDefault="0049569D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我们鼓励发展不同的爱好，通过社群等机制为辅助，助力美味公民寻找人生意义、实现自我价值，增长对社会的认同。</w:t>
            </w:r>
          </w:p>
          <w:p w14:paraId="2D94DF35" w14:textId="698170DF" w:rsidR="0049569D" w:rsidRPr="0049569D" w:rsidRDefault="0049569D">
            <w:pPr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同时，交通的极大便利使得频繁的较远距离游玩成为可能，我们同样提倡在尽量降低能耗的情况下回归传统的旅游模式，更加亲近自然；抑或实现对自然的反哺，在与自然的和谐共生中获得平静和满足。</w:t>
            </w:r>
          </w:p>
        </w:tc>
      </w:tr>
    </w:tbl>
    <w:p w14:paraId="2932519F" w14:textId="77777777" w:rsidR="00C515EF" w:rsidRDefault="00C515EF"/>
    <w:sectPr w:rsidR="00C515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515EF"/>
    <w:rsid w:val="002F36A6"/>
    <w:rsid w:val="0049569D"/>
    <w:rsid w:val="007B0E77"/>
    <w:rsid w:val="00C515EF"/>
    <w:rsid w:val="00FF2B92"/>
    <w:rsid w:val="035464BF"/>
    <w:rsid w:val="215F124E"/>
    <w:rsid w:val="53185888"/>
    <w:rsid w:val="63383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A25EB33"/>
  <w15:docId w15:val="{16E2736D-8FF5-624B-822A-1A93422D9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34674</dc:creator>
  <cp:lastModifiedBy>协成 谈</cp:lastModifiedBy>
  <cp:revision>3</cp:revision>
  <dcterms:created xsi:type="dcterms:W3CDTF">2025-12-07T11:58:00Z</dcterms:created>
  <dcterms:modified xsi:type="dcterms:W3CDTF">2025-12-07T13:17:00Z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eyJoZGlkIjoiMWJmYmVhMGQ2YWQwOTc0ZDFkYmVkZTE0NzFkNThlYzIiLCJ1c2VySWQiOiIxNzMzNTUyODkzIn0=</vt:lpwstr>
  </property>
  <property fmtid="{D5CDD505-2E9C-101B-9397-08002B2CF9AE}" pid="4" name="ICV">
    <vt:lpwstr>FA927F31F1EB4CF6843024D744FB591B_12</vt:lpwstr>
  </property>
</Properties>
</file>