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3C08">
      <w:pPr>
        <w:rPr/>
      </w:pPr>
      <w:r>
        <w:rPr>
          <w:rFonts w:hint="default"/>
        </w:rPr>
        <w:t>缔约方：所有自愿加入本公约的文明世界（以下简称“各方”）</w:t>
      </w:r>
      <w:r>
        <w:rPr>
          <w:rFonts w:hint="default"/>
        </w:rPr>
        <w:br w:type="textWrapping"/>
      </w:r>
      <w:r>
        <w:rPr>
          <w:rFonts w:hint="default"/>
        </w:rPr>
        <w:t>法律地位：各方权利义务完全平等，无发起方、牵头方或优先方</w:t>
      </w:r>
      <w:r>
        <w:rPr>
          <w:rFonts w:hint="default"/>
        </w:rPr>
        <w:br w:type="textWrapping"/>
      </w:r>
      <w:r>
        <w:rPr>
          <w:rFonts w:hint="default"/>
        </w:rPr>
        <w:t>生效方式：任一世界提交《加入声明》即受约束，无需其他方批准</w:t>
      </w:r>
    </w:p>
    <w:p w14:paraId="1A219525">
      <w:pPr>
        <w:rPr>
          <w:rFonts w:hint="default"/>
        </w:rPr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8F01D">
      <w:pPr>
        <w:rPr>
          <w:rFonts w:hint="default"/>
        </w:rPr>
      </w:pPr>
      <w:r>
        <w:rPr>
          <w:rFonts w:hint="default"/>
        </w:rPr>
        <w:t>第一条 未来医疗科技开放使用</w:t>
      </w:r>
    </w:p>
    <w:p w14:paraId="65F879F2">
      <w:pPr>
        <w:rPr/>
      </w:pPr>
    </w:p>
    <w:p w14:paraId="0C6D072C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开放范围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各方根据技术开发协议公开的所有和医疗有关的未来科技</w:t>
      </w:r>
    </w:p>
    <w:p w14:paraId="5396C670">
      <w:pPr>
        <w:rPr/>
      </w:pPr>
    </w:p>
    <w:p w14:paraId="1915AA0B">
      <w:pPr>
        <w:rPr/>
      </w:pPr>
      <w:r>
        <w:rPr>
          <w:rFonts w:hint="default"/>
        </w:rPr>
        <w:t>提供内容</w:t>
      </w:r>
      <w:r>
        <w:rPr>
          <w:rFonts w:hint="default"/>
        </w:rPr>
        <w:br w:type="textWrapping"/>
      </w:r>
      <w:r>
        <w:rPr>
          <w:rFonts w:hint="default"/>
        </w:rPr>
        <w:t>技术持有方须同步公开以下材料（形式不限，可为文档、代码、流程图或教学视频）：</w:t>
      </w:r>
    </w:p>
    <w:p w14:paraId="5B58A65B">
      <w:pPr>
        <w:rPr/>
      </w:pPr>
    </w:p>
    <w:p w14:paraId="19575DCA">
      <w:pPr>
        <w:rPr/>
      </w:pPr>
      <w:r>
        <w:rPr>
          <w:rFonts w:hint="default"/>
        </w:rPr>
        <w:t>核心原理简述（非涉密部分）</w:t>
      </w:r>
    </w:p>
    <w:p w14:paraId="107A4725">
      <w:pPr>
        <w:rPr/>
      </w:pPr>
      <w:r>
        <w:rPr>
          <w:rFonts w:hint="default"/>
        </w:rPr>
        <w:t>最低资源实施清单（能源、设备、人力）</w:t>
      </w:r>
    </w:p>
    <w:p w14:paraId="08F29B41">
      <w:pPr>
        <w:rPr/>
      </w:pPr>
      <w:r>
        <w:rPr>
          <w:rFonts w:hint="default"/>
        </w:rPr>
        <w:t>已知副作用、禁忌症与失败案例</w:t>
      </w:r>
    </w:p>
    <w:p w14:paraId="26BDC916">
      <w:pPr>
        <w:rPr/>
      </w:pPr>
      <w:r>
        <w:rPr>
          <w:rFonts w:hint="default"/>
        </w:rPr>
        <w:t>本地化适配建议</w:t>
      </w:r>
    </w:p>
    <w:p w14:paraId="56530D93">
      <w:pPr>
        <w:rPr>
          <w:rFonts w:hint="default"/>
        </w:rPr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00343">
      <w:pPr>
        <w:rPr>
          <w:rFonts w:hint="default"/>
        </w:rPr>
      </w:pPr>
      <w:r>
        <w:rPr>
          <w:rFonts w:hint="default"/>
        </w:rPr>
        <w:t>第二条 医学知识双向交流</w:t>
      </w:r>
    </w:p>
    <w:p w14:paraId="213570CA">
      <w:pPr>
        <w:rPr/>
      </w:pPr>
    </w:p>
    <w:p w14:paraId="52A95884">
      <w:pPr>
        <w:rPr/>
      </w:pPr>
      <w:r>
        <w:rPr>
          <w:rFonts w:hint="default"/>
        </w:rPr>
        <w:t>信息提交义务</w:t>
      </w:r>
      <w:r>
        <w:rPr>
          <w:rFonts w:hint="default"/>
        </w:rPr>
        <w:br w:type="textWrapping"/>
      </w:r>
      <w:r>
        <w:rPr>
          <w:rFonts w:hint="default"/>
        </w:rPr>
        <w:t>各方应每季度向公共医疗信息池（去中心化存储网络）提交以下内容：</w:t>
      </w:r>
    </w:p>
    <w:p w14:paraId="2908D4BC">
      <w:pPr>
        <w:rPr/>
      </w:pPr>
    </w:p>
    <w:p w14:paraId="6B55A364">
      <w:pPr>
        <w:rPr/>
      </w:pPr>
      <w:r>
        <w:rPr>
          <w:rFonts w:hint="default"/>
        </w:rPr>
        <w:t>本地主要疾病谱变化趋势（匿名聚合数据）；</w:t>
      </w:r>
    </w:p>
    <w:p w14:paraId="218DDA44">
      <w:pPr>
        <w:rPr/>
      </w:pPr>
      <w:r>
        <w:rPr>
          <w:rFonts w:hint="default"/>
        </w:rPr>
        <w:t>典型成功/失败诊疗案例（脱敏，保留关键决策点）；</w:t>
      </w:r>
    </w:p>
    <w:p w14:paraId="5D90530F">
      <w:pPr>
        <w:rPr/>
      </w:pPr>
      <w:r>
        <w:rPr>
          <w:rFonts w:hint="default"/>
        </w:rPr>
        <w:t>新出现的健康风险信号（如异常症状集群、药物不良反应）；</w:t>
      </w:r>
    </w:p>
    <w:p w14:paraId="5164F9DA">
      <w:pPr>
        <w:rPr/>
      </w:pPr>
      <w:r>
        <w:rPr>
          <w:rFonts w:hint="default"/>
        </w:rPr>
        <w:t>社区级医疗实践创新（如低成本检测法、心理支持模式）。</w:t>
      </w:r>
    </w:p>
    <w:p w14:paraId="3FEE31E8">
      <w:pPr>
        <w:rPr/>
      </w:pPr>
    </w:p>
    <w:p w14:paraId="077D8F2B">
      <w:pPr>
        <w:rPr/>
      </w:pPr>
      <w:r>
        <w:rPr>
          <w:rFonts w:hint="default"/>
        </w:rPr>
        <w:t>知识库访问</w:t>
      </w:r>
      <w:r>
        <w:rPr>
          <w:rFonts w:hint="default"/>
        </w:rPr>
        <w:br w:type="textWrapping"/>
      </w:r>
      <w:r>
        <w:rPr>
          <w:rFonts w:hint="default"/>
        </w:rPr>
        <w:t>所有提交内容默认进入只读共享知识库，采用统一元数据标签，支持多语言检索。</w:t>
      </w:r>
      <w:r>
        <w:rPr>
          <w:rFonts w:hint="default"/>
        </w:rPr>
        <w:br w:type="textWrapping"/>
      </w:r>
      <w:r>
        <w:rPr>
          <w:rFonts w:hint="default"/>
        </w:rPr>
        <w:t>任何世界可随时下载、分析、引用，无需申请。</w:t>
      </w:r>
    </w:p>
    <w:p w14:paraId="7B5C8F01">
      <w:pPr>
        <w:rPr/>
      </w:pPr>
    </w:p>
    <w:p w14:paraId="5F5B715A">
      <w:pPr>
        <w:rPr/>
      </w:pPr>
    </w:p>
    <w:p w14:paraId="31203776">
      <w:pPr>
        <w:rPr/>
      </w:pPr>
      <w:r>
        <w:rPr>
          <w:rFonts w:hint="default"/>
        </w:rPr>
        <w:t>自发协作鼓励</w:t>
      </w:r>
      <w:r>
        <w:rPr>
          <w:rFonts w:hint="default"/>
        </w:rPr>
        <w:br w:type="textWrapping"/>
      </w:r>
      <w:r>
        <w:rPr>
          <w:rFonts w:hint="default"/>
        </w:rPr>
        <w:t>鼓励医者、研究者以个人或团队名义跨世界发起合作项目。</w:t>
      </w:r>
      <w:r>
        <w:rPr>
          <w:rFonts w:hint="default"/>
        </w:rPr>
        <w:br w:type="textWrapping"/>
      </w:r>
      <w:r>
        <w:rPr>
          <w:rFonts w:hint="default"/>
        </w:rPr>
        <w:t>成果发表须联合署名，不得由单一世界机构主张排他性知识产权。</w:t>
      </w:r>
    </w:p>
    <w:p w14:paraId="1FDE1298">
      <w:pPr>
        <w:rPr/>
      </w:pPr>
    </w:p>
    <w:p w14:paraId="561F87E7">
      <w:pPr>
        <w:rPr>
          <w:rFonts w:hint="default"/>
        </w:rPr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2B886">
      <w:pPr>
        <w:rPr>
          <w:rFonts w:hint="default"/>
        </w:rPr>
      </w:pPr>
      <w:r>
        <w:rPr>
          <w:rFonts w:hint="default"/>
        </w:rPr>
        <w:t>第三条 优势能力互助支持</w:t>
      </w:r>
    </w:p>
    <w:p w14:paraId="7C887C44">
      <w:pPr>
        <w:rPr/>
      </w:pPr>
    </w:p>
    <w:p w14:paraId="749666EB">
      <w:pPr>
        <w:rPr>
          <w:rFonts w:hint="default"/>
        </w:rPr>
      </w:pPr>
      <w:r>
        <w:rPr>
          <w:rFonts w:hint="default"/>
        </w:rPr>
        <w:t>请求与响应</w:t>
      </w:r>
    </w:p>
    <w:p w14:paraId="3583381C">
      <w:pPr>
        <w:rPr>
          <w:rFonts w:hint="default"/>
        </w:rPr>
      </w:pPr>
      <w:bookmarkStart w:id="0" w:name="_GoBack"/>
      <w:bookmarkEnd w:id="0"/>
    </w:p>
    <w:p w14:paraId="04238500">
      <w:pPr>
        <w:rPr/>
      </w:pPr>
      <w:r>
        <w:rPr>
          <w:rFonts w:hint="default"/>
        </w:rPr>
        <w:t>任一世界遭遇相关紧急医疗事件，可直接向</w:t>
      </w:r>
      <w:r>
        <w:rPr>
          <w:rFonts w:hint="eastAsia"/>
          <w:lang w:val="en-US" w:eastAsia="zh-CN"/>
        </w:rPr>
        <w:t>缔约各方</w:t>
      </w:r>
      <w:r>
        <w:rPr>
          <w:rFonts w:hint="default"/>
        </w:rPr>
        <w:t>发送《支援请求》；</w:t>
      </w:r>
    </w:p>
    <w:p w14:paraId="415563CE">
      <w:pPr>
        <w:rPr/>
      </w:pPr>
      <w:r>
        <w:rPr>
          <w:rFonts w:hint="default"/>
        </w:rPr>
        <w:t>被请求方应在声明承诺时效内响应：</w:t>
      </w:r>
      <w:r>
        <w:rPr>
          <w:rFonts w:hint="default"/>
        </w:rPr>
        <w:br w:type="textWrapping"/>
      </w:r>
      <w:r>
        <w:rPr>
          <w:rFonts w:hint="default"/>
        </w:rPr>
        <w:t>若可支持，提供具体援助；</w:t>
      </w:r>
      <w:r>
        <w:rPr>
          <w:rFonts w:hint="default"/>
        </w:rPr>
        <w:br w:type="textWrapping"/>
      </w:r>
      <w:r>
        <w:rPr>
          <w:rFonts w:hint="default"/>
        </w:rPr>
        <w:t>若资源不足，须说明原因，并尽力推荐其他可能支援方；</w:t>
      </w:r>
    </w:p>
    <w:p w14:paraId="3D995497">
      <w:pPr>
        <w:rPr/>
      </w:pPr>
      <w:r>
        <w:rPr>
          <w:rFonts w:hint="default"/>
        </w:rPr>
        <w:t>禁止以政治立场、历史关系、资源回报等非医疗因素拒绝合理请求。</w:t>
      </w:r>
    </w:p>
    <w:p w14:paraId="4AC48E0D">
      <w:pPr>
        <w:rPr/>
      </w:pPr>
    </w:p>
    <w:p w14:paraId="5FE938EF">
      <w:pPr>
        <w:rPr/>
      </w:pPr>
    </w:p>
    <w:p w14:paraId="5258F85F">
      <w:pPr>
        <w:rPr>
          <w:rFonts w:hint="default"/>
        </w:rPr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2E306">
      <w:pPr>
        <w:rPr>
          <w:rFonts w:hint="default"/>
        </w:rPr>
      </w:pPr>
      <w:r>
        <w:rPr>
          <w:rFonts w:hint="default"/>
        </w:rPr>
        <w:t>第四条 公约治理与修订</w:t>
      </w:r>
    </w:p>
    <w:p w14:paraId="21A03D44">
      <w:pPr>
        <w:rPr/>
      </w:pPr>
    </w:p>
    <w:p w14:paraId="7AFB50BF">
      <w:pPr>
        <w:rPr/>
      </w:pPr>
      <w:r>
        <w:rPr>
          <w:rFonts w:hint="default"/>
        </w:rPr>
        <w:t>无中央机构</w:t>
      </w:r>
      <w:r>
        <w:rPr>
          <w:rFonts w:hint="default"/>
        </w:rPr>
        <w:br w:type="textWrapping"/>
      </w:r>
      <w:r>
        <w:rPr>
          <w:rFonts w:hint="default"/>
        </w:rPr>
        <w:t>本公约不设秘书处、委员会或仲裁庭。履行依赖各方自觉与文明声誉。</w:t>
      </w:r>
    </w:p>
    <w:p w14:paraId="330DC844">
      <w:pPr>
        <w:rPr/>
      </w:pPr>
    </w:p>
    <w:p w14:paraId="39994310">
      <w:pPr>
        <w:rPr/>
      </w:pPr>
    </w:p>
    <w:p w14:paraId="175064B9">
      <w:pPr>
        <w:rPr/>
      </w:pPr>
      <w:r>
        <w:rPr>
          <w:rFonts w:hint="default"/>
        </w:rPr>
        <w:t>加入与退出</w:t>
      </w:r>
    </w:p>
    <w:p w14:paraId="0E814C25">
      <w:pPr>
        <w:rPr/>
      </w:pPr>
    </w:p>
    <w:p w14:paraId="57A862F3">
      <w:pPr>
        <w:rPr/>
      </w:pPr>
      <w:r>
        <w:rPr>
          <w:rFonts w:hint="default"/>
        </w:rPr>
        <w:t>加入：任一世界提交《加入声明》（含世界标识、联系节点、首批共享技术/知识清单）即生效；</w:t>
      </w:r>
    </w:p>
    <w:p w14:paraId="3C7BB499">
      <w:pPr>
        <w:rPr/>
      </w:pPr>
      <w:r>
        <w:rPr>
          <w:rFonts w:hint="default"/>
        </w:rPr>
        <w:t>退出：提前30日公告，退出后仍须履行已承诺的支援义务。</w:t>
      </w:r>
    </w:p>
    <w:p w14:paraId="2578B87E">
      <w:pPr>
        <w:rPr/>
      </w:pPr>
    </w:p>
    <w:p w14:paraId="24A5DB52">
      <w:pPr>
        <w:rPr/>
      </w:pPr>
      <w:r>
        <w:rPr>
          <w:rFonts w:hint="default"/>
        </w:rPr>
        <w:t>文本修订</w:t>
      </w:r>
    </w:p>
    <w:p w14:paraId="17B772A2">
      <w:pPr>
        <w:rPr/>
      </w:pPr>
    </w:p>
    <w:p w14:paraId="7B1D48AA">
      <w:pPr>
        <w:rPr/>
      </w:pPr>
      <w:r>
        <w:rPr>
          <w:rFonts w:hint="default"/>
        </w:rPr>
        <w:t>任一缔约方可提议修订；</w:t>
      </w:r>
    </w:p>
    <w:p w14:paraId="1F3F46AF">
      <w:pPr>
        <w:rPr/>
      </w:pPr>
      <w:r>
        <w:rPr>
          <w:rFonts w:hint="default"/>
        </w:rPr>
        <w:t>修订案公示30日，若无任一缔约方明确反对，则自动生效；</w:t>
      </w:r>
    </w:p>
    <w:p w14:paraId="34DECF9F">
      <w:pPr>
        <w:rPr/>
      </w:pPr>
      <w:r>
        <w:rPr>
          <w:rFonts w:hint="default"/>
        </w:rPr>
        <w:t>若有反对，修订暂停，交由各方私下协商。</w:t>
      </w:r>
    </w:p>
    <w:p w14:paraId="09ACCE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55F9F"/>
    <w:rsid w:val="3255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2025-11-30T06:08:00Z</dcterms:created>
  <dc:creator>朱培鑫</dc:creator>
  <cp:lastModifiedBy>朱培鑫</cp:lastModifiedBy>
  <dcterms:modified xsi:type="dcterms:W3CDTF">2025-11-30T06:28:03Z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FF0C9A16AA1B45ABACF0D88032DCD93D_11</vt:lpwstr>
  </property>
  <property fmtid="{D5CDD505-2E9C-101B-9397-08002B2CF9AE}" pid="4" name="KSOTemplateDocerSaveRecord">
    <vt:lpwstr>eyJoZGlkIjoiNWYyN2U0ZjI2NWYwYWU1YWRhZjQ4OTE1ZTVhZDYxNDkiLCJ1c2VySWQiOiIxNzI4ODU4NTEyIn0=</vt:lpwstr>
  </property>
</Properties>
</file>