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立方体世界生态公约</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14:textFill>
            <w14:solidFill>
              <w14:srgbClr w14:val="0F1115"/>
            </w14:solidFill>
          </w14:textFill>
        </w:rPr>
        <w:t>序言</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本公约各缔约世界，</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基于我们共同的结构特征</w:t>
      </w:r>
      <w:r>
        <w:rPr>
          <w:rFonts w:ascii="PingFang SC Regular" w:hAnsi="PingFang SC Regular" w:hint="default"/>
          <w:outline w:val="0"/>
          <w:color w:val="0e1114"/>
          <w:shd w:val="clear" w:color="auto" w:fill="ffffff"/>
          <w:rtl w:val="0"/>
          <w:lang w:val="en-US"/>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即由一百万立方米的基础立方体单元构成我们存在的物理边界，并在此极限内承载我们的全部文明；</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认识到尽管我们各自位于不同的经纬度，享有迥异的自然环境与资源禀赋，但我们共享同一个星球的生命支持系统，我们的行为通过物质与能量的流动相互关联；</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深切意识到我们这种高度集约化、技术密集的文明形态，在追求内部舒适与可持续的同时，对毗邻的外部自然环境构成了独特且潜在的巨大压力；</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重申</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能源自给自足</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与</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维持必要人口</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是我们存在的基石，但此目标的实现绝不能以透支外部生态为代价；</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坚信通过最前沿的科技</w:t>
      </w:r>
      <w:r>
        <w:rPr>
          <w:rFonts w:ascii="PingFang SC Regular" w:hAnsi="PingFang SC Regular" w:hint="default"/>
          <w:outline w:val="0"/>
          <w:color w:val="0e1114"/>
          <w:shd w:val="clear" w:color="auto" w:fill="ffffff"/>
          <w:rtl w:val="0"/>
          <w:lang w:val="en-US"/>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包括但不限于自适应程序化结构材料、可编程物质、中微子能量立方、协同变形微单元集群、量子驱动动态空间折叠技术、复制机器系统等</w:t>
      </w:r>
      <w:r>
        <w:rPr>
          <w:rFonts w:ascii="PingFang SC Regular" w:hAnsi="PingFang SC Regular" w:hint="default"/>
          <w:outline w:val="0"/>
          <w:color w:val="0e1114"/>
          <w:shd w:val="clear" w:color="auto" w:fill="ffffff"/>
          <w:rtl w:val="0"/>
          <w:lang w:val="en-US"/>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我们能够成为自然生态的</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增益节点</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TW" w:eastAsia="zh-TW"/>
          <w14:textFill>
            <w14:solidFill>
              <w14:srgbClr w14:val="0F1115"/>
            </w14:solidFill>
          </w14:textFill>
        </w:rPr>
        <w:t>，而非</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索取终端</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14:textFill>
            <w14:solidFill>
              <w14:srgbClr w14:val="0F1115"/>
            </w14:solidFill>
          </w14:textFill>
        </w:rPr>
        <w:t>；</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承认这些未来科技将在未来一百年间逐步发展成熟，各缔约世界有义务按照共同制定的科技部署路线图，有序推进这些技术的研发与应用；</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兹协议如下：</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第一章：总纲与原则</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第一条：目标</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本公约旨在建立一个严格的框架，以确保所有缔约世界在追求内部繁荣的同时，实现以下终极目标：</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内部绝对可持续：在百万立方米边界内，形成能源与核心资源的闭环循环，依托未来科技实现自修复、自管理、自循环。</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外部影响最小化：将我们对自然界物质与能量的索取与排放，降至生态可自然、快速修复的水平，利用科技减少生态足迹。</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跨世界生态协同：构建一个比单个世界简单相加更强大、更具韧性的联盟生态系统，通过科技共享提升整体生态水平。</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科技渐进部署：建立百年科技发展路线图，确保环境科技从试点到全面应用的平稳过渡。</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第二条：基本原则</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各缔约世界的环境治理应遵循以下原则：</w:t>
      </w:r>
    </w:p>
    <w:p>
      <w:pPr>
        <w:pStyle w:val="默认"/>
        <w:numPr>
          <w:ilvl w:val="0"/>
          <w:numId w:val="3"/>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边界神圣原则：所有人为创造物与废弃物不得逾越物理边界。内部问题必须在内部解决，借助科技如自修复材料和可编程物质实现长期稳定。</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自然流量预算原则：与自然界的物质交换（流入与流出）必须设立基于本地生态承载力的科学预算，并严格遵守，利用科技如中微子能量立方减少外部能源依赖。</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技术谦逊原则：承认生态系统的复杂性，任何旨在干预或利用自然的技术，必须经过跨世界的伦理与风险评估，确保科技部署符合生态增益。</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互助共生原则：拥有先进生态技术的世界有义务协助技术薄弱的世界，共同提升联盟整体生态水平，通过技术转让和合作研发加速科技应用。</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科技适应性原则：承认未来科技的渐进发展特性，公约条款应随技术进步而定期更新，确保环境保护与科技创新同步发展。</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第二章：核心义务与细则</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第三条：能源生态化</w:t>
      </w:r>
    </w:p>
    <w:p>
      <w:pPr>
        <w:pStyle w:val="默认"/>
        <w:numPr>
          <w:ilvl w:val="0"/>
          <w:numId w:val="5"/>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各世界应优先开发边界内无排放能源，如中微子能量立方、空间折叠动能回收、内部生物质能、人体热能与动能回收。</w:t>
      </w:r>
    </w:p>
    <w:p>
      <w:pPr>
        <w:pStyle w:val="默认"/>
        <w:numPr>
          <w:ilvl w:val="0"/>
          <w:numId w:val="5"/>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中微子能量立方部署：</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outline w:val="0"/>
          <w:color w:val="0e1114"/>
          <w:shd w:val="clear" w:color="auto" w:fill="ffffff"/>
          <w:rtl w:val="0"/>
          <w14:textFill>
            <w14:solidFill>
              <w14:srgbClr w14:val="0F1115"/>
            </w14:solidFill>
          </w14:textFill>
        </w:rPr>
        <w:t>前</w:t>
      </w:r>
      <w:r>
        <w:rPr>
          <w:rFonts w:ascii="PingFang SC Regular" w:hAnsi="PingFang SC Regular"/>
          <w:outline w:val="0"/>
          <w:color w:val="0e1114"/>
          <w:shd w:val="clear" w:color="auto" w:fill="ffffff"/>
          <w:rtl w:val="0"/>
          <w14:textFill>
            <w14:solidFill>
              <w14:srgbClr w14:val="0F1115"/>
            </w14:solidFill>
          </w14:textFill>
        </w:rPr>
        <w:t>30</w:t>
      </w:r>
      <w:r>
        <w:rPr>
          <w:outline w:val="0"/>
          <w:color w:val="0e1114"/>
          <w:shd w:val="clear" w:color="auto" w:fill="ffffff"/>
          <w:rtl w:val="0"/>
          <w:lang w:val="zh-CN" w:eastAsia="zh-CN"/>
          <w14:textFill>
            <w14:solidFill>
              <w14:srgbClr w14:val="0F1115"/>
            </w14:solidFill>
          </w14:textFill>
        </w:rPr>
        <w:t>年：完成技术验证与小规模试点，在</w:t>
      </w:r>
      <w:r>
        <w:rPr>
          <w:rFonts w:ascii="PingFang SC Regular" w:hAnsi="PingFang SC Regular"/>
          <w:outline w:val="0"/>
          <w:color w:val="0e1114"/>
          <w:shd w:val="clear" w:color="auto" w:fill="ffffff"/>
          <w:rtl w:val="0"/>
          <w14:textFill>
            <w14:solidFill>
              <w14:srgbClr w14:val="0F1115"/>
            </w14:solidFill>
          </w14:textFill>
        </w:rPr>
        <w:t>10%</w:t>
      </w:r>
      <w:r>
        <w:rPr>
          <w:outline w:val="0"/>
          <w:color w:val="0e1114"/>
          <w:shd w:val="clear" w:color="auto" w:fill="ffffff"/>
          <w:rtl w:val="0"/>
          <w:lang w:val="zh-CN" w:eastAsia="zh-CN"/>
          <w14:textFill>
            <w14:solidFill>
              <w14:srgbClr w14:val="0F1115"/>
            </w14:solidFill>
          </w14:textFill>
        </w:rPr>
        <w:t>的世界内建立示范系统</w:t>
      </w:r>
    </w:p>
    <w:p>
      <w:pPr>
        <w:pStyle w:val="默认"/>
        <w:numPr>
          <w:ilvl w:val="1"/>
          <w:numId w:val="7"/>
        </w:numPr>
        <w:suppressAutoHyphens w:val="1"/>
        <w:spacing w:before="0" w:line="240" w:lineRule="auto"/>
        <w:jc w:val="left"/>
        <w:rPr>
          <w:outline w:val="0"/>
          <w:color w:val="0e1114"/>
          <w:lang w:val="ru-RU"/>
          <w14:textFill>
            <w14:solidFill>
              <w14:srgbClr w14:val="0F1115"/>
            </w14:solidFill>
          </w14:textFill>
        </w:rPr>
      </w:pPr>
      <w:r>
        <w:rPr>
          <w:rFonts w:ascii="PingFang SC Regular" w:hAnsi="PingFang SC Regular"/>
          <w:outline w:val="0"/>
          <w:color w:val="0e1114"/>
          <w:shd w:val="clear" w:color="auto" w:fill="ffffff"/>
          <w:rtl w:val="0"/>
          <w:lang w:val="ru-RU"/>
          <w14:textFill>
            <w14:solidFill>
              <w14:srgbClr w14:val="0F1115"/>
            </w14:solidFill>
          </w14:textFill>
        </w:rPr>
        <w:t>30-70</w:t>
      </w:r>
      <w:r>
        <w:rPr>
          <w:outline w:val="0"/>
          <w:color w:val="0e1114"/>
          <w:shd w:val="clear" w:color="auto" w:fill="ffffff"/>
          <w:rtl w:val="0"/>
          <w:lang w:val="zh-CN" w:eastAsia="zh-CN"/>
          <w14:textFill>
            <w14:solidFill>
              <w14:srgbClr w14:val="0F1115"/>
            </w14:solidFill>
          </w14:textFill>
        </w:rPr>
        <w:t>年：逐步扩大应用范围，实现</w:t>
      </w:r>
      <w:r>
        <w:rPr>
          <w:rFonts w:ascii="PingFang SC Regular" w:hAnsi="PingFang SC Regular"/>
          <w:outline w:val="0"/>
          <w:color w:val="0e1114"/>
          <w:shd w:val="clear" w:color="auto" w:fill="ffffff"/>
          <w:rtl w:val="0"/>
          <w14:textFill>
            <w14:solidFill>
              <w14:srgbClr w14:val="0F1115"/>
            </w14:solidFill>
          </w14:textFill>
        </w:rPr>
        <w:t>50%</w:t>
      </w:r>
      <w:r>
        <w:rPr>
          <w:outline w:val="0"/>
          <w:color w:val="0e1114"/>
          <w:shd w:val="clear" w:color="auto" w:fill="ffffff"/>
          <w:rtl w:val="0"/>
          <w:lang w:val="zh-CN" w:eastAsia="zh-CN"/>
          <w14:textFill>
            <w14:solidFill>
              <w14:srgbClr w14:val="0F1115"/>
            </w14:solidFill>
          </w14:textFill>
        </w:rPr>
        <w:t>世界的能源覆盖</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rFonts w:ascii="PingFang SC Regular" w:hAnsi="PingFang SC Regular"/>
          <w:outline w:val="0"/>
          <w:color w:val="0e1114"/>
          <w:shd w:val="clear" w:color="auto" w:fill="ffffff"/>
          <w:rtl w:val="0"/>
          <w14:textFill>
            <w14:solidFill>
              <w14:srgbClr w14:val="0F1115"/>
            </w14:solidFill>
          </w14:textFill>
        </w:rPr>
        <w:t>70-100</w:t>
      </w:r>
      <w:r>
        <w:rPr>
          <w:outline w:val="0"/>
          <w:color w:val="0e1114"/>
          <w:shd w:val="clear" w:color="auto" w:fill="ffffff"/>
          <w:rtl w:val="0"/>
          <w:lang w:val="zh-CN" w:eastAsia="zh-CN"/>
          <w14:textFill>
            <w14:solidFill>
              <w14:srgbClr w14:val="0F1115"/>
            </w14:solidFill>
          </w14:textFill>
        </w:rPr>
        <w:t>年：全面普及，成为各世界基础能源的重要组成部分</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通过捕捉宇宙射线产生富余能量，减少对传统太阳能、风能等外部设施的依赖</w:t>
      </w:r>
    </w:p>
    <w:p>
      <w:pPr>
        <w:pStyle w:val="默认"/>
        <w:numPr>
          <w:ilvl w:val="0"/>
          <w:numId w:val="8"/>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协同变形微单元集群（</w:t>
      </w:r>
      <w:r>
        <w:rPr>
          <w:rFonts w:ascii="PingFang SC Regular" w:hAnsi="PingFang SC Regular"/>
          <w:outline w:val="0"/>
          <w:color w:val="0e1114"/>
          <w:shd w:val="clear" w:color="auto" w:fill="ffffff"/>
          <w:rtl w:val="0"/>
          <w14:textFill>
            <w14:solidFill>
              <w14:srgbClr w14:val="0F1115"/>
            </w14:solidFill>
          </w14:textFill>
        </w:rPr>
        <w:t>CMMS</w:t>
      </w:r>
      <w:r>
        <w:rPr>
          <w:outline w:val="0"/>
          <w:color w:val="0e1114"/>
          <w:shd w:val="clear" w:color="auto" w:fill="ffffff"/>
          <w:rtl w:val="0"/>
          <w:lang w:val="zh-CN" w:eastAsia="zh-CN"/>
          <w14:textFill>
            <w14:solidFill>
              <w14:srgbClr w14:val="0F1115"/>
            </w14:solidFill>
          </w14:textFill>
        </w:rPr>
        <w:t>）能源管理：</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将</w:t>
      </w:r>
      <w:r>
        <w:rPr>
          <w:rFonts w:ascii="PingFang SC Regular" w:hAnsi="PingFang SC Regular"/>
          <w:outline w:val="0"/>
          <w:color w:val="0e1114"/>
          <w:shd w:val="clear" w:color="auto" w:fill="ffffff"/>
          <w:rtl w:val="0"/>
          <w14:textFill>
            <w14:solidFill>
              <w14:srgbClr w14:val="0F1115"/>
            </w14:solidFill>
          </w14:textFill>
        </w:rPr>
        <w:t>CMMS</w:t>
      </w:r>
      <w:r>
        <w:rPr>
          <w:outline w:val="0"/>
          <w:color w:val="0e1114"/>
          <w:shd w:val="clear" w:color="auto" w:fill="ffffff"/>
          <w:rtl w:val="0"/>
          <w:lang w:val="zh-CN" w:eastAsia="zh-CN"/>
          <w14:textFill>
            <w14:solidFill>
              <w14:srgbClr w14:val="0F1115"/>
            </w14:solidFill>
          </w14:textFill>
        </w:rPr>
        <w:t>技术融入建筑结构，实现</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建筑即电池</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的分布式储能系统</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在用电低谷时通过改变内部结构存储机械势能，用电高峰时释放</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outline w:val="0"/>
          <w:color w:val="0e1114"/>
          <w:shd w:val="clear" w:color="auto" w:fill="ffffff"/>
          <w:rtl w:val="0"/>
          <w14:textFill>
            <w14:solidFill>
              <w14:srgbClr w14:val="0F1115"/>
            </w14:solidFill>
          </w14:textFill>
        </w:rPr>
        <w:t>前</w:t>
      </w:r>
      <w:r>
        <w:rPr>
          <w:rFonts w:ascii="PingFang SC Regular" w:hAnsi="PingFang SC Regular"/>
          <w:outline w:val="0"/>
          <w:color w:val="0e1114"/>
          <w:shd w:val="clear" w:color="auto" w:fill="ffffff"/>
          <w:rtl w:val="0"/>
          <w14:textFill>
            <w14:solidFill>
              <w14:srgbClr w14:val="0F1115"/>
            </w14:solidFill>
          </w14:textFill>
        </w:rPr>
        <w:t>20</w:t>
      </w:r>
      <w:r>
        <w:rPr>
          <w:outline w:val="0"/>
          <w:color w:val="0e1114"/>
          <w:shd w:val="clear" w:color="auto" w:fill="ffffff"/>
          <w:rtl w:val="0"/>
          <w:lang w:val="zh-CN" w:eastAsia="zh-CN"/>
          <w14:textFill>
            <w14:solidFill>
              <w14:srgbClr w14:val="0F1115"/>
            </w14:solidFill>
          </w14:textFill>
        </w:rPr>
        <w:t>年完成材料研发，</w:t>
      </w:r>
      <w:r>
        <w:rPr>
          <w:rFonts w:ascii="PingFang SC Regular" w:hAnsi="PingFang SC Regular"/>
          <w:outline w:val="0"/>
          <w:color w:val="0e1114"/>
          <w:shd w:val="clear" w:color="auto" w:fill="ffffff"/>
          <w:rtl w:val="0"/>
          <w14:textFill>
            <w14:solidFill>
              <w14:srgbClr w14:val="0F1115"/>
            </w14:solidFill>
          </w14:textFill>
        </w:rPr>
        <w:t>40</w:t>
      </w:r>
      <w:r>
        <w:rPr>
          <w:outline w:val="0"/>
          <w:color w:val="0e1114"/>
          <w:shd w:val="clear" w:color="auto" w:fill="ffffff"/>
          <w:rtl w:val="0"/>
          <w:lang w:val="zh-CN" w:eastAsia="zh-CN"/>
          <w14:textFill>
            <w14:solidFill>
              <w14:srgbClr w14:val="0F1115"/>
            </w14:solidFill>
          </w14:textFill>
        </w:rPr>
        <w:t>年内实现</w:t>
      </w:r>
      <w:r>
        <w:rPr>
          <w:rFonts w:ascii="PingFang SC Regular" w:hAnsi="PingFang SC Regular"/>
          <w:outline w:val="0"/>
          <w:color w:val="0e1114"/>
          <w:shd w:val="clear" w:color="auto" w:fill="ffffff"/>
          <w:rtl w:val="0"/>
          <w14:textFill>
            <w14:solidFill>
              <w14:srgbClr w14:val="0F1115"/>
            </w14:solidFill>
          </w14:textFill>
        </w:rPr>
        <w:t>30%</w:t>
      </w:r>
      <w:r>
        <w:rPr>
          <w:outline w:val="0"/>
          <w:color w:val="0e1114"/>
          <w:shd w:val="clear" w:color="auto" w:fill="ffffff"/>
          <w:rtl w:val="0"/>
          <w:lang w:val="zh-CN" w:eastAsia="zh-CN"/>
          <w14:textFill>
            <w14:solidFill>
              <w14:srgbClr w14:val="0F1115"/>
            </w14:solidFill>
          </w14:textFill>
        </w:rPr>
        <w:t>建筑覆盖，</w:t>
      </w:r>
      <w:r>
        <w:rPr>
          <w:rFonts w:ascii="PingFang SC Regular" w:hAnsi="PingFang SC Regular"/>
          <w:outline w:val="0"/>
          <w:color w:val="0e1114"/>
          <w:shd w:val="clear" w:color="auto" w:fill="ffffff"/>
          <w:rtl w:val="0"/>
          <w14:textFill>
            <w14:solidFill>
              <w14:srgbClr w14:val="0F1115"/>
            </w14:solidFill>
          </w14:textFill>
        </w:rPr>
        <w:t>80</w:t>
      </w:r>
      <w:r>
        <w:rPr>
          <w:outline w:val="0"/>
          <w:color w:val="0e1114"/>
          <w:shd w:val="clear" w:color="auto" w:fill="ffffff"/>
          <w:rtl w:val="0"/>
          <w:lang w:val="zh-CN" w:eastAsia="zh-CN"/>
          <w14:textFill>
            <w14:solidFill>
              <w14:srgbClr w14:val="0F1115"/>
            </w14:solidFill>
          </w14:textFill>
        </w:rPr>
        <w:t>年内全面普及</w:t>
      </w:r>
    </w:p>
    <w:p>
      <w:pPr>
        <w:pStyle w:val="默认"/>
        <w:numPr>
          <w:ilvl w:val="0"/>
          <w:numId w:val="5"/>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若必须从外部获取能源，其基础设施的</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生态足迹</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必须被量化并抵消。例如，在外部铺设一平方米的太阳能板，需在世界联盟指定的区域保护和恢复一平方米的同等生态系统。</w:t>
      </w:r>
    </w:p>
    <w:p>
      <w:pPr>
        <w:pStyle w:val="默认"/>
        <w:numPr>
          <w:ilvl w:val="0"/>
          <w:numId w:val="5"/>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严格禁止任何可能导致大规模栖息地破坏或物种迁徙的外部能源项目。</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第四条：物质循环闭环</w:t>
      </w:r>
    </w:p>
    <w:p>
      <w:pPr>
        <w:pStyle w:val="默认"/>
        <w:numPr>
          <w:ilvl w:val="0"/>
          <w:numId w:val="9"/>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推行</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原子级物料管理</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。所有进入世界的原材料必须登记在册，并规划其全生命周期的利用与最终回收路径。</w:t>
      </w:r>
    </w:p>
    <w:p>
      <w:pPr>
        <w:pStyle w:val="默认"/>
        <w:numPr>
          <w:ilvl w:val="0"/>
          <w:numId w:val="5"/>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复制机器系统（</w:t>
      </w:r>
      <w:r>
        <w:rPr>
          <w:rFonts w:ascii="PingFang SC Regular" w:hAnsi="PingFang SC Regular"/>
          <w:outline w:val="0"/>
          <w:color w:val="0e1114"/>
          <w:shd w:val="clear" w:color="auto" w:fill="ffffff"/>
          <w:rtl w:val="0"/>
          <w14:textFill>
            <w14:solidFill>
              <w14:srgbClr w14:val="0F1115"/>
            </w14:solidFill>
          </w14:textFill>
        </w:rPr>
        <w:t>3D</w:t>
      </w:r>
      <w:r>
        <w:rPr>
          <w:outline w:val="0"/>
          <w:color w:val="0e1114"/>
          <w:shd w:val="clear" w:color="auto" w:fill="ffffff"/>
          <w:rtl w:val="0"/>
          <w:lang w:val="zh-CN" w:eastAsia="zh-CN"/>
          <w14:textFill>
            <w14:solidFill>
              <w14:srgbClr w14:val="0F1115"/>
            </w14:solidFill>
          </w14:textFill>
        </w:rPr>
        <w:t>打印技术）部署：</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建立分级终端系统：大型工业终端、社区中型终端、个人家庭终端</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rFonts w:ascii="PingFang SC Regular" w:hAnsi="PingFang SC Regular"/>
          <w:outline w:val="0"/>
          <w:color w:val="0e1114"/>
          <w:shd w:val="clear" w:color="auto" w:fill="ffffff"/>
          <w:rtl w:val="0"/>
          <w14:textFill>
            <w14:solidFill>
              <w14:srgbClr w14:val="0F1115"/>
            </w14:solidFill>
          </w14:textFill>
        </w:rPr>
        <w:t>20</w:t>
      </w:r>
      <w:r>
        <w:rPr>
          <w:outline w:val="0"/>
          <w:color w:val="0e1114"/>
          <w:shd w:val="clear" w:color="auto" w:fill="ffffff"/>
          <w:rtl w:val="0"/>
          <w:lang w:val="zh-CN" w:eastAsia="zh-CN"/>
          <w14:textFill>
            <w14:solidFill>
              <w14:srgbClr w14:val="0F1115"/>
            </w14:solidFill>
          </w14:textFill>
        </w:rPr>
        <w:t>年内：完成</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14:textFill>
            <w14:solidFill>
              <w14:srgbClr w14:val="0F1115"/>
            </w14:solidFill>
          </w14:textFill>
        </w:rPr>
        <w:t>易</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语言开发和基础终端部署</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rFonts w:ascii="PingFang SC Regular" w:hAnsi="PingFang SC Regular"/>
          <w:outline w:val="0"/>
          <w:color w:val="0e1114"/>
          <w:shd w:val="clear" w:color="auto" w:fill="ffffff"/>
          <w:rtl w:val="0"/>
          <w14:textFill>
            <w14:solidFill>
              <w14:srgbClr w14:val="0F1115"/>
            </w14:solidFill>
          </w14:textFill>
        </w:rPr>
        <w:t>40</w:t>
      </w:r>
      <w:r>
        <w:rPr>
          <w:outline w:val="0"/>
          <w:color w:val="0e1114"/>
          <w:shd w:val="clear" w:color="auto" w:fill="ffffff"/>
          <w:rtl w:val="0"/>
          <w:lang w:val="zh-CN" w:eastAsia="zh-CN"/>
          <w14:textFill>
            <w14:solidFill>
              <w14:srgbClr w14:val="0F1115"/>
            </w14:solidFill>
          </w14:textFill>
        </w:rPr>
        <w:t>年内：建立</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14:textFill>
            <w14:solidFill>
              <w14:srgbClr w14:val="0F1115"/>
            </w14:solidFill>
          </w14:textFill>
        </w:rPr>
        <w:t>象限</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开源社区，实现蓝图共享</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rFonts w:ascii="PingFang SC Regular" w:hAnsi="PingFang SC Regular"/>
          <w:outline w:val="0"/>
          <w:color w:val="0e1114"/>
          <w:shd w:val="clear" w:color="auto" w:fill="ffffff"/>
          <w:rtl w:val="0"/>
          <w14:textFill>
            <w14:solidFill>
              <w14:srgbClr w14:val="0F1115"/>
            </w14:solidFill>
          </w14:textFill>
        </w:rPr>
        <w:t>60</w:t>
      </w:r>
      <w:r>
        <w:rPr>
          <w:outline w:val="0"/>
          <w:color w:val="0e1114"/>
          <w:shd w:val="clear" w:color="auto" w:fill="ffffff"/>
          <w:rtl w:val="0"/>
          <w:lang w:val="zh-CN" w:eastAsia="zh-CN"/>
          <w14:textFill>
            <w14:solidFill>
              <w14:srgbClr w14:val="0F1115"/>
            </w14:solidFill>
          </w14:textFill>
        </w:rPr>
        <w:t>年内：实现</w:t>
      </w:r>
      <w:r>
        <w:rPr>
          <w:rFonts w:ascii="PingFang SC Regular" w:hAnsi="PingFang SC Regular"/>
          <w:outline w:val="0"/>
          <w:color w:val="0e1114"/>
          <w:shd w:val="clear" w:color="auto" w:fill="ffffff"/>
          <w:rtl w:val="0"/>
          <w14:textFill>
            <w14:solidFill>
              <w14:srgbClr w14:val="0F1115"/>
            </w14:solidFill>
          </w14:textFill>
        </w:rPr>
        <w:t>60%</w:t>
      </w:r>
      <w:r>
        <w:rPr>
          <w:outline w:val="0"/>
          <w:color w:val="0e1114"/>
          <w:shd w:val="clear" w:color="auto" w:fill="ffffff"/>
          <w:rtl w:val="0"/>
          <w:lang w:val="zh-CN" w:eastAsia="zh-CN"/>
          <w14:textFill>
            <w14:solidFill>
              <w14:srgbClr w14:val="0F1115"/>
            </w14:solidFill>
          </w14:textFill>
        </w:rPr>
        <w:t>日常用品的按需打印和分解</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rFonts w:ascii="PingFang SC Regular" w:hAnsi="PingFang SC Regular"/>
          <w:outline w:val="0"/>
          <w:color w:val="0e1114"/>
          <w:shd w:val="clear" w:color="auto" w:fill="ffffff"/>
          <w:rtl w:val="0"/>
          <w14:textFill>
            <w14:solidFill>
              <w14:srgbClr w14:val="0F1115"/>
            </w14:solidFill>
          </w14:textFill>
        </w:rPr>
        <w:t>100</w:t>
      </w:r>
      <w:r>
        <w:rPr>
          <w:outline w:val="0"/>
          <w:color w:val="0e1114"/>
          <w:shd w:val="clear" w:color="auto" w:fill="ffffff"/>
          <w:rtl w:val="0"/>
          <w:lang w:val="zh-CN" w:eastAsia="zh-CN"/>
          <w14:textFill>
            <w14:solidFill>
              <w14:srgbClr w14:val="0F1115"/>
            </w14:solidFill>
          </w14:textFill>
        </w:rPr>
        <w:t>年内：全面实现原子级物质循环</w:t>
      </w:r>
    </w:p>
    <w:p>
      <w:pPr>
        <w:pStyle w:val="默认"/>
        <w:numPr>
          <w:ilvl w:val="0"/>
          <w:numId w:val="10"/>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自适应程序化结构材料应用：</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用于关键基础设施，实现自修复、自管理、自循环</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自动愈合微裂纹、应力老化与腐蚀，将设施寿命延长至百年以上</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在退役时自动分解为元素级原料，支持完整循环经济</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rFonts w:ascii="PingFang SC Regular" w:hAnsi="PingFang SC Regular"/>
          <w:outline w:val="0"/>
          <w:color w:val="0e1114"/>
          <w:shd w:val="clear" w:color="auto" w:fill="ffffff"/>
          <w:rtl w:val="0"/>
          <w14:textFill>
            <w14:solidFill>
              <w14:srgbClr w14:val="0F1115"/>
            </w14:solidFill>
          </w14:textFill>
        </w:rPr>
        <w:t>30</w:t>
      </w:r>
      <w:r>
        <w:rPr>
          <w:outline w:val="0"/>
          <w:color w:val="0e1114"/>
          <w:shd w:val="clear" w:color="auto" w:fill="ffffff"/>
          <w:rtl w:val="0"/>
          <w:lang w:val="zh-CN" w:eastAsia="zh-CN"/>
          <w14:textFill>
            <w14:solidFill>
              <w14:srgbClr w14:val="0F1115"/>
            </w14:solidFill>
          </w14:textFill>
        </w:rPr>
        <w:t>年内完成材料研发，</w:t>
      </w:r>
      <w:r>
        <w:rPr>
          <w:rFonts w:ascii="PingFang SC Regular" w:hAnsi="PingFang SC Regular"/>
          <w:outline w:val="0"/>
          <w:color w:val="0e1114"/>
          <w:shd w:val="clear" w:color="auto" w:fill="ffffff"/>
          <w:rtl w:val="0"/>
          <w14:textFill>
            <w14:solidFill>
              <w14:srgbClr w14:val="0F1115"/>
            </w14:solidFill>
          </w14:textFill>
        </w:rPr>
        <w:t>70</w:t>
      </w:r>
      <w:r>
        <w:rPr>
          <w:outline w:val="0"/>
          <w:color w:val="0e1114"/>
          <w:shd w:val="clear" w:color="auto" w:fill="ffffff"/>
          <w:rtl w:val="0"/>
          <w:lang w:val="zh-CN" w:eastAsia="zh-CN"/>
          <w14:textFill>
            <w14:solidFill>
              <w14:srgbClr w14:val="0F1115"/>
            </w14:solidFill>
          </w14:textFill>
        </w:rPr>
        <w:t>年内实现主要基础设施覆盖</w:t>
      </w:r>
    </w:p>
    <w:p>
      <w:pPr>
        <w:pStyle w:val="默认"/>
        <w:numPr>
          <w:ilvl w:val="0"/>
          <w:numId w:val="11"/>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废水必须实现</w:t>
      </w:r>
      <w:r>
        <w:rPr>
          <w:rFonts w:ascii="PingFang SC Regular" w:hAnsi="PingFang SC Regular"/>
          <w:outline w:val="0"/>
          <w:color w:val="0e1114"/>
          <w:shd w:val="clear" w:color="auto" w:fill="ffffff"/>
          <w:rtl w:val="0"/>
          <w14:textFill>
            <w14:solidFill>
              <w14:srgbClr w14:val="0F1115"/>
            </w14:solidFill>
          </w14:textFill>
        </w:rPr>
        <w:t>100%</w:t>
      </w:r>
      <w:r>
        <w:rPr>
          <w:outline w:val="0"/>
          <w:color w:val="0e1114"/>
          <w:shd w:val="clear" w:color="auto" w:fill="ffffff"/>
          <w:rtl w:val="0"/>
          <w:lang w:val="zh-CN" w:eastAsia="zh-CN"/>
          <w14:textFill>
            <w14:solidFill>
              <w14:srgbClr w14:val="0F1115"/>
            </w14:solidFill>
          </w14:textFill>
        </w:rPr>
        <w:t>内部净化与回用。最终排放到自然界的只能是达到或优于源头水质的水。</w:t>
      </w:r>
    </w:p>
    <w:p>
      <w:pPr>
        <w:pStyle w:val="默认"/>
        <w:numPr>
          <w:ilvl w:val="0"/>
          <w:numId w:val="5"/>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有机废弃物应通过生物技术（如昆虫、微生物转化）在内部转化为食物、饲料或建材，原则上实现零排放。</w:t>
      </w:r>
    </w:p>
    <w:p>
      <w:pPr>
        <w:pStyle w:val="默认"/>
        <w:numPr>
          <w:ilvl w:val="0"/>
          <w:numId w:val="5"/>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建立世界级稀有元素回收联盟，对电子设备、高性能合金中的关键元素进行跨世界协作回收，减少对原生矿产的依赖。</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第五条：生态交互与补偿</w:t>
      </w:r>
    </w:p>
    <w:p>
      <w:pPr>
        <w:pStyle w:val="默认"/>
        <w:numPr>
          <w:ilvl w:val="0"/>
          <w:numId w:val="1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各世界需根据其经纬度位置，评估其边界对外部特定生态系统（如森林、湿地、海洋、草原）的潜在影响，并制定《本地生态保护计划》。</w:t>
      </w:r>
    </w:p>
    <w:p>
      <w:pPr>
        <w:pStyle w:val="默认"/>
        <w:numPr>
          <w:ilvl w:val="0"/>
          <w:numId w:val="5"/>
        </w:numPr>
        <w:suppressAutoHyphens w:val="1"/>
        <w:spacing w:before="0" w:line="240" w:lineRule="auto"/>
        <w:jc w:val="left"/>
        <w:rPr>
          <w:outline w:val="0"/>
          <w:color w:val="0e1114"/>
          <w:lang w:val="zh-TW" w:eastAsia="zh-TW"/>
          <w14:textFill>
            <w14:solidFill>
              <w14:srgbClr w14:val="0F1115"/>
            </w14:solidFill>
          </w14:textFill>
        </w:rPr>
      </w:pPr>
      <w:r>
        <w:rPr>
          <w:outline w:val="0"/>
          <w:color w:val="0e1114"/>
          <w:shd w:val="clear" w:color="auto" w:fill="ffffff"/>
          <w:rtl w:val="0"/>
          <w:lang w:val="zh-TW" w:eastAsia="zh-TW"/>
          <w14:textFill>
            <w14:solidFill>
              <w14:srgbClr w14:val="0F1115"/>
            </w14:solidFill>
          </w14:textFill>
        </w:rPr>
        <w:t>引入</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生态交互许可证</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制度。任何涉及从自然界汲取大量水、空气或排放热量的行为，都必须获得许可，并配套相应的生态增益措施。</w:t>
      </w:r>
    </w:p>
    <w:p>
      <w:pPr>
        <w:pStyle w:val="默认"/>
        <w:numPr>
          <w:ilvl w:val="0"/>
          <w:numId w:val="5"/>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可编程物质生态应用：</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用于创建适应性生态界面，根据自然环境变化调整形态和功能</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为本地物种提供动态栖息地，如可调节的鸟类巢穴、昆虫栖息地</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outline w:val="0"/>
          <w:color w:val="0e1114"/>
          <w:shd w:val="clear" w:color="auto" w:fill="ffffff"/>
          <w:rtl w:val="0"/>
          <w14:textFill>
            <w14:solidFill>
              <w14:srgbClr w14:val="0F1115"/>
            </w14:solidFill>
          </w14:textFill>
        </w:rPr>
        <w:t>前</w:t>
      </w:r>
      <w:r>
        <w:rPr>
          <w:rFonts w:ascii="PingFang SC Regular" w:hAnsi="PingFang SC Regular"/>
          <w:outline w:val="0"/>
          <w:color w:val="0e1114"/>
          <w:shd w:val="clear" w:color="auto" w:fill="ffffff"/>
          <w:rtl w:val="0"/>
          <w14:textFill>
            <w14:solidFill>
              <w14:srgbClr w14:val="0F1115"/>
            </w14:solidFill>
          </w14:textFill>
        </w:rPr>
        <w:t>30</w:t>
      </w:r>
      <w:r>
        <w:rPr>
          <w:outline w:val="0"/>
          <w:color w:val="0e1114"/>
          <w:shd w:val="clear" w:color="auto" w:fill="ffffff"/>
          <w:rtl w:val="0"/>
          <w:lang w:val="zh-CN" w:eastAsia="zh-CN"/>
          <w14:textFill>
            <w14:solidFill>
              <w14:srgbClr w14:val="0F1115"/>
            </w14:solidFill>
          </w14:textFill>
        </w:rPr>
        <w:t>年完成基础算法开发，</w:t>
      </w:r>
      <w:r>
        <w:rPr>
          <w:rFonts w:ascii="PingFang SC Regular" w:hAnsi="PingFang SC Regular"/>
          <w:outline w:val="0"/>
          <w:color w:val="0e1114"/>
          <w:shd w:val="clear" w:color="auto" w:fill="ffffff"/>
          <w:rtl w:val="0"/>
          <w14:textFill>
            <w14:solidFill>
              <w14:srgbClr w14:val="0F1115"/>
            </w14:solidFill>
          </w14:textFill>
        </w:rPr>
        <w:t>60</w:t>
      </w:r>
      <w:r>
        <w:rPr>
          <w:outline w:val="0"/>
          <w:color w:val="0e1114"/>
          <w:shd w:val="clear" w:color="auto" w:fill="ffffff"/>
          <w:rtl w:val="0"/>
          <w:lang w:val="zh-CN" w:eastAsia="zh-CN"/>
          <w14:textFill>
            <w14:solidFill>
              <w14:srgbClr w14:val="0F1115"/>
            </w14:solidFill>
          </w14:textFill>
        </w:rPr>
        <w:t>年内实现生态适应性设计</w:t>
      </w:r>
    </w:p>
    <w:p>
      <w:pPr>
        <w:pStyle w:val="默认"/>
        <w:numPr>
          <w:ilvl w:val="0"/>
          <w:numId w:val="5"/>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量子驱动动态空间折叠技术生态整合：</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在空间折叠规划中纳入生态节律考虑</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为迁徙物种保留通道，在特定季节自动展开生态走廊</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根据物候变化调整空间使用模式，减少对自然循环的干扰</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rFonts w:ascii="PingFang SC Regular" w:hAnsi="PingFang SC Regular"/>
          <w:outline w:val="0"/>
          <w:color w:val="0e1114"/>
          <w:shd w:val="clear" w:color="auto" w:fill="ffffff"/>
          <w:rtl w:val="0"/>
          <w14:textFill>
            <w14:solidFill>
              <w14:srgbClr w14:val="0F1115"/>
            </w14:solidFill>
          </w14:textFill>
        </w:rPr>
        <w:t>40</w:t>
      </w:r>
      <w:r>
        <w:rPr>
          <w:outline w:val="0"/>
          <w:color w:val="0e1114"/>
          <w:shd w:val="clear" w:color="auto" w:fill="ffffff"/>
          <w:rtl w:val="0"/>
          <w:lang w:val="zh-CN" w:eastAsia="zh-CN"/>
          <w14:textFill>
            <w14:solidFill>
              <w14:srgbClr w14:val="0F1115"/>
            </w14:solidFill>
          </w14:textFill>
        </w:rPr>
        <w:t>年内完成生态整合算法，</w:t>
      </w:r>
      <w:r>
        <w:rPr>
          <w:rFonts w:ascii="PingFang SC Regular" w:hAnsi="PingFang SC Regular"/>
          <w:outline w:val="0"/>
          <w:color w:val="0e1114"/>
          <w:shd w:val="clear" w:color="auto" w:fill="ffffff"/>
          <w:rtl w:val="0"/>
          <w14:textFill>
            <w14:solidFill>
              <w14:srgbClr w14:val="0F1115"/>
            </w14:solidFill>
          </w14:textFill>
        </w:rPr>
        <w:t>80</w:t>
      </w:r>
      <w:r>
        <w:rPr>
          <w:outline w:val="0"/>
          <w:color w:val="0e1114"/>
          <w:shd w:val="clear" w:color="auto" w:fill="ffffff"/>
          <w:rtl w:val="0"/>
          <w:lang w:val="zh-CN" w:eastAsia="zh-CN"/>
          <w14:textFill>
            <w14:solidFill>
              <w14:srgbClr w14:val="0F1115"/>
            </w14:solidFill>
          </w14:textFill>
        </w:rPr>
        <w:t>年内实现全系统生态适配</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第六条：内部环境质量与人口健康</w:t>
      </w:r>
    </w:p>
    <w:p>
      <w:pPr>
        <w:pStyle w:val="默认"/>
        <w:numPr>
          <w:ilvl w:val="0"/>
          <w:numId w:val="13"/>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维持内部环境的舒适度不仅是生活品质问题，更是效率与可持续性的核心。各世界必须确保其内部的空气质量、光照、声环境、温湿度处于最适宜人类健康与生产力水平。</w:t>
      </w:r>
    </w:p>
    <w:p>
      <w:pPr>
        <w:pStyle w:val="默认"/>
        <w:numPr>
          <w:ilvl w:val="0"/>
          <w:numId w:val="5"/>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自适应程序化结构材料环境调节：</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自动调整刚度、导热性、透光性以适应气候变化</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根据内部环境需求动态优化材料性能</w:t>
      </w:r>
    </w:p>
    <w:p>
      <w:pPr>
        <w:pStyle w:val="默认"/>
        <w:numPr>
          <w:ilvl w:val="1"/>
          <w:numId w:val="7"/>
        </w:numPr>
        <w:suppressAutoHyphens w:val="1"/>
        <w:spacing w:before="0" w:line="240" w:lineRule="auto"/>
        <w:jc w:val="left"/>
        <w:rPr>
          <w:outline w:val="0"/>
          <w:color w:val="0e1114"/>
          <w14:textFill>
            <w14:solidFill>
              <w14:srgbClr w14:val="0F1115"/>
            </w14:solidFill>
          </w14:textFill>
        </w:rPr>
      </w:pPr>
      <w:r>
        <w:rPr>
          <w:rFonts w:ascii="PingFang SC Regular" w:hAnsi="PingFang SC Regular"/>
          <w:outline w:val="0"/>
          <w:color w:val="0e1114"/>
          <w:shd w:val="clear" w:color="auto" w:fill="ffffff"/>
          <w:rtl w:val="0"/>
          <w14:textFill>
            <w14:solidFill>
              <w14:srgbClr w14:val="0F1115"/>
            </w14:solidFill>
          </w14:textFill>
        </w:rPr>
        <w:t>20</w:t>
      </w:r>
      <w:r>
        <w:rPr>
          <w:outline w:val="0"/>
          <w:color w:val="0e1114"/>
          <w:shd w:val="clear" w:color="auto" w:fill="ffffff"/>
          <w:rtl w:val="0"/>
          <w:lang w:val="zh-CN" w:eastAsia="zh-CN"/>
          <w14:textFill>
            <w14:solidFill>
              <w14:srgbClr w14:val="0F1115"/>
            </w14:solidFill>
          </w14:textFill>
        </w:rPr>
        <w:t>年内完成环境响应机制开发，</w:t>
      </w:r>
      <w:r>
        <w:rPr>
          <w:rFonts w:ascii="PingFang SC Regular" w:hAnsi="PingFang SC Regular"/>
          <w:outline w:val="0"/>
          <w:color w:val="0e1114"/>
          <w:shd w:val="clear" w:color="auto" w:fill="ffffff"/>
          <w:rtl w:val="0"/>
          <w14:textFill>
            <w14:solidFill>
              <w14:srgbClr w14:val="0F1115"/>
            </w14:solidFill>
          </w14:textFill>
        </w:rPr>
        <w:t>50</w:t>
      </w:r>
      <w:r>
        <w:rPr>
          <w:outline w:val="0"/>
          <w:color w:val="0e1114"/>
          <w:shd w:val="clear" w:color="auto" w:fill="ffffff"/>
          <w:rtl w:val="0"/>
          <w:lang w:val="zh-CN" w:eastAsia="zh-CN"/>
          <w14:textFill>
            <w14:solidFill>
              <w14:srgbClr w14:val="0F1115"/>
            </w14:solidFill>
          </w14:textFill>
        </w:rPr>
        <w:t>年内实现广泛部署</w:t>
      </w:r>
    </w:p>
    <w:p>
      <w:pPr>
        <w:pStyle w:val="默认"/>
        <w:numPr>
          <w:ilvl w:val="0"/>
          <w:numId w:val="14"/>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通过垂直农业、气耕、水耕等超高效率食物生产系统，在极小空间内满足人口营养需求，彻底解放外部土地。可结合复制机器系统打印食物和必需品。</w:t>
      </w:r>
    </w:p>
    <w:p>
      <w:pPr>
        <w:pStyle w:val="默认"/>
        <w:numPr>
          <w:ilvl w:val="0"/>
          <w:numId w:val="5"/>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利用虚拟现实技术与精巧的空间折叠设计，为居民提供远超物理边界的精神与文化空间，从根本上降低人均资源需求与生态足迹。</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第七条：科技部署时间表与过渡安排</w:t>
      </w:r>
    </w:p>
    <w:p>
      <w:pPr>
        <w:pStyle w:val="默认"/>
        <w:numPr>
          <w:ilvl w:val="0"/>
          <w:numId w:val="15"/>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近期（</w:t>
      </w:r>
      <w:r>
        <w:rPr>
          <w:rFonts w:ascii="PingFang SC Regular" w:hAnsi="PingFang SC Regular"/>
          <w:outline w:val="0"/>
          <w:color w:val="0e1114"/>
          <w:shd w:val="clear" w:color="auto" w:fill="ffffff"/>
          <w:rtl w:val="0"/>
          <w14:textFill>
            <w14:solidFill>
              <w14:srgbClr w14:val="0F1115"/>
            </w14:solidFill>
          </w14:textFill>
        </w:rPr>
        <w:t>1-30</w:t>
      </w:r>
      <w:r>
        <w:rPr>
          <w:outline w:val="0"/>
          <w:color w:val="0e1114"/>
          <w:shd w:val="clear" w:color="auto" w:fill="ffffff"/>
          <w:rtl w:val="0"/>
          <w14:textFill>
            <w14:solidFill>
              <w14:srgbClr w14:val="0F1115"/>
            </w14:solidFill>
          </w14:textFill>
        </w:rPr>
        <w:t>年）：</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完成所有核心未来科技的基础研发和试点测试</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建立跨世界科技共享平台和标准化体系</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培训技术人员，建立科技部署基础设施</w:t>
      </w:r>
    </w:p>
    <w:p>
      <w:pPr>
        <w:pStyle w:val="默认"/>
        <w:numPr>
          <w:ilvl w:val="0"/>
          <w:numId w:val="16"/>
        </w:numPr>
        <w:suppressAutoHyphens w:val="1"/>
        <w:spacing w:before="0" w:after="160" w:line="240" w:lineRule="auto"/>
        <w:jc w:val="left"/>
        <w:rPr>
          <w:outline w:val="0"/>
          <w:color w:val="0e1114"/>
          <w:lang w:val="ja-JP" w:eastAsia="ja-JP"/>
          <w14:textFill>
            <w14:solidFill>
              <w14:srgbClr w14:val="0F1115"/>
            </w14:solidFill>
          </w14:textFill>
        </w:rPr>
      </w:pPr>
      <w:r>
        <w:rPr>
          <w:outline w:val="0"/>
          <w:color w:val="0e1114"/>
          <w:shd w:val="clear" w:color="auto" w:fill="ffffff"/>
          <w:rtl w:val="0"/>
          <w:lang w:val="ja-JP" w:eastAsia="ja-JP"/>
          <w14:textFill>
            <w14:solidFill>
              <w14:srgbClr w14:val="0F1115"/>
            </w14:solidFill>
          </w14:textFill>
        </w:rPr>
        <w:t>中期（</w:t>
      </w:r>
      <w:r>
        <w:rPr>
          <w:rFonts w:ascii="PingFang SC Regular" w:hAnsi="PingFang SC Regular"/>
          <w:outline w:val="0"/>
          <w:color w:val="0e1114"/>
          <w:shd w:val="clear" w:color="auto" w:fill="ffffff"/>
          <w:rtl w:val="0"/>
          <w:lang w:val="ru-RU"/>
          <w14:textFill>
            <w14:solidFill>
              <w14:srgbClr w14:val="0F1115"/>
            </w14:solidFill>
          </w14:textFill>
        </w:rPr>
        <w:t>30-70</w:t>
      </w:r>
      <w:r>
        <w:rPr>
          <w:outline w:val="0"/>
          <w:color w:val="0e1114"/>
          <w:shd w:val="clear" w:color="auto" w:fill="ffffff"/>
          <w:rtl w:val="0"/>
          <w14:textFill>
            <w14:solidFill>
              <w14:srgbClr w14:val="0F1115"/>
            </w14:solidFill>
          </w14:textFill>
        </w:rPr>
        <w:t>年）：</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大规模部署已验证的环保科技</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实现主要城市系统和基础设施的技术升级</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建立完善的科技效果监测和评估体系</w:t>
      </w:r>
    </w:p>
    <w:p>
      <w:pPr>
        <w:pStyle w:val="默认"/>
        <w:numPr>
          <w:ilvl w:val="0"/>
          <w:numId w:val="17"/>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远期（</w:t>
      </w:r>
      <w:r>
        <w:rPr>
          <w:rFonts w:ascii="PingFang SC Regular" w:hAnsi="PingFang SC Regular"/>
          <w:outline w:val="0"/>
          <w:color w:val="0e1114"/>
          <w:shd w:val="clear" w:color="auto" w:fill="ffffff"/>
          <w:rtl w:val="0"/>
          <w14:textFill>
            <w14:solidFill>
              <w14:srgbClr w14:val="0F1115"/>
            </w14:solidFill>
          </w14:textFill>
        </w:rPr>
        <w:t>70-100</w:t>
      </w:r>
      <w:r>
        <w:rPr>
          <w:outline w:val="0"/>
          <w:color w:val="0e1114"/>
          <w:shd w:val="clear" w:color="auto" w:fill="ffffff"/>
          <w:rtl w:val="0"/>
          <w14:textFill>
            <w14:solidFill>
              <w14:srgbClr w14:val="0F1115"/>
            </w14:solidFill>
          </w14:textFill>
        </w:rPr>
        <w:t>年）：</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全面实现科技增强型生态治理</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建立自适应、自优化的生态系统管理能力</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完成从传统模式到未来科技模式的平稳过渡</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第三章：实施与保障机制</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第八条：世界自主生态贡献</w:t>
      </w:r>
    </w:p>
    <w:p>
      <w:pPr>
        <w:pStyle w:val="默认"/>
        <w:numPr>
          <w:ilvl w:val="0"/>
          <w:numId w:val="18"/>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各世界应制定、通报并定期更新其《世界自主生态贡献》，详细阐述其为实现本公约目标所采取的战略、技术路径与量化指标，包括未来科技的部署计划。</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贡献计划必须包含明确的科技部署里程碑和阶段性目标。</w:t>
      </w:r>
    </w:p>
    <w:p>
      <w:pPr>
        <w:pStyle w:val="默认"/>
        <w:numPr>
          <w:ilvl w:val="0"/>
          <w:numId w:val="2"/>
        </w:numPr>
        <w:suppressAutoHyphens w:val="1"/>
        <w:spacing w:before="0" w:line="240" w:lineRule="auto"/>
        <w:jc w:val="left"/>
        <w:rPr>
          <w:outline w:val="0"/>
          <w:color w:val="0e1114"/>
          <w:lang w:val="de-DE"/>
          <w14:textFill>
            <w14:solidFill>
              <w14:srgbClr w14:val="0F1115"/>
            </w14:solidFill>
          </w14:textFill>
        </w:rPr>
      </w:pPr>
      <w:r>
        <w:rPr>
          <w:rFonts w:ascii="PingFang SC Regular" w:hAnsi="PingFang SC Regular"/>
          <w:outline w:val="0"/>
          <w:color w:val="0e1114"/>
          <w:shd w:val="clear" w:color="auto" w:fill="ffffff"/>
          <w:rtl w:val="0"/>
          <w:lang w:val="de-DE"/>
          <w14:textFill>
            <w14:solidFill>
              <w14:srgbClr w14:val="0F1115"/>
            </w14:solidFill>
          </w14:textFill>
        </w:rPr>
        <w:t>WEC</w:t>
      </w:r>
      <w:r>
        <w:rPr>
          <w:outline w:val="0"/>
          <w:color w:val="0e1114"/>
          <w:shd w:val="clear" w:color="auto" w:fill="ffffff"/>
          <w:rtl w:val="0"/>
          <w:lang w:val="zh-CN" w:eastAsia="zh-CN"/>
          <w14:textFill>
            <w14:solidFill>
              <w14:srgbClr w14:val="0F1115"/>
            </w14:solidFill>
          </w14:textFill>
        </w:rPr>
        <w:t>应建立统一的贡献登记系统，确保透明度与可比较性。</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第九条：信息共享与透明度</w:t>
      </w:r>
    </w:p>
    <w:p>
      <w:pPr>
        <w:pStyle w:val="默认"/>
        <w:numPr>
          <w:ilvl w:val="0"/>
          <w:numId w:val="19"/>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各世界应建立实时生态监测网络，并按要求向联盟秘书处提供以下数据：</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内部能源流动与碳足迹，包括中微子能量立方等新能源技术的贡献</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与自然界交换的物质种类与流量</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内部环境质量关键指标</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空间利用效率（人均功能空间），包括量子折叠技术的应用效果</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物质循环率，如复制机器系统的打印和分解数据</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科技部署进度和效果评估</w:t>
      </w:r>
    </w:p>
    <w:p>
      <w:pPr>
        <w:pStyle w:val="默认"/>
        <w:numPr>
          <w:ilvl w:val="0"/>
          <w:numId w:val="20"/>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所有数据应对其他缔约世界公开，以促进学习和监督。</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第十条：资金与技术机制</w:t>
      </w:r>
    </w:p>
    <w:p>
      <w:pPr>
        <w:pStyle w:val="默认"/>
        <w:numPr>
          <w:ilvl w:val="0"/>
          <w:numId w:val="21"/>
        </w:numPr>
        <w:suppressAutoHyphens w:val="1"/>
        <w:spacing w:before="0" w:after="16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设立</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立方体世界绿色基金</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，由各世界根据其技术能力和资源禀赋认捐，用于支持：</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跨世界生态技术研发，如自适应程序化结构材料、可编程物质、中微子能量立方、协同变形微单元集群、量子驱动动态空间折叠技术、复制机器系统等</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对生态脆弱区位世界的援助</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联盟级别的生态修复项目</w:t>
      </w:r>
    </w:p>
    <w:p>
      <w:pPr>
        <w:pStyle w:val="默认"/>
        <w:numPr>
          <w:ilvl w:val="1"/>
          <w:numId w:val="7"/>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科技部署的过渡期支持</w:t>
      </w:r>
    </w:p>
    <w:p>
      <w:pPr>
        <w:pStyle w:val="默认"/>
        <w:numPr>
          <w:ilvl w:val="0"/>
          <w:numId w:val="2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建立</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生态技术转让中心</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，破除知识产权壁垒，确保最有效的环境技术能以可负担的成本在联盟内共享。</w:t>
      </w:r>
    </w:p>
    <w:p>
      <w:pPr>
        <w:pStyle w:val="默认"/>
        <w:numPr>
          <w:ilvl w:val="0"/>
          <w:numId w:val="5"/>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设立</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未来科技研发联盟</w:t>
      </w:r>
      <w:r>
        <w:rPr>
          <w:rFonts w:ascii="PingFang SC Regular" w:hAnsi="PingFang SC Regular"/>
          <w:outline w:val="0"/>
          <w:color w:val="0e1114"/>
          <w:shd w:val="clear" w:color="auto" w:fill="ffffff"/>
          <w:rtl w:val="0"/>
          <w:lang w:val="ru-RU"/>
          <w14:textFill>
            <w14:solidFill>
              <w14:srgbClr w14:val="0F1115"/>
            </w14:solidFill>
          </w14:textFill>
        </w:rPr>
        <w:t>"</w:t>
      </w:r>
      <w:r>
        <w:rPr>
          <w:outline w:val="0"/>
          <w:color w:val="0e1114"/>
          <w:shd w:val="clear" w:color="auto" w:fill="ffffff"/>
          <w:rtl w:val="0"/>
          <w:lang w:val="zh-CN" w:eastAsia="zh-CN"/>
          <w14:textFill>
            <w14:solidFill>
              <w14:srgbClr w14:val="0F1115"/>
            </w14:solidFill>
          </w14:textFill>
        </w:rPr>
        <w:t>，协调各世界的科研力量，避免重复投资，加速关键技术突破。</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第十一条：科技风险评估与伦理审查</w:t>
      </w:r>
    </w:p>
    <w:p>
      <w:pPr>
        <w:pStyle w:val="默认"/>
        <w:numPr>
          <w:ilvl w:val="0"/>
          <w:numId w:val="23"/>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建立跨世界科技伦理委员会，负责评估各项未来科技的环境风险和伦理影响。</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所有新科技的部署必须经过严格的环境影响评估，确保不会对生态系统造成不可逆损害。</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建立科技安全阀机制，对出现意外负面影响的科技能够及时暂停或调整部署方案。</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第十二条：遵约与争端解决机制</w:t>
      </w:r>
    </w:p>
    <w:p>
      <w:pPr>
        <w:pStyle w:val="默认"/>
        <w:numPr>
          <w:ilvl w:val="0"/>
          <w:numId w:val="24"/>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设立一个由技术专家、伦理学家和公民代表组成的独立遵约委员会。</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委员会有权审查各世界的生态报告，受理其他世界或秘书处提起的申诉，并进行调查。</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对于被认定违反公约的世界，委员会将首先提供技术支持和建议；若持续不遵约，可采取从公开通报到限制其参与联盟技术共享计划等渐进式措施。</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特别设立科技部署争议解决程序，处理因科技应用产生的跨世界纠纷。</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第四章：最终条款</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第十三条：公约修订机制</w:t>
      </w:r>
    </w:p>
    <w:p>
      <w:pPr>
        <w:pStyle w:val="默认"/>
        <w:numPr>
          <w:ilvl w:val="0"/>
          <w:numId w:val="25"/>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建立定期修订机制，每</w:t>
      </w:r>
      <w:r>
        <w:rPr>
          <w:rFonts w:ascii="PingFang SC Regular" w:hAnsi="PingFang SC Regular"/>
          <w:outline w:val="0"/>
          <w:color w:val="0e1114"/>
          <w:shd w:val="clear" w:color="auto" w:fill="ffffff"/>
          <w:rtl w:val="0"/>
          <w14:textFill>
            <w14:solidFill>
              <w14:srgbClr w14:val="0F1115"/>
            </w14:solidFill>
          </w14:textFill>
        </w:rPr>
        <w:t>20</w:t>
      </w:r>
      <w:r>
        <w:rPr>
          <w:outline w:val="0"/>
          <w:color w:val="0e1114"/>
          <w:shd w:val="clear" w:color="auto" w:fill="ffffff"/>
          <w:rtl w:val="0"/>
          <w:lang w:val="zh-CN" w:eastAsia="zh-CN"/>
          <w14:textFill>
            <w14:solidFill>
              <w14:srgbClr w14:val="0F1115"/>
            </w14:solidFill>
          </w14:textFill>
        </w:rPr>
        <w:t>年对公约进行一次全面评估和更新，确保其与科技发展同步。</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设立科技发展跟踪小组，持续监测未来科技进展，为公约修订提供技术支持。</w:t>
      </w:r>
    </w:p>
    <w:p>
      <w:pPr>
        <w:pStyle w:val="默认"/>
        <w:numPr>
          <w:ilvl w:val="0"/>
          <w:numId w:val="2"/>
        </w:numPr>
        <w:suppressAutoHyphens w:val="1"/>
        <w:spacing w:before="0" w:line="240" w:lineRule="auto"/>
        <w:jc w:val="left"/>
        <w:rPr>
          <w:outline w:val="0"/>
          <w:color w:val="0e1114"/>
          <w:lang w:val="zh-CN" w:eastAsia="zh-CN"/>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简化紧急修订程序，对重大科技突破带来的环境机遇能够快速响应。</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第十四条：秘书处</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兹设立本公约秘书处，负责安排会议、编译和传播信息，并协助各世界履行本公约。秘书处应增设未来科技司，专门负责协调科技部署和评估工作。</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第十五条：签署与生效</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本公约自</w:t>
      </w:r>
      <w:r>
        <w:rPr>
          <w:rFonts w:ascii="PingFang SC Regular" w:hAnsi="PingFang SC Regular"/>
          <w:outline w:val="0"/>
          <w:color w:val="0e1114"/>
          <w:shd w:val="clear" w:color="auto" w:fill="ffffff"/>
          <w:rtl w:val="0"/>
          <w14:textFill>
            <w14:solidFill>
              <w14:srgbClr w14:val="0F1115"/>
            </w14:solidFill>
          </w14:textFill>
        </w:rPr>
        <w:t>XXXX</w:t>
      </w:r>
      <w:r>
        <w:rPr>
          <w:outline w:val="0"/>
          <w:color w:val="0e1114"/>
          <w:shd w:val="clear" w:color="auto" w:fill="ffffff"/>
          <w:rtl w:val="0"/>
          <w14:textFill>
            <w14:solidFill>
              <w14:srgbClr w14:val="0F1115"/>
            </w14:solidFill>
          </w14:textFill>
        </w:rPr>
        <w:t>年</w:t>
      </w:r>
      <w:r>
        <w:rPr>
          <w:rFonts w:ascii="PingFang SC Regular" w:hAnsi="PingFang SC Regular"/>
          <w:outline w:val="0"/>
          <w:color w:val="0e1114"/>
          <w:shd w:val="clear" w:color="auto" w:fill="ffffff"/>
          <w:rtl w:val="0"/>
          <w14:textFill>
            <w14:solidFill>
              <w14:srgbClr w14:val="0F1115"/>
            </w14:solidFill>
          </w14:textFill>
        </w:rPr>
        <w:t>XX</w:t>
      </w:r>
      <w:r>
        <w:rPr>
          <w:outline w:val="0"/>
          <w:color w:val="0e1114"/>
          <w:shd w:val="clear" w:color="auto" w:fill="ffffff"/>
          <w:rtl w:val="0"/>
          <w14:textFill>
            <w14:solidFill>
              <w14:srgbClr w14:val="0F1115"/>
            </w14:solidFill>
          </w14:textFill>
        </w:rPr>
        <w:t>月</w:t>
      </w:r>
      <w:r>
        <w:rPr>
          <w:rFonts w:ascii="PingFang SC Regular" w:hAnsi="PingFang SC Regular"/>
          <w:outline w:val="0"/>
          <w:color w:val="0e1114"/>
          <w:shd w:val="clear" w:color="auto" w:fill="ffffff"/>
          <w:rtl w:val="0"/>
          <w14:textFill>
            <w14:solidFill>
              <w14:srgbClr w14:val="0F1115"/>
            </w14:solidFill>
          </w14:textFill>
        </w:rPr>
        <w:t>XX</w:t>
      </w:r>
      <w:r>
        <w:rPr>
          <w:outline w:val="0"/>
          <w:color w:val="0e1114"/>
          <w:shd w:val="clear" w:color="auto" w:fill="ffffff"/>
          <w:rtl w:val="0"/>
          <w:lang w:val="zh-CN" w:eastAsia="zh-CN"/>
          <w14:textFill>
            <w14:solidFill>
              <w14:srgbClr w14:val="0F1115"/>
            </w14:solidFill>
          </w14:textFill>
        </w:rPr>
        <w:t>日起开放供所有立方体世界签署，并在超过三分之二世界交存批准、接受或核准书后第九十天起生效。</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我们下列签署人，经正式授权，在本公约上签字，以昭信守。</w:t>
      </w: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rFonts w:ascii="PingFang SC Regular" w:hAnsi="PingFang SC Regular"/>
          <w:outline w:val="0"/>
          <w:color w:val="0e1114"/>
          <w:shd w:val="clear" w:color="auto" w:fill="ffffff"/>
          <w:rtl w:val="0"/>
          <w14:textFill>
            <w14:solidFill>
              <w14:srgbClr w14:val="0F1115"/>
            </w14:solidFill>
          </w14:textFill>
        </w:rPr>
        <w:t>XXXX</w:t>
      </w:r>
      <w:r>
        <w:rPr>
          <w:outline w:val="0"/>
          <w:color w:val="0e1114"/>
          <w:shd w:val="clear" w:color="auto" w:fill="ffffff"/>
          <w:rtl w:val="0"/>
          <w14:textFill>
            <w14:solidFill>
              <w14:srgbClr w14:val="0F1115"/>
            </w14:solidFill>
          </w14:textFill>
        </w:rPr>
        <w:t>年</w:t>
      </w:r>
      <w:r>
        <w:rPr>
          <w:rFonts w:ascii="PingFang SC Regular" w:hAnsi="PingFang SC Regular"/>
          <w:outline w:val="0"/>
          <w:color w:val="0e1114"/>
          <w:shd w:val="clear" w:color="auto" w:fill="ffffff"/>
          <w:rtl w:val="0"/>
          <w14:textFill>
            <w14:solidFill>
              <w14:srgbClr w14:val="0F1115"/>
            </w14:solidFill>
          </w14:textFill>
        </w:rPr>
        <w:t>XX</w:t>
      </w:r>
      <w:r>
        <w:rPr>
          <w:outline w:val="0"/>
          <w:color w:val="0e1114"/>
          <w:shd w:val="clear" w:color="auto" w:fill="ffffff"/>
          <w:rtl w:val="0"/>
          <w14:textFill>
            <w14:solidFill>
              <w14:srgbClr w14:val="0F1115"/>
            </w14:solidFill>
          </w14:textFill>
        </w:rPr>
        <w:t>月</w:t>
      </w:r>
      <w:r>
        <w:rPr>
          <w:rFonts w:ascii="PingFang SC Regular" w:hAnsi="PingFang SC Regular"/>
          <w:outline w:val="0"/>
          <w:color w:val="0e1114"/>
          <w:shd w:val="clear" w:color="auto" w:fill="ffffff"/>
          <w:rtl w:val="0"/>
          <w14:textFill>
            <w14:solidFill>
              <w14:srgbClr w14:val="0F1115"/>
            </w14:solidFill>
          </w14:textFill>
        </w:rPr>
        <w:t>XX</w:t>
      </w:r>
      <w:r>
        <w:rPr>
          <w:outline w:val="0"/>
          <w:color w:val="0e1114"/>
          <w:shd w:val="clear" w:color="auto" w:fill="ffffff"/>
          <w:rtl w:val="0"/>
          <w:lang w:val="zh-CN" w:eastAsia="zh-CN"/>
          <w14:textFill>
            <w14:solidFill>
              <w14:srgbClr w14:val="0F1115"/>
            </w14:solidFill>
          </w14:textFill>
        </w:rPr>
        <w:t>日订于【首届立方体世界峰会举办地】。</w:t>
      </w:r>
    </w:p>
    <w:p>
      <w:pPr>
        <w:pStyle w:val="默认"/>
        <w:suppressAutoHyphens w:val="1"/>
        <w:spacing w:before="0" w:line="240" w:lineRule="auto"/>
        <w:jc w:val="left"/>
        <w:rPr>
          <w:outline w:val="0"/>
          <w:color w:val="7f7f7f"/>
          <w:shd w:val="clear" w:color="auto" w:fill="ffffff"/>
          <w14:textFill>
            <w14:solidFill>
              <w14:srgbClr w14:val="808080"/>
            </w14:solidFill>
          </w14:textFill>
        </w:rPr>
      </w:pPr>
    </w:p>
    <w:p>
      <w:pPr>
        <w:pStyle w:val="默认"/>
        <w:suppressAutoHyphens w:val="1"/>
        <w:spacing w:before="0" w:line="240" w:lineRule="auto"/>
        <w:jc w:val="left"/>
        <w:rPr>
          <w:outline w:val="0"/>
          <w:color w:val="7f7f7f"/>
          <w:shd w:val="clear" w:color="auto" w:fill="ffffff"/>
          <w14:textFill>
            <w14:solidFill>
              <w14:srgbClr w14:val="808080"/>
            </w14:solidFill>
          </w14:textFill>
        </w:rPr>
      </w:pPr>
    </w:p>
    <w:p>
      <w:pPr>
        <w:pStyle w:val="默认"/>
        <w:suppressAutoHyphens w:val="1"/>
        <w:spacing w:before="0" w:line="240" w:lineRule="auto"/>
        <w:jc w:val="left"/>
        <w:rPr>
          <w:outline w:val="0"/>
          <w:color w:val="7f7f7f"/>
          <w:shd w:val="clear" w:color="auto" w:fill="ffffff"/>
          <w14:textFill>
            <w14:solidFill>
              <w14:srgbClr w14:val="808080"/>
            </w14:solidFill>
          </w14:textFill>
        </w:rPr>
      </w:pPr>
    </w:p>
    <w:p>
      <w:pPr>
        <w:pStyle w:val="默认"/>
        <w:suppressAutoHyphens w:val="1"/>
        <w:spacing w:before="0" w:line="240" w:lineRule="auto"/>
        <w:jc w:val="left"/>
        <w:rPr>
          <w:outline w:val="0"/>
          <w:color w:val="7f7f7f"/>
          <w:shd w:val="clear" w:color="auto" w:fill="ffffff"/>
          <w14:textFill>
            <w14:solidFill>
              <w14:srgbClr w14:val="808080"/>
            </w14:solidFill>
          </w14:textFill>
        </w:rPr>
      </w:pPr>
    </w:p>
    <w:p>
      <w:pPr>
        <w:pStyle w:val="默认"/>
        <w:suppressAutoHyphens w:val="1"/>
        <w:spacing w:before="0" w:line="240" w:lineRule="auto"/>
        <w:jc w:val="left"/>
        <w:rPr>
          <w:outline w:val="0"/>
          <w:color w:val="7f7f7f"/>
          <w:shd w:val="clear" w:color="auto" w:fill="000000"/>
          <w14:textFill>
            <w14:solidFill>
              <w14:srgbClr w14:val="808080"/>
            </w14:solidFill>
          </w14:textFill>
        </w:rPr>
      </w:pPr>
    </w:p>
    <w:p>
      <w:pPr>
        <w:pStyle w:val="默认"/>
        <w:suppressAutoHyphens w:val="1"/>
        <w:spacing w:before="0" w:after="32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附件一：未来科技部署路线图（概要）</w:t>
      </w:r>
    </w:p>
    <w:p>
      <w:pPr>
        <w:pStyle w:val="默认"/>
        <w:suppressAutoHyphens w:val="1"/>
        <w:spacing w:before="0" w:line="240" w:lineRule="auto"/>
        <w:jc w:val="left"/>
        <w:rPr>
          <w:outline w:val="0"/>
          <w:color w:val="0e1114"/>
          <w:shd w:val="clear" w:color="auto" w:fill="ffffff"/>
          <w14:textFill>
            <w14:solidFill>
              <w14:srgbClr w14:val="0F1115"/>
            </w14:solidFill>
          </w14:textFill>
        </w:rPr>
      </w:pPr>
    </w:p>
    <w:p>
      <w:pPr>
        <w:pStyle w:val="默认"/>
        <w:suppressAutoHyphens w:val="1"/>
        <w:spacing w:before="0" w:line="240" w:lineRule="auto"/>
        <w:jc w:val="left"/>
        <w:rPr>
          <w:outline w:val="0"/>
          <w:color w:val="0e1114"/>
          <w:shd w:val="clear" w:color="auto" w:fill="ffffff"/>
          <w14:textFill>
            <w14:solidFill>
              <w14:srgbClr w14:val="0F1115"/>
            </w14:solidFill>
          </w14:textFill>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58"/>
        <w:gridCol w:w="2169"/>
        <w:gridCol w:w="2168"/>
        <w:gridCol w:w="1975"/>
        <w:gridCol w:w="1760"/>
      </w:tblGrid>
      <w:tr>
        <w:tblPrEx>
          <w:shd w:val="clear" w:color="auto" w:fill="auto"/>
        </w:tblPrEx>
        <w:trPr>
          <w:trHeight w:val="847" w:hRule="atLeast"/>
        </w:trPr>
        <w:tc>
          <w:tcPr>
            <w:tcW w:type="dxa" w:w="15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时间段</w:t>
            </w: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能源科技</w:t>
            </w: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材料科技</w:t>
            </w:r>
          </w:p>
        </w:tc>
        <w:tc>
          <w:tcPr>
            <w:tcW w:type="dxa" w:w="19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空间科技</w:t>
            </w:r>
          </w:p>
        </w:tc>
        <w:tc>
          <w:tcPr>
            <w:tcW w:type="dxa" w:w="17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循环科技</w:t>
            </w:r>
          </w:p>
        </w:tc>
      </w:tr>
      <w:tr>
        <w:tblPrEx>
          <w:shd w:val="clear" w:color="auto" w:fill="auto"/>
        </w:tblPrEx>
        <w:trPr>
          <w:trHeight w:val="1687" w:hRule="atLeast"/>
        </w:trPr>
        <w:tc>
          <w:tcPr>
            <w:tcW w:type="dxa" w:w="15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0"/>
              <w:bottom w:type="dxa" w:w="200"/>
              <w:right w:type="dxa" w:w="320"/>
            </w:tcMar>
            <w:vAlign w:val="center"/>
          </w:tcPr>
          <w:p>
            <w:pPr>
              <w:pStyle w:val="表格样式 2"/>
              <w:suppressAutoHyphens w:val="1"/>
              <w:jc w:val="left"/>
            </w:pPr>
            <w:r>
              <w:rPr>
                <w:rFonts w:ascii="PingFang SC Regular" w:hAnsi="PingFang SC Regular"/>
                <w:outline w:val="0"/>
                <w:color w:val="0e1114"/>
                <w:sz w:val="30"/>
                <w:szCs w:val="30"/>
                <w:rtl w:val="0"/>
                <w14:textFill>
                  <w14:solidFill>
                    <w14:srgbClr w14:val="0F1115"/>
                  </w14:solidFill>
                </w14:textFill>
              </w:rPr>
              <w:t>1-30</w:t>
            </w:r>
            <w:r>
              <w:rPr>
                <w:rFonts w:eastAsia="PingFang SC Regular" w:hint="eastAsia"/>
                <w:outline w:val="0"/>
                <w:color w:val="0e1114"/>
                <w:sz w:val="30"/>
                <w:szCs w:val="30"/>
                <w:rtl w:val="0"/>
                <w14:textFill>
                  <w14:solidFill>
                    <w14:srgbClr w14:val="0F1115"/>
                  </w14:solidFill>
                </w14:textFill>
              </w:rPr>
              <w:t>年</w:t>
            </w: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中微子能量立方试点</w:t>
            </w:r>
          </w:p>
          <w:p>
            <w:pPr>
              <w:pStyle w:val="表格样式 2"/>
              <w:suppressAutoHyphens w:val="1"/>
              <w:jc w:val="left"/>
            </w:pPr>
            <w:r>
              <w:rPr>
                <w:rFonts w:ascii="PingFang SC Regular" w:hAnsi="PingFang SC Regular"/>
                <w:outline w:val="0"/>
                <w:color w:val="0e1114"/>
                <w:sz w:val="30"/>
                <w:szCs w:val="30"/>
                <w:rtl w:val="0"/>
                <w14:textFill>
                  <w14:solidFill>
                    <w14:srgbClr w14:val="0F1115"/>
                  </w14:solidFill>
                </w14:textFill>
              </w:rPr>
              <w:t>CMMS</w:t>
            </w:r>
            <w:r>
              <w:rPr>
                <w:rFonts w:eastAsia="PingFang SC Regular" w:hint="eastAsia"/>
                <w:outline w:val="0"/>
                <w:color w:val="0e1114"/>
                <w:sz w:val="30"/>
                <w:szCs w:val="30"/>
                <w:rtl w:val="0"/>
                <w14:textFill>
                  <w14:solidFill>
                    <w14:srgbClr w14:val="0F1115"/>
                  </w14:solidFill>
                </w14:textFill>
              </w:rPr>
              <w:t>储能研发</w:t>
            </w: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自适应材料开发</w:t>
            </w:r>
          </w:p>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可编程物质基础研究</w:t>
            </w:r>
          </w:p>
        </w:tc>
        <w:tc>
          <w:tcPr>
            <w:tcW w:type="dxa" w:w="19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量子折叠算法开发</w:t>
            </w:r>
          </w:p>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空间优化试点</w:t>
            </w:r>
          </w:p>
        </w:tc>
        <w:tc>
          <w:tcPr>
            <w:tcW w:type="dxa" w:w="17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320"/>
              <w:bottom w:type="dxa" w:w="200"/>
              <w:right w:type="dxa" w:w="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复制机器系统基础</w:t>
            </w:r>
          </w:p>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原子管理框架</w:t>
            </w:r>
          </w:p>
        </w:tc>
      </w:tr>
      <w:tr>
        <w:tblPrEx>
          <w:shd w:val="clear" w:color="auto" w:fill="auto"/>
        </w:tblPrEx>
        <w:trPr>
          <w:trHeight w:val="1687" w:hRule="atLeast"/>
        </w:trPr>
        <w:tc>
          <w:tcPr>
            <w:tcW w:type="dxa" w:w="15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0"/>
              <w:bottom w:type="dxa" w:w="200"/>
              <w:right w:type="dxa" w:w="320"/>
            </w:tcMar>
            <w:vAlign w:val="center"/>
          </w:tcPr>
          <w:p>
            <w:pPr>
              <w:pStyle w:val="表格样式 2"/>
              <w:suppressAutoHyphens w:val="1"/>
              <w:jc w:val="left"/>
            </w:pPr>
            <w:r>
              <w:rPr>
                <w:rFonts w:ascii="PingFang SC Regular" w:hAnsi="PingFang SC Regular"/>
                <w:outline w:val="0"/>
                <w:color w:val="0e1114"/>
                <w:sz w:val="30"/>
                <w:szCs w:val="30"/>
                <w:rtl w:val="0"/>
                <w14:textFill>
                  <w14:solidFill>
                    <w14:srgbClr w14:val="0F1115"/>
                  </w14:solidFill>
                </w14:textFill>
              </w:rPr>
              <w:t>30-70</w:t>
            </w:r>
            <w:r>
              <w:rPr>
                <w:rFonts w:eastAsia="PingFang SC Regular" w:hint="eastAsia"/>
                <w:outline w:val="0"/>
                <w:color w:val="0e1114"/>
                <w:sz w:val="30"/>
                <w:szCs w:val="30"/>
                <w:rtl w:val="0"/>
                <w14:textFill>
                  <w14:solidFill>
                    <w14:srgbClr w14:val="0F1115"/>
                  </w14:solidFill>
                </w14:textFill>
              </w:rPr>
              <w:t>年</w:t>
            </w: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中微子能源扩大</w:t>
            </w:r>
          </w:p>
          <w:p>
            <w:pPr>
              <w:pStyle w:val="表格样式 2"/>
              <w:suppressAutoHyphens w:val="1"/>
              <w:jc w:val="left"/>
            </w:pPr>
            <w:r>
              <w:rPr>
                <w:rFonts w:ascii="PingFang SC Regular" w:hAnsi="PingFang SC Regular"/>
                <w:outline w:val="0"/>
                <w:color w:val="0e1114"/>
                <w:sz w:val="30"/>
                <w:szCs w:val="30"/>
                <w:rtl w:val="0"/>
                <w14:textFill>
                  <w14:solidFill>
                    <w14:srgbClr w14:val="0F1115"/>
                  </w14:solidFill>
                </w14:textFill>
              </w:rPr>
              <w:t>CMMS</w:t>
            </w:r>
            <w:r>
              <w:rPr>
                <w:rFonts w:eastAsia="PingFang SC Regular" w:hint="eastAsia"/>
                <w:outline w:val="0"/>
                <w:color w:val="0e1114"/>
                <w:sz w:val="30"/>
                <w:szCs w:val="30"/>
                <w:rtl w:val="0"/>
                <w14:textFill>
                  <w14:solidFill>
                    <w14:srgbClr w14:val="0F1115"/>
                  </w14:solidFill>
                </w14:textFill>
              </w:rPr>
              <w:t>建筑集成</w:t>
            </w: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自修复设施部署</w:t>
            </w:r>
          </w:p>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可编程生态应用</w:t>
            </w:r>
          </w:p>
        </w:tc>
        <w:tc>
          <w:tcPr>
            <w:tcW w:type="dxa" w:w="19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折叠技术推广</w:t>
            </w:r>
          </w:p>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生态节律整合</w:t>
            </w:r>
          </w:p>
        </w:tc>
        <w:tc>
          <w:tcPr>
            <w:tcW w:type="dxa" w:w="17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0"/>
              <w:left w:type="dxa" w:w="320"/>
              <w:bottom w:type="dxa" w:w="200"/>
              <w:right w:type="dxa" w:w="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终端系统普及</w:t>
            </w:r>
          </w:p>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物质循环优化</w:t>
            </w:r>
          </w:p>
        </w:tc>
      </w:tr>
      <w:tr>
        <w:tblPrEx>
          <w:shd w:val="clear" w:color="auto" w:fill="auto"/>
        </w:tblPrEx>
        <w:trPr>
          <w:trHeight w:val="1687" w:hRule="atLeast"/>
        </w:trPr>
        <w:tc>
          <w:tcPr>
            <w:tcW w:type="dxa" w:w="15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0"/>
              <w:bottom w:type="dxa" w:w="200"/>
              <w:right w:type="dxa" w:w="320"/>
            </w:tcMar>
            <w:vAlign w:val="center"/>
          </w:tcPr>
          <w:p>
            <w:pPr>
              <w:pStyle w:val="表格样式 2"/>
              <w:suppressAutoHyphens w:val="1"/>
              <w:jc w:val="left"/>
            </w:pPr>
            <w:r>
              <w:rPr>
                <w:rFonts w:ascii="PingFang SC Regular" w:hAnsi="PingFang SC Regular"/>
                <w:outline w:val="0"/>
                <w:color w:val="0e1114"/>
                <w:sz w:val="30"/>
                <w:szCs w:val="30"/>
                <w:rtl w:val="0"/>
                <w14:textFill>
                  <w14:solidFill>
                    <w14:srgbClr w14:val="0F1115"/>
                  </w14:solidFill>
                </w14:textFill>
              </w:rPr>
              <w:t>70-100</w:t>
            </w:r>
            <w:r>
              <w:rPr>
                <w:rFonts w:eastAsia="PingFang SC Regular" w:hint="eastAsia"/>
                <w:outline w:val="0"/>
                <w:color w:val="0e1114"/>
                <w:sz w:val="30"/>
                <w:szCs w:val="30"/>
                <w:rtl w:val="0"/>
                <w14:textFill>
                  <w14:solidFill>
                    <w14:srgbClr w14:val="0F1115"/>
                  </w14:solidFill>
                </w14:textFill>
              </w:rPr>
              <w:t>年</w:t>
            </w: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能源系统全面升级</w:t>
            </w:r>
          </w:p>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分布式储能成熟</w:t>
            </w:r>
          </w:p>
        </w:tc>
        <w:tc>
          <w:tcPr>
            <w:tcW w:type="dxa" w:w="21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材料智慧化完成</w:t>
            </w:r>
          </w:p>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环境自适应实现</w:t>
            </w:r>
          </w:p>
        </w:tc>
        <w:tc>
          <w:tcPr>
            <w:tcW w:type="dxa" w:w="19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320"/>
              <w:bottom w:type="dxa" w:w="200"/>
              <w:right w:type="dxa" w:w="32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空间生态融合</w:t>
            </w:r>
          </w:p>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全系统动态优化</w:t>
            </w:r>
          </w:p>
        </w:tc>
        <w:tc>
          <w:tcPr>
            <w:tcW w:type="dxa" w:w="17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0"/>
              <w:left w:type="dxa" w:w="320"/>
              <w:bottom w:type="dxa" w:w="200"/>
              <w:right w:type="dxa" w:w="0"/>
            </w:tcMar>
            <w:vAlign w:val="center"/>
          </w:tcPr>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原子循环闭环</w:t>
            </w:r>
          </w:p>
          <w:p>
            <w:pPr>
              <w:pStyle w:val="表格样式 2"/>
              <w:suppressAutoHyphens w:val="1"/>
              <w:jc w:val="left"/>
            </w:pPr>
            <w:r>
              <w:rPr>
                <w:rFonts w:eastAsia="PingFang SC Regular" w:hint="eastAsia"/>
                <w:outline w:val="0"/>
                <w:color w:val="0e1114"/>
                <w:sz w:val="30"/>
                <w:szCs w:val="30"/>
                <w:rtl w:val="0"/>
                <w14:textFill>
                  <w14:solidFill>
                    <w14:srgbClr w14:val="0F1115"/>
                  </w14:solidFill>
                </w14:textFill>
              </w:rPr>
              <w:t>资源零浪费实现</w:t>
            </w:r>
          </w:p>
        </w:tc>
      </w:tr>
    </w:tbl>
    <w:p>
      <w:pPr>
        <w:pStyle w:val="默认"/>
        <w:suppressAutoHyphens w:val="1"/>
        <w:spacing w:before="0" w:line="240" w:lineRule="auto"/>
        <w:jc w:val="left"/>
        <w:rPr>
          <w:outline w:val="0"/>
          <w:color w:val="0e1114"/>
          <w:shd w:val="clear" w:color="auto" w:fill="ffffff"/>
          <w14:textFill>
            <w14:solidFill>
              <w14:srgbClr w14:val="0F1115"/>
            </w14:solidFill>
          </w14:textFill>
        </w:rPr>
      </w:pPr>
    </w:p>
    <w:p>
      <w:pPr>
        <w:pStyle w:val="默认"/>
        <w:suppressAutoHyphens w:val="1"/>
        <w:spacing w:before="0" w:line="240" w:lineRule="auto"/>
        <w:jc w:val="left"/>
        <w:rPr>
          <w:outline w:val="0"/>
          <w:color w:val="0e1114"/>
          <w:shd w:val="clear" w:color="auto" w:fill="ffffff"/>
          <w14:textFill>
            <w14:solidFill>
              <w14:srgbClr w14:val="0F1115"/>
            </w14:solidFill>
          </w14:textFill>
        </w:rPr>
      </w:pPr>
      <w:r>
        <w:rPr>
          <w:outline w:val="0"/>
          <w:color w:val="0e1114"/>
          <w:shd w:val="clear" w:color="auto" w:fill="ffffff"/>
          <w:rtl w:val="0"/>
          <w:lang w:val="zh-CN" w:eastAsia="zh-CN"/>
          <w14:textFill>
            <w14:solidFill>
              <w14:srgbClr w14:val="0F1115"/>
            </w14:solidFill>
          </w14:textFill>
        </w:rPr>
        <w:t>注：详细路线图由公约秘书处未来科技司制定并定期更新。</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附件二：未来科技互操作性标准与生态增益评估框架</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 xml:space="preserve">1. </w:t>
      </w:r>
      <w:r>
        <w:rPr>
          <w:outline w:val="0"/>
          <w:color w:val="0e1114"/>
          <w:sz w:val="28"/>
          <w:szCs w:val="28"/>
          <w:shd w:val="clear" w:color="auto" w:fill="ffffff"/>
          <w:rtl w:val="0"/>
          <w:lang w:val="zh-CN" w:eastAsia="zh-CN"/>
          <w14:textFill>
            <w14:solidFill>
              <w14:srgbClr w14:val="0F1115"/>
            </w14:solidFill>
          </w14:textFill>
        </w:rPr>
        <w:t>技术互操作性标准为确保各世界开发的未来科技能够协同工作，形成联盟范围内的</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科技生态系统</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，所有缔约世界承诺在以下领域采用共同标准：</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通信协议：所有可编程物质、自适应材料及协同变形微单元集群（</w:t>
      </w:r>
      <w:r>
        <w:rPr>
          <w:rFonts w:ascii="PingFang SC Regular" w:hAnsi="PingFang SC Regular"/>
          <w:outline w:val="0"/>
          <w:color w:val="0e1114"/>
          <w:sz w:val="28"/>
          <w:szCs w:val="28"/>
          <w:shd w:val="clear" w:color="auto" w:fill="ffffff"/>
          <w:rtl w:val="0"/>
          <w14:textFill>
            <w14:solidFill>
              <w14:srgbClr w14:val="0F1115"/>
            </w14:solidFill>
          </w14:textFill>
        </w:rPr>
        <w:t>CMMS</w:t>
      </w:r>
      <w:r>
        <w:rPr>
          <w:outline w:val="0"/>
          <w:color w:val="0e1114"/>
          <w:sz w:val="28"/>
          <w:szCs w:val="28"/>
          <w:shd w:val="clear" w:color="auto" w:fill="ffffff"/>
          <w:rtl w:val="0"/>
          <w:lang w:val="zh-CN" w:eastAsia="zh-CN"/>
          <w14:textFill>
            <w14:solidFill>
              <w14:srgbClr w14:val="0F1115"/>
            </w14:solidFill>
          </w14:textFill>
        </w:rPr>
        <w:t>）需采用统一的量子安全通信协议，确保跨世界指令传输的兼容性与安全性。</w:t>
      </w:r>
    </w:p>
    <w:p>
      <w:pPr>
        <w:pStyle w:val="默认"/>
        <w:numPr>
          <w:ilvl w:val="0"/>
          <w:numId w:val="27"/>
        </w:numPr>
        <w:suppressAutoHyphens w:val="1"/>
        <w:spacing w:before="0" w:line="240" w:lineRule="auto"/>
        <w:jc w:val="left"/>
        <w:rPr>
          <w:outline w:val="0"/>
          <w:color w:val="0e1114"/>
          <w:sz w:val="28"/>
          <w:szCs w:val="28"/>
          <w:lang w:val="zh-TW" w:eastAsia="zh-TW"/>
          <w14:textFill>
            <w14:solidFill>
              <w14:srgbClr w14:val="0F1115"/>
            </w14:solidFill>
          </w14:textFill>
        </w:rPr>
      </w:pPr>
      <w:r>
        <w:rPr>
          <w:outline w:val="0"/>
          <w:color w:val="0e1114"/>
          <w:sz w:val="28"/>
          <w:szCs w:val="28"/>
          <w:shd w:val="clear" w:color="auto" w:fill="ffffff"/>
          <w:rtl w:val="0"/>
          <w:lang w:val="zh-TW" w:eastAsia="zh-TW"/>
          <w14:textFill>
            <w14:solidFill>
              <w14:srgbClr w14:val="0F1115"/>
            </w14:solidFill>
          </w14:textFill>
        </w:rPr>
        <w:t>能源接口：中微子能量立方、</w:t>
      </w:r>
      <w:r>
        <w:rPr>
          <w:rFonts w:ascii="PingFang SC Regular" w:hAnsi="PingFang SC Regular"/>
          <w:outline w:val="0"/>
          <w:color w:val="0e1114"/>
          <w:sz w:val="28"/>
          <w:szCs w:val="28"/>
          <w:shd w:val="clear" w:color="auto" w:fill="ffffff"/>
          <w:rtl w:val="0"/>
          <w14:textFill>
            <w14:solidFill>
              <w14:srgbClr w14:val="0F1115"/>
            </w14:solidFill>
          </w14:textFill>
        </w:rPr>
        <w:t>CMMS</w:t>
      </w:r>
      <w:r>
        <w:rPr>
          <w:outline w:val="0"/>
          <w:color w:val="0e1114"/>
          <w:sz w:val="28"/>
          <w:szCs w:val="28"/>
          <w:shd w:val="clear" w:color="auto" w:fill="ffffff"/>
          <w:rtl w:val="0"/>
          <w:lang w:val="zh-CN" w:eastAsia="zh-CN"/>
          <w14:textFill>
            <w14:solidFill>
              <w14:srgbClr w14:val="0F1115"/>
            </w14:solidFill>
          </w14:textFill>
        </w:rPr>
        <w:t>储能模块等新型能源设施需配备标准化并网接口，支持能源的跨世界智能调度与冗余备份。</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数据格式：与生态监测、物质循环（如复制机器系统的蓝图）相关的数据，需采用联盟制定的</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生态元数据</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标准，确保信息的可比较性与可共享性。</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 xml:space="preserve">2. </w:t>
      </w:r>
      <w:r>
        <w:rPr>
          <w:outline w:val="0"/>
          <w:color w:val="0e1114"/>
          <w:sz w:val="28"/>
          <w:szCs w:val="28"/>
          <w:shd w:val="clear" w:color="auto" w:fill="ffffff"/>
          <w:rtl w:val="0"/>
          <w:lang w:val="zh-CN" w:eastAsia="zh-CN"/>
          <w14:textFill>
            <w14:solidFill>
              <w14:srgbClr w14:val="0F1115"/>
            </w14:solidFill>
          </w14:textFill>
        </w:rPr>
        <w:t>生态增益量化评估任何未来科技的部署，除需满足</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影响最小化</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要求外，还应致力于实现可量化的</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生态增益</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。秘书处未来科技司将牵头制定并维护一份《生态增益技术清单》。</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增益指标：包括但不限于</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单位体积碳固定量</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TW" w:eastAsia="zh-TW"/>
          <w14:textFill>
            <w14:solidFill>
              <w14:srgbClr w14:val="0F1115"/>
            </w14:solidFill>
          </w14:textFill>
        </w:rPr>
        <w:t>、</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本地物种多样性提升率</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TW" w:eastAsia="zh-TW"/>
          <w14:textFill>
            <w14:solidFill>
              <w14:srgbClr w14:val="0F1115"/>
            </w14:solidFill>
          </w14:textFill>
        </w:rPr>
        <w:t>、</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外部土地解放面积</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14:textFill>
            <w14:solidFill>
              <w14:srgbClr w14:val="0F1115"/>
            </w14:solidFill>
          </w14:textFill>
        </w:rPr>
        <w:t>等。</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认证与激励：经独立评估确认为</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生态增益型</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的科技，其研发与部署世界可获得</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绿色基金</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的优先支持及联盟内的技术推广资格。</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附件三：未来科技伦理与风险审查章程</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 xml:space="preserve">1. </w:t>
      </w:r>
      <w:r>
        <w:rPr>
          <w:outline w:val="0"/>
          <w:color w:val="0e1114"/>
          <w:sz w:val="28"/>
          <w:szCs w:val="28"/>
          <w:shd w:val="clear" w:color="auto" w:fill="ffffff"/>
          <w:rtl w:val="0"/>
          <w:lang w:val="zh-CN" w:eastAsia="zh-CN"/>
          <w14:textFill>
            <w14:solidFill>
              <w14:srgbClr w14:val="0F1115"/>
            </w14:solidFill>
          </w14:textFill>
        </w:rPr>
        <w:t>伦理审查核心原则所有未来科技在部署前，必须通过跨世界科技伦理委员会的审查，审查基于以下原则：</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生态优先原则：科技的首要目的是服务于生态系统的整体健康与稳定，而非单纯的人类便利。</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预防性原则：对于潜在长期生态风险不明或存在重大争议的科技，应采取谨慎态度，即使部分短期经济利益受损。</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自然权利原则：承认自然的内在价值，科技应用不得损害非人类物种的生存权与栖息地完整性。</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 xml:space="preserve">2. </w:t>
      </w:r>
      <w:r>
        <w:rPr>
          <w:outline w:val="0"/>
          <w:color w:val="0e1114"/>
          <w:sz w:val="28"/>
          <w:szCs w:val="28"/>
          <w:shd w:val="clear" w:color="auto" w:fill="ffffff"/>
          <w:rtl w:val="0"/>
          <w:lang w:val="zh-CN" w:eastAsia="zh-CN"/>
          <w14:textFill>
            <w14:solidFill>
              <w14:srgbClr w14:val="0F1115"/>
            </w14:solidFill>
          </w14:textFill>
        </w:rPr>
        <w:t>分级风险评估与管控根据科技对生态系统的潜在影响程度，实施分级管理：</w:t>
      </w:r>
    </w:p>
    <w:p>
      <w:pPr>
        <w:pStyle w:val="默认"/>
        <w:numPr>
          <w:ilvl w:val="0"/>
          <w:numId w:val="27"/>
        </w:numPr>
        <w:suppressAutoHyphens w:val="1"/>
        <w:spacing w:before="0" w:line="240" w:lineRule="auto"/>
        <w:jc w:val="left"/>
        <w:rPr>
          <w:outline w:val="0"/>
          <w:color w:val="0e1114"/>
          <w:sz w:val="28"/>
          <w:szCs w:val="28"/>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I</w:t>
      </w:r>
      <w:r>
        <w:rPr>
          <w:outline w:val="0"/>
          <w:color w:val="0e1114"/>
          <w:sz w:val="28"/>
          <w:szCs w:val="28"/>
          <w:shd w:val="clear" w:color="auto" w:fill="ffffff"/>
          <w:rtl w:val="0"/>
          <w:lang w:val="zh-CN" w:eastAsia="zh-CN"/>
          <w14:textFill>
            <w14:solidFill>
              <w14:srgbClr w14:val="0F1115"/>
            </w14:solidFill>
          </w14:textFill>
        </w:rPr>
        <w:t>级（低风险）：如内部能效提升技术。实行备案制，由世界内部审查。</w:t>
      </w:r>
    </w:p>
    <w:p>
      <w:pPr>
        <w:pStyle w:val="默认"/>
        <w:numPr>
          <w:ilvl w:val="0"/>
          <w:numId w:val="27"/>
        </w:numPr>
        <w:suppressAutoHyphens w:val="1"/>
        <w:spacing w:before="0" w:line="240" w:lineRule="auto"/>
        <w:jc w:val="left"/>
        <w:rPr>
          <w:outline w:val="0"/>
          <w:color w:val="0e1114"/>
          <w:sz w:val="28"/>
          <w:szCs w:val="28"/>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II</w:t>
      </w:r>
      <w:r>
        <w:rPr>
          <w:outline w:val="0"/>
          <w:color w:val="0e1114"/>
          <w:sz w:val="28"/>
          <w:szCs w:val="28"/>
          <w:shd w:val="clear" w:color="auto" w:fill="ffffff"/>
          <w:rtl w:val="0"/>
          <w:lang w:val="zh-CN" w:eastAsia="zh-CN"/>
          <w14:textFill>
            <w14:solidFill>
              <w14:srgbClr w14:val="0F1115"/>
            </w14:solidFill>
          </w14:textFill>
        </w:rPr>
        <w:t>级（中风险）：如大规模可编程物质地貌改造。需提交详尽风险评估报告，由伦理委员会核准。</w:t>
      </w:r>
    </w:p>
    <w:p>
      <w:pPr>
        <w:pStyle w:val="默认"/>
        <w:numPr>
          <w:ilvl w:val="0"/>
          <w:numId w:val="27"/>
        </w:numPr>
        <w:suppressAutoHyphens w:val="1"/>
        <w:spacing w:before="0" w:line="240" w:lineRule="auto"/>
        <w:jc w:val="left"/>
        <w:rPr>
          <w:outline w:val="0"/>
          <w:color w:val="0e1114"/>
          <w:sz w:val="28"/>
          <w:szCs w:val="28"/>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III</w:t>
      </w:r>
      <w:r>
        <w:rPr>
          <w:outline w:val="0"/>
          <w:color w:val="0e1114"/>
          <w:sz w:val="28"/>
          <w:szCs w:val="28"/>
          <w:shd w:val="clear" w:color="auto" w:fill="ffffff"/>
          <w:rtl w:val="0"/>
          <w:lang w:val="zh-CN" w:eastAsia="zh-CN"/>
          <w14:textFill>
            <w14:solidFill>
              <w14:srgbClr w14:val="0F1115"/>
            </w14:solidFill>
          </w14:textFill>
        </w:rPr>
        <w:t>级（高风险）：如涉及地球工程或全球气候干预的技术。必须经过全联盟公开听证，并获得超过四分之三缔约世界的同意方可启动有限度试验。</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附件四：科技应用相关生态争议解决程序</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 xml:space="preserve">1. </w:t>
      </w:r>
      <w:r>
        <w:rPr>
          <w:outline w:val="0"/>
          <w:color w:val="0e1114"/>
          <w:sz w:val="28"/>
          <w:szCs w:val="28"/>
          <w:shd w:val="clear" w:color="auto" w:fill="ffffff"/>
          <w:rtl w:val="0"/>
          <w:lang w:val="zh-CN" w:eastAsia="zh-CN"/>
          <w14:textFill>
            <w14:solidFill>
              <w14:srgbClr w14:val="0F1115"/>
            </w14:solidFill>
          </w14:textFill>
        </w:rPr>
        <w:t>争议类型本程序适用于缔约世界之间因未来科技的应用、部署或意外后果引发的生态争议，主要包括：</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跨界生态影响争议（如某世界的能量立方对邻近世界生态监测造成干扰）。</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技术共享与知识产权争议。</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科技部署的</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生态足迹</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计算争议。</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 xml:space="preserve">2. </w:t>
      </w:r>
      <w:r>
        <w:rPr>
          <w:outline w:val="0"/>
          <w:color w:val="0e1114"/>
          <w:sz w:val="28"/>
          <w:szCs w:val="28"/>
          <w:shd w:val="clear" w:color="auto" w:fill="ffffff"/>
          <w:rtl w:val="0"/>
          <w:lang w:val="zh-CN" w:eastAsia="zh-CN"/>
          <w14:textFill>
            <w14:solidFill>
              <w14:srgbClr w14:val="0F1115"/>
            </w14:solidFill>
          </w14:textFill>
        </w:rPr>
        <w:t>解决流程</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第一阶段（协商）：争议双方首先必须进行直接协商，秘书处可提供技术事实调查支持。</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第二阶段（调解）：若协商失败，任何一方可提请遵约委员会启动调解程序。委员会将成立由技术专家和生态学家组成的调解小组。</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第三阶段（仲裁）：调解失败后，经双方同意，可将争议提交至联盟设立的</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生态科技仲裁庭</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。仲裁庭的裁决为终局性，对双方均有约束力。</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紧急禁令：在争议解决期间，若某项科技的应用存在造成</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紧迫且不可逆</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生态损害的显著风险，遵约委员会有权发布临时禁令，暂停该技术的应用。</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附件五：技术转让与知识产权共享协定</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 xml:space="preserve">1. </w:t>
      </w:r>
      <w:r>
        <w:rPr>
          <w:outline w:val="0"/>
          <w:color w:val="0e1114"/>
          <w:sz w:val="28"/>
          <w:szCs w:val="28"/>
          <w:shd w:val="clear" w:color="auto" w:fill="ffffff"/>
          <w:rtl w:val="0"/>
          <w:lang w:val="zh-CN" w:eastAsia="zh-CN"/>
          <w14:textFill>
            <w14:solidFill>
              <w14:srgbClr w14:val="0F1115"/>
            </w14:solidFill>
          </w14:textFill>
        </w:rPr>
        <w:t>技术池分类为平衡创新激励与技术共享，建立两级技术池：</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公共技术池：由</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绿色基金</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全额资助研发的科技，其知识产权归联盟所有，所有缔约世界可无偿使用。</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共享技术池：由单个世界主导研发的科技，世界保留主要知识产权，但承诺以公平、合理且非歧视性的条件（</w:t>
      </w:r>
      <w:r>
        <w:rPr>
          <w:rFonts w:ascii="PingFang SC Regular" w:hAnsi="PingFang SC Regular"/>
          <w:outline w:val="0"/>
          <w:color w:val="0e1114"/>
          <w:sz w:val="28"/>
          <w:szCs w:val="28"/>
          <w:shd w:val="clear" w:color="auto" w:fill="ffffff"/>
          <w:rtl w:val="0"/>
          <w:lang w:val="de-DE"/>
          <w14:textFill>
            <w14:solidFill>
              <w14:srgbClr w14:val="0F1115"/>
            </w14:solidFill>
          </w14:textFill>
        </w:rPr>
        <w:t>FRAND</w:t>
      </w:r>
      <w:r>
        <w:rPr>
          <w:outline w:val="0"/>
          <w:color w:val="0e1114"/>
          <w:sz w:val="28"/>
          <w:szCs w:val="28"/>
          <w:shd w:val="clear" w:color="auto" w:fill="ffffff"/>
          <w:rtl w:val="0"/>
          <w:lang w:val="zh-CN" w:eastAsia="zh-CN"/>
          <w14:textFill>
            <w14:solidFill>
              <w14:srgbClr w14:val="0F1115"/>
            </w14:solidFill>
          </w14:textFill>
        </w:rPr>
        <w:t>原则）向其他缔约世界授权。拒绝加入该协定的世界，将无法获得联盟的技术支持与基金资助。</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 xml:space="preserve">2. </w:t>
      </w:r>
      <w:r>
        <w:rPr>
          <w:outline w:val="0"/>
          <w:color w:val="0e1114"/>
          <w:sz w:val="28"/>
          <w:szCs w:val="28"/>
          <w:shd w:val="clear" w:color="auto" w:fill="ffffff"/>
          <w:rtl w:val="0"/>
          <w:lang w:val="zh-CN" w:eastAsia="zh-CN"/>
          <w14:textFill>
            <w14:solidFill>
              <w14:srgbClr w14:val="0F1115"/>
            </w14:solidFill>
          </w14:textFill>
        </w:rPr>
        <w:t>能力建设</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秘书处将组织定期的</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未来科技研讨会</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与培训项目。</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技术先进世界有义务接收来自技术薄弱世界的访问学者与实习生，实现知识与经验的代际传递。</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附件六：公约定期审查与科技适应机制</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 xml:space="preserve">1. </w:t>
      </w:r>
      <w:r>
        <w:rPr>
          <w:outline w:val="0"/>
          <w:color w:val="0e1114"/>
          <w:sz w:val="28"/>
          <w:szCs w:val="28"/>
          <w:shd w:val="clear" w:color="auto" w:fill="ffffff"/>
          <w:rtl w:val="0"/>
          <w:lang w:val="zh-CN" w:eastAsia="zh-CN"/>
          <w14:textFill>
            <w14:solidFill>
              <w14:srgbClr w14:val="0F1115"/>
            </w14:solidFill>
          </w14:textFill>
        </w:rPr>
        <w:t>审查周期与启动</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常规审查：每</w:t>
      </w:r>
      <w:r>
        <w:rPr>
          <w:rFonts w:ascii="PingFang SC Regular" w:hAnsi="PingFang SC Regular"/>
          <w:outline w:val="0"/>
          <w:color w:val="0e1114"/>
          <w:sz w:val="28"/>
          <w:szCs w:val="28"/>
          <w:shd w:val="clear" w:color="auto" w:fill="ffffff"/>
          <w:rtl w:val="0"/>
          <w14:textFill>
            <w14:solidFill>
              <w14:srgbClr w14:val="0F1115"/>
            </w14:solidFill>
          </w14:textFill>
        </w:rPr>
        <w:t>20</w:t>
      </w:r>
      <w:r>
        <w:rPr>
          <w:outline w:val="0"/>
          <w:color w:val="0e1114"/>
          <w:sz w:val="28"/>
          <w:szCs w:val="28"/>
          <w:shd w:val="clear" w:color="auto" w:fill="ffffff"/>
          <w:rtl w:val="0"/>
          <w:lang w:val="zh-CN" w:eastAsia="zh-CN"/>
          <w14:textFill>
            <w14:solidFill>
              <w14:srgbClr w14:val="0F1115"/>
            </w14:solidFill>
          </w14:textFill>
        </w:rPr>
        <w:t>年启动一次全面审查，评估公约条款与科技、生态发展的适应性。</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特别审查：当出现</w:t>
      </w:r>
      <w:r>
        <w:rPr>
          <w:rFonts w:ascii="PingFang SC Regular" w:hAnsi="PingFang SC Regular" w:hint="default"/>
          <w:outline w:val="0"/>
          <w:color w:val="0e1114"/>
          <w:sz w:val="28"/>
          <w:szCs w:val="28"/>
          <w:shd w:val="clear" w:color="auto" w:fill="ffffff"/>
          <w:rtl w:val="1"/>
          <w:lang w:val="ar-SA" w:bidi="ar-SA"/>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颠覆性技术</w:t>
      </w:r>
      <w:r>
        <w:rPr>
          <w:rFonts w:ascii="PingFang SC Regular" w:hAnsi="PingFang SC Regular" w:hint="default"/>
          <w:outline w:val="0"/>
          <w:color w:val="0e1114"/>
          <w:sz w:val="28"/>
          <w:szCs w:val="28"/>
          <w:shd w:val="clear" w:color="auto" w:fill="ffffff"/>
          <w:rtl w:val="0"/>
          <w14:textFill>
            <w14:solidFill>
              <w14:srgbClr w14:val="0F1115"/>
            </w14:solidFill>
          </w14:textFill>
        </w:rPr>
        <w:t>”</w:t>
      </w:r>
      <w:r>
        <w:rPr>
          <w:outline w:val="0"/>
          <w:color w:val="0e1114"/>
          <w:sz w:val="28"/>
          <w:szCs w:val="28"/>
          <w:shd w:val="clear" w:color="auto" w:fill="ffffff"/>
          <w:rtl w:val="0"/>
          <w:lang w:val="zh-CN" w:eastAsia="zh-CN"/>
          <w14:textFill>
            <w14:solidFill>
              <w14:srgbClr w14:val="0F1115"/>
            </w14:solidFill>
          </w14:textFill>
        </w:rPr>
        <w:t>突破或发生重大生态事件时，经三分之一以上缔约世界提议，可启动特别审查程序。</w:t>
      </w:r>
    </w:p>
    <w:p>
      <w:pPr>
        <w:pStyle w:val="默认"/>
        <w:suppressAutoHyphens w:val="1"/>
        <w:spacing w:before="0" w:after="320" w:line="240" w:lineRule="auto"/>
        <w:jc w:val="left"/>
        <w:rPr>
          <w:outline w:val="0"/>
          <w:color w:val="0e1114"/>
          <w:sz w:val="28"/>
          <w:szCs w:val="28"/>
          <w:shd w:val="clear" w:color="auto" w:fill="ffffff"/>
          <w14:textFill>
            <w14:solidFill>
              <w14:srgbClr w14:val="0F1115"/>
            </w14:solidFill>
          </w14:textFill>
        </w:rPr>
      </w:pPr>
      <w:r>
        <w:rPr>
          <w:rFonts w:ascii="PingFang SC Regular" w:hAnsi="PingFang SC Regular"/>
          <w:outline w:val="0"/>
          <w:color w:val="0e1114"/>
          <w:sz w:val="28"/>
          <w:szCs w:val="28"/>
          <w:shd w:val="clear" w:color="auto" w:fill="ffffff"/>
          <w:rtl w:val="0"/>
          <w14:textFill>
            <w14:solidFill>
              <w14:srgbClr w14:val="0F1115"/>
            </w14:solidFill>
          </w14:textFill>
        </w:rPr>
        <w:t xml:space="preserve">2. </w:t>
      </w:r>
      <w:r>
        <w:rPr>
          <w:outline w:val="0"/>
          <w:color w:val="0e1114"/>
          <w:sz w:val="28"/>
          <w:szCs w:val="28"/>
          <w:shd w:val="clear" w:color="auto" w:fill="ffffff"/>
          <w:rtl w:val="0"/>
          <w:lang w:val="zh-CN" w:eastAsia="zh-CN"/>
          <w14:textFill>
            <w14:solidFill>
              <w14:srgbClr w14:val="0F1115"/>
            </w14:solidFill>
          </w14:textFill>
        </w:rPr>
        <w:t>审查流程</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评估报告：由秘书处未来科技司牵头，编写《科技发展与公约适应性评估报告》。</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全球听证：举办线上与线下结合的联盟听证会，广泛听取各世界政府、科研机构及公民社会的意见。</w:t>
      </w:r>
    </w:p>
    <w:p>
      <w:pPr>
        <w:pStyle w:val="默认"/>
        <w:numPr>
          <w:ilvl w:val="0"/>
          <w:numId w:val="27"/>
        </w:numPr>
        <w:suppressAutoHyphens w:val="1"/>
        <w:spacing w:before="0" w:line="240" w:lineRule="auto"/>
        <w:jc w:val="left"/>
        <w:rPr>
          <w:outline w:val="0"/>
          <w:color w:val="0e1114"/>
          <w:sz w:val="28"/>
          <w:szCs w:val="28"/>
          <w:lang w:val="zh-CN" w:eastAsia="zh-CN"/>
          <w14:textFill>
            <w14:solidFill>
              <w14:srgbClr w14:val="0F1115"/>
            </w14:solidFill>
          </w14:textFill>
        </w:rPr>
      </w:pPr>
      <w:r>
        <w:rPr>
          <w:outline w:val="0"/>
          <w:color w:val="0e1114"/>
          <w:sz w:val="28"/>
          <w:szCs w:val="28"/>
          <w:shd w:val="clear" w:color="auto" w:fill="ffffff"/>
          <w:rtl w:val="0"/>
          <w:lang w:val="zh-CN" w:eastAsia="zh-CN"/>
          <w14:textFill>
            <w14:solidFill>
              <w14:srgbClr w14:val="0F1115"/>
            </w14:solidFill>
          </w14:textFill>
        </w:rPr>
        <w:t>修正案形成：基于评估与听证，形成公约修正案草案。修正案生效需获得三分之二缔约世界的批准。</w:t>
      </w:r>
    </w:p>
    <w:p>
      <w:pPr>
        <w:pStyle w:val="默认"/>
        <w:suppressAutoHyphens w:val="1"/>
        <w:spacing w:before="0" w:after="320" w:line="240" w:lineRule="auto"/>
        <w:jc w:val="left"/>
      </w:pPr>
      <w:r>
        <w:rPr>
          <w:rFonts w:ascii="PingFang SC Regular" w:hAnsi="PingFang SC Regular"/>
          <w:outline w:val="0"/>
          <w:color w:val="0e1114"/>
          <w:sz w:val="28"/>
          <w:szCs w:val="28"/>
          <w:shd w:val="clear" w:color="auto" w:fill="ffffff"/>
          <w:rtl w:val="0"/>
          <w14:textFill>
            <w14:solidFill>
              <w14:srgbClr w14:val="0F1115"/>
            </w14:solidFill>
          </w14:textFill>
        </w:rPr>
        <w:t xml:space="preserve">3. </w:t>
      </w:r>
      <w:r>
        <w:rPr>
          <w:outline w:val="0"/>
          <w:color w:val="0e1114"/>
          <w:sz w:val="28"/>
          <w:szCs w:val="28"/>
          <w:shd w:val="clear" w:color="auto" w:fill="ffffff"/>
          <w:rtl w:val="0"/>
          <w:lang w:val="zh-CN" w:eastAsia="zh-CN"/>
          <w14:textFill>
            <w14:solidFill>
              <w14:srgbClr w14:val="0F1115"/>
            </w14:solidFill>
          </w14:textFill>
        </w:rPr>
        <w:t>日落条款本公约及其附件中的具体技术标准与路径规划，自生效之日起</w:t>
      </w:r>
      <w:r>
        <w:rPr>
          <w:rFonts w:ascii="PingFang SC Regular" w:hAnsi="PingFang SC Regular"/>
          <w:outline w:val="0"/>
          <w:color w:val="0e1114"/>
          <w:sz w:val="28"/>
          <w:szCs w:val="28"/>
          <w:shd w:val="clear" w:color="auto" w:fill="ffffff"/>
          <w:rtl w:val="0"/>
          <w14:textFill>
            <w14:solidFill>
              <w14:srgbClr w14:val="0F1115"/>
            </w14:solidFill>
          </w14:textFill>
        </w:rPr>
        <w:t>100</w:t>
      </w:r>
      <w:r>
        <w:rPr>
          <w:outline w:val="0"/>
          <w:color w:val="0e1114"/>
          <w:sz w:val="28"/>
          <w:szCs w:val="28"/>
          <w:shd w:val="clear" w:color="auto" w:fill="ffffff"/>
          <w:rtl w:val="0"/>
          <w:lang w:val="zh-CN" w:eastAsia="zh-CN"/>
          <w14:textFill>
            <w14:solidFill>
              <w14:srgbClr w14:val="0F1115"/>
            </w14:solidFill>
          </w14:textFill>
        </w:rPr>
        <w:t>年后（即预期科技完全成熟时）自动失效。此举旨在倒逼各世界在百年过渡期内，共同筹划并建立一套基于完全成熟未来科技的、全新的永久性生态宪章。</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编号"/>
  </w:abstractNum>
  <w:abstractNum w:abstractNumId="1">
    <w:multiLevelType w:val="hybridMultilevel"/>
    <w:styleLink w:val="编号"/>
    <w:lvl w:ilvl="0">
      <w:start w:val="1"/>
      <w:numFmt w:val="decimal"/>
      <w:suff w:val="tab"/>
      <w:lvlText w:val="%1."/>
      <w:lvlJc w:val="left"/>
      <w:pPr>
        <w:ind w:left="72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1">
      <w:start w:val="1"/>
      <w:numFmt w:val="decimal"/>
      <w:suff w:val="tab"/>
      <w:lvlText w:val="%2."/>
      <w:lvlJc w:val="left"/>
      <w:pPr>
        <w:ind w:left="815" w:hanging="375"/>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2">
      <w:start w:val="1"/>
      <w:numFmt w:val="decimal"/>
      <w:suff w:val="tab"/>
      <w:lvlText w:val="%3."/>
      <w:lvlJc w:val="left"/>
      <w:pPr>
        <w:ind w:left="1035" w:hanging="375"/>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3">
      <w:start w:val="1"/>
      <w:numFmt w:val="decimal"/>
      <w:suff w:val="tab"/>
      <w:lvlText w:val="%4."/>
      <w:lvlJc w:val="left"/>
      <w:pPr>
        <w:ind w:left="1255" w:hanging="375"/>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4">
      <w:start w:val="1"/>
      <w:numFmt w:val="decimal"/>
      <w:suff w:val="tab"/>
      <w:lvlText w:val="%5."/>
      <w:lvlJc w:val="left"/>
      <w:pPr>
        <w:ind w:left="1475" w:hanging="375"/>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5">
      <w:start w:val="1"/>
      <w:numFmt w:val="decimal"/>
      <w:suff w:val="tab"/>
      <w:lvlText w:val="%6."/>
      <w:lvlJc w:val="left"/>
      <w:pPr>
        <w:ind w:left="1695" w:hanging="375"/>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6">
      <w:start w:val="1"/>
      <w:numFmt w:val="decimal"/>
      <w:suff w:val="tab"/>
      <w:lvlText w:val="%7."/>
      <w:lvlJc w:val="left"/>
      <w:pPr>
        <w:ind w:left="1915" w:hanging="375"/>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7">
      <w:start w:val="1"/>
      <w:numFmt w:val="decimal"/>
      <w:suff w:val="tab"/>
      <w:lvlText w:val="%8."/>
      <w:lvlJc w:val="left"/>
      <w:pPr>
        <w:ind w:left="2135" w:hanging="375"/>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8">
      <w:start w:val="1"/>
      <w:numFmt w:val="decimal"/>
      <w:suff w:val="tab"/>
      <w:lvlText w:val="%9."/>
      <w:lvlJc w:val="left"/>
      <w:pPr>
        <w:ind w:left="2355" w:hanging="375"/>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abstractNum>
  <w:abstractNum w:abstractNumId="2">
    <w:multiLevelType w:val="hybridMultilevel"/>
    <w:numStyleLink w:val="大项目符号"/>
  </w:abstractNum>
  <w:abstractNum w:abstractNumId="3">
    <w:multiLevelType w:val="hybridMultilevel"/>
    <w:styleLink w:val="大项目符号"/>
    <w:lvl w:ilvl="0">
      <w:start w:val="1"/>
      <w:numFmt w:val="decimal"/>
      <w:suff w:val="tab"/>
      <w:lvlText w:val="%1."/>
      <w:lvlJc w:val="left"/>
      <w:pPr>
        <w:ind w:left="72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1">
      <w:start w:val="1"/>
      <w:numFmt w:val="decimal"/>
      <w:suff w:val="tab"/>
      <w:lvlText w:val="%2."/>
      <w:lvlJc w:val="left"/>
      <w:pPr>
        <w:ind w:left="122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2">
      <w:start w:val="1"/>
      <w:numFmt w:val="decimal"/>
      <w:suff w:val="tab"/>
      <w:lvlText w:val="%3."/>
      <w:lvlJc w:val="left"/>
      <w:pPr>
        <w:ind w:left="194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3">
      <w:start w:val="1"/>
      <w:numFmt w:val="decimal"/>
      <w:suff w:val="tab"/>
      <w:lvlText w:val="%4."/>
      <w:lvlJc w:val="left"/>
      <w:pPr>
        <w:ind w:left="266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4">
      <w:start w:val="1"/>
      <w:numFmt w:val="decimal"/>
      <w:suff w:val="tab"/>
      <w:lvlText w:val="%5."/>
      <w:lvlJc w:val="left"/>
      <w:pPr>
        <w:ind w:left="338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5">
      <w:start w:val="1"/>
      <w:numFmt w:val="decimal"/>
      <w:suff w:val="tab"/>
      <w:lvlText w:val="%6."/>
      <w:lvlJc w:val="left"/>
      <w:pPr>
        <w:ind w:left="410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6">
      <w:start w:val="1"/>
      <w:numFmt w:val="decimal"/>
      <w:suff w:val="tab"/>
      <w:lvlText w:val="%7."/>
      <w:lvlJc w:val="left"/>
      <w:pPr>
        <w:ind w:left="482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7">
      <w:start w:val="1"/>
      <w:numFmt w:val="decimal"/>
      <w:suff w:val="tab"/>
      <w:lvlText w:val="%8."/>
      <w:lvlJc w:val="left"/>
      <w:pPr>
        <w:ind w:left="554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8">
      <w:start w:val="1"/>
      <w:numFmt w:val="decimal"/>
      <w:suff w:val="tab"/>
      <w:lvlText w:val="%9."/>
      <w:lvlJc w:val="left"/>
      <w:pPr>
        <w:ind w:left="626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abstractNum>
  <w:abstractNum w:abstractNumId="4">
    <w:multiLevelType w:val="hybridMultilevel"/>
    <w:numStyleLink w:val="大项目符号.0"/>
  </w:abstractNum>
  <w:abstractNum w:abstractNumId="5">
    <w:multiLevelType w:val="hybridMultilevel"/>
    <w:styleLink w:val="大项目符号.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2">
      <w:start w:val="1"/>
      <w:numFmt w:val="bullet"/>
      <w:suff w:val="tab"/>
      <w:lvlText w:val="◦"/>
      <w:lvlJc w:val="left"/>
      <w:pPr>
        <w:ind w:left="2035" w:hanging="375"/>
      </w:pPr>
      <w:rPr>
        <w:rFonts w:ascii="Arial Unicode MS" w:cs="Arial Unicode MS" w:hAnsi="Arial Unicode MS" w:eastAsia="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3">
      <w:start w:val="1"/>
      <w:numFmt w:val="bullet"/>
      <w:suff w:val="tab"/>
      <w:lvlText w:val="◦"/>
      <w:lvlJc w:val="left"/>
      <w:pPr>
        <w:ind w:left="2755" w:hanging="375"/>
      </w:pPr>
      <w:rPr>
        <w:rFonts w:ascii="Arial Unicode MS" w:cs="Arial Unicode MS" w:hAnsi="Arial Unicode MS" w:eastAsia="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4">
      <w:start w:val="1"/>
      <w:numFmt w:val="bullet"/>
      <w:suff w:val="tab"/>
      <w:lvlText w:val="◦"/>
      <w:lvlJc w:val="left"/>
      <w:pPr>
        <w:ind w:left="3475" w:hanging="375"/>
      </w:pPr>
      <w:rPr>
        <w:rFonts w:ascii="Arial Unicode MS" w:cs="Arial Unicode MS" w:hAnsi="Arial Unicode MS" w:eastAsia="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5">
      <w:start w:val="1"/>
      <w:numFmt w:val="bullet"/>
      <w:suff w:val="tab"/>
      <w:lvlText w:val="◦"/>
      <w:lvlJc w:val="left"/>
      <w:pPr>
        <w:ind w:left="4195" w:hanging="375"/>
      </w:pPr>
      <w:rPr>
        <w:rFonts w:ascii="Arial Unicode MS" w:cs="Arial Unicode MS" w:hAnsi="Arial Unicode MS" w:eastAsia="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6">
      <w:start w:val="1"/>
      <w:numFmt w:val="bullet"/>
      <w:suff w:val="tab"/>
      <w:lvlText w:val="◦"/>
      <w:lvlJc w:val="left"/>
      <w:pPr>
        <w:ind w:left="4915" w:hanging="375"/>
      </w:pPr>
      <w:rPr>
        <w:rFonts w:ascii="Arial Unicode MS" w:cs="Arial Unicode MS" w:hAnsi="Arial Unicode MS" w:eastAsia="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7">
      <w:start w:val="1"/>
      <w:numFmt w:val="bullet"/>
      <w:suff w:val="tab"/>
      <w:lvlText w:val="◦"/>
      <w:lvlJc w:val="left"/>
      <w:pPr>
        <w:ind w:left="5635" w:hanging="375"/>
      </w:pPr>
      <w:rPr>
        <w:rFonts w:ascii="Arial Unicode MS" w:cs="Arial Unicode MS" w:hAnsi="Arial Unicode MS" w:eastAsia="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8">
      <w:start w:val="1"/>
      <w:numFmt w:val="bullet"/>
      <w:suff w:val="tab"/>
      <w:lvlText w:val="◦"/>
      <w:lvlJc w:val="left"/>
      <w:pPr>
        <w:ind w:left="6355" w:hanging="375"/>
      </w:pPr>
      <w:rPr>
        <w:rFonts w:ascii="Arial Unicode MS" w:cs="Arial Unicode MS" w:hAnsi="Arial Unicode MS" w:eastAsia="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abstractNum>
  <w:abstractNum w:abstractNumId="6">
    <w:multiLevelType w:val="hybridMultilevel"/>
    <w:numStyleLink w:val="项目符号"/>
  </w:abstractNum>
  <w:abstractNum w:abstractNumId="7">
    <w:multiLevelType w:val="hybridMultilevel"/>
    <w:styleLink w:val="项目符号"/>
    <w:lvl w:ilvl="0">
      <w:start w:val="1"/>
      <w:numFmt w:val="bullet"/>
      <w:suff w:val="tab"/>
      <w:lvlText w:val="•"/>
      <w:lvlJc w:val="left"/>
      <w:pPr>
        <w:ind w:left="720" w:hanging="500"/>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1">
      <w:start w:val="1"/>
      <w:numFmt w:val="bullet"/>
      <w:suff w:val="tab"/>
      <w:lvlText w:val="•"/>
      <w:lvlJc w:val="left"/>
      <w:pPr>
        <w:ind w:left="878" w:hanging="438"/>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2">
      <w:start w:val="1"/>
      <w:numFmt w:val="bullet"/>
      <w:suff w:val="tab"/>
      <w:lvlText w:val="•"/>
      <w:lvlJc w:val="left"/>
      <w:pPr>
        <w:ind w:left="1098" w:hanging="438"/>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3">
      <w:start w:val="1"/>
      <w:numFmt w:val="bullet"/>
      <w:suff w:val="tab"/>
      <w:lvlText w:val="•"/>
      <w:lvlJc w:val="left"/>
      <w:pPr>
        <w:ind w:left="1318" w:hanging="438"/>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4">
      <w:start w:val="1"/>
      <w:numFmt w:val="bullet"/>
      <w:suff w:val="tab"/>
      <w:lvlText w:val="•"/>
      <w:lvlJc w:val="left"/>
      <w:pPr>
        <w:ind w:left="1538" w:hanging="438"/>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5">
      <w:start w:val="1"/>
      <w:numFmt w:val="bullet"/>
      <w:suff w:val="tab"/>
      <w:lvlText w:val="•"/>
      <w:lvlJc w:val="left"/>
      <w:pPr>
        <w:ind w:left="1758" w:hanging="438"/>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6">
      <w:start w:val="1"/>
      <w:numFmt w:val="bullet"/>
      <w:suff w:val="tab"/>
      <w:lvlText w:val="•"/>
      <w:lvlJc w:val="left"/>
      <w:pPr>
        <w:ind w:left="1978" w:hanging="438"/>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7">
      <w:start w:val="1"/>
      <w:numFmt w:val="bullet"/>
      <w:suff w:val="tab"/>
      <w:lvlText w:val="•"/>
      <w:lvlJc w:val="left"/>
      <w:pPr>
        <w:ind w:left="2198" w:hanging="438"/>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8">
      <w:start w:val="1"/>
      <w:numFmt w:val="bullet"/>
      <w:suff w:val="tab"/>
      <w:lvlText w:val="•"/>
      <w:lvlJc w:val="left"/>
      <w:pPr>
        <w:ind w:left="2418" w:hanging="438"/>
      </w:pPr>
      <w:rPr>
        <w:rFonts w:ascii="PingFang SC Regular" w:cs="PingFang SC Regular" w:hAnsi="PingFang SC Regular" w:eastAsia="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abstractNum>
  <w:num w:numId="1">
    <w:abstractNumId w:val="1"/>
  </w:num>
  <w:num w:numId="2">
    <w:abstractNumId w:val="0"/>
  </w:num>
  <w:num w:numId="3">
    <w:abstractNumId w:val="0"/>
    <w:lvlOverride w:ilvl="0">
      <w:startOverride w:val="1"/>
    </w:lvlOverride>
  </w:num>
  <w:num w:numId="4">
    <w:abstractNumId w:val="3"/>
  </w:num>
  <w:num w:numId="5">
    <w:abstractNumId w:val="2"/>
  </w:num>
  <w:num w:numId="6">
    <w:abstractNumId w:val="5"/>
  </w:num>
  <w:num w:numId="7">
    <w:abstractNumId w:val="4"/>
  </w:num>
  <w:num w:numId="8">
    <w:abstractNumId w:val="2"/>
    <w:lvlOverride w:ilvl="0">
      <w:startOverride w:val="3"/>
    </w:lvlOverride>
  </w:num>
  <w:num w:numId="9">
    <w:abstractNumId w:val="2"/>
    <w:lvlOverride w:ilvl="0">
      <w:startOverride w:val="1"/>
    </w:lvlOverride>
  </w:num>
  <w:num w:numId="10">
    <w:abstractNumId w:val="2"/>
    <w:lvlOverride w:ilvl="0">
      <w:startOverride w:val="3"/>
    </w:lvlOverride>
  </w:num>
  <w:num w:numId="11">
    <w:abstractNumId w:val="2"/>
    <w:lvlOverride w:ilvl="0">
      <w:startOverride w:val="4"/>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3"/>
    </w:lvlOverride>
  </w:num>
  <w:num w:numId="15">
    <w:abstractNumId w:val="2"/>
    <w:lvlOverride w:ilvl="0">
      <w:startOverride w:val="1"/>
    </w:lvlOverride>
  </w:num>
  <w:num w:numId="16">
    <w:abstractNumId w:val="2"/>
    <w:lvlOverride w:ilvl="0">
      <w:startOverride w:val="2"/>
    </w:lvlOverride>
  </w:num>
  <w:num w:numId="17">
    <w:abstractNumId w:val="2"/>
    <w:lvlOverride w:ilvl="0">
      <w:startOverride w:val="3"/>
    </w:lvlOverride>
  </w:num>
  <w:num w:numId="18">
    <w:abstractNumId w:val="0"/>
    <w:lvlOverride w:ilvl="0">
      <w:startOverride w:val="1"/>
    </w:lvlOverride>
  </w:num>
  <w:num w:numId="19">
    <w:abstractNumId w:val="2"/>
    <w:lvlOverride w:ilvl="0">
      <w:startOverride w:val="1"/>
    </w:lvlOverride>
  </w:num>
  <w:num w:numId="20">
    <w:abstractNumId w:val="2"/>
    <w:lvlOverride w:ilvl="0">
      <w:startOverride w:val="2"/>
    </w:lvlOverride>
  </w:num>
  <w:num w:numId="21">
    <w:abstractNumId w:val="2"/>
    <w:lvlOverride w:ilvl="0">
      <w:startOverride w:val="1"/>
    </w:lvlOverride>
  </w:num>
  <w:num w:numId="22">
    <w:abstractNumId w:val="2"/>
    <w:lvlOverride w:ilvl="0">
      <w:startOverride w:val="2"/>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7"/>
  </w:num>
  <w:num w:numId="27">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PingFang SC Regular"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CN" w:eastAsia="zh-CN"/>
      <w14:textOutline>
        <w14:noFill/>
      </w14:textOutline>
      <w14:textFill>
        <w14:solidFill>
          <w14:srgbClr w14:val="000000"/>
        </w14:solidFill>
      </w14:textFill>
    </w:rPr>
  </w:style>
  <w:style w:type="numbering" w:styleId="编号">
    <w:name w:val="编号"/>
    <w:pPr>
      <w:numPr>
        <w:numId w:val="1"/>
      </w:numPr>
    </w:pPr>
  </w:style>
  <w:style w:type="numbering" w:styleId="大项目符号">
    <w:name w:val="大项目符号"/>
    <w:pPr>
      <w:numPr>
        <w:numId w:val="4"/>
      </w:numPr>
    </w:pPr>
  </w:style>
  <w:style w:type="numbering" w:styleId="大项目符号.0">
    <w:name w:val="大项目符号.0"/>
    <w:pPr>
      <w:numPr>
        <w:numId w:val="6"/>
      </w:numPr>
    </w:pPr>
  </w:style>
  <w:style w:type="paragraph" w:styleId="表格样式 2">
    <w:name w:val="表格样式 2"/>
    <w:next w:val="表格样式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项目符号">
    <w:name w:val="项目符号"/>
    <w:pPr>
      <w:numPr>
        <w:numId w:val="2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