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FDD09">
      <w:pPr>
        <w:jc w:val="center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重症医疗中心协议（草案）</w:t>
      </w:r>
    </w:p>
    <w:p w14:paraId="21E52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  <w:t>序言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54ED6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A国政府、B国政府与C国政府（以下合称“缔约三方”），</w:t>
      </w:r>
    </w:p>
    <w:p w14:paraId="1AB6D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重申其对增进三国人民健康与福祉的根本承诺，认识到为重大疾病与重症患者提供集中、高效、尖端的医疗与疗养服务是共同面临的紧迫任务，期望通过资源互补与精诚合作，在A国领土内建立一所服务于三国的现代化联合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重症医疗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中心（下称“中心”），以弥补区域医疗资源之不均衡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；</w:t>
      </w:r>
    </w:p>
    <w:p w14:paraId="75B00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基于A国提供中心所需之土地与空间，B国提供核心医疗设备，C国提供药品这一合作模式，确信此合作将极大提升本区域的公共卫生应对能力与医疗水平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；</w:t>
      </w:r>
    </w:p>
    <w:p w14:paraId="3F1BC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兹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达成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如下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公约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：</w:t>
      </w:r>
    </w:p>
    <w:p w14:paraId="2F857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  <w:t>第一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章</w:t>
      </w:r>
      <w:r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  <w:t xml:space="preserve"> 总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纲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18C47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 xml:space="preserve">第一条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核心原则</w:t>
      </w:r>
    </w:p>
    <w:p w14:paraId="4E22B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1、主权尊重原则：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各国对其提供的资源享有完整主权与利用主导权</w:t>
      </w:r>
    </w:p>
    <w:p w14:paraId="20BAF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2、互惠共享原则：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通过明确的资源交换实现重症医疗保障</w:t>
      </w:r>
    </w:p>
    <w:p w14:paraId="5A29E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1、主权尊重原则：</w:t>
      </w:r>
    </w:p>
    <w:p w14:paraId="0053F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第二条 中心的建立与法律地位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5D554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缔约三方同意在A国领土内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（具体位置待定，应当尽量靠近B、C领土）</w:t>
      </w:r>
      <w:r>
        <w:rPr>
          <w:rFonts w:hint="default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共同建立中心。</w:t>
      </w:r>
    </w:p>
    <w:p w14:paraId="356DC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中心为一国际性法人实体，享有履行其职能所必要的法律能力，包括订立合同、取得与处置动产和不动产、以及参与法律程序。</w:t>
      </w:r>
    </w:p>
    <w:p w14:paraId="1A6DA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第三条 宗旨与职能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0B184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中心的宗旨是为缔约三方的国民提供世界一流的重症医疗、康复与疗养服务。其主要职能包括：</w:t>
      </w:r>
    </w:p>
    <w:p w14:paraId="2A137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提供综合性的诊断、治疗、手术、康复和舒缓疗护服务；</w:t>
      </w:r>
    </w:p>
    <w:p w14:paraId="6818F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成为三国在先进医疗技术研究与专业人才培养方面的合作平台；</w:t>
      </w:r>
    </w:p>
    <w:p w14:paraId="2EFE5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在发生区域性公共卫生危机时，依据三方协商，承担应急医疗救援任务。</w:t>
      </w:r>
    </w:p>
    <w:p w14:paraId="1F0A7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  <w:t>第二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章</w:t>
      </w:r>
      <w:r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  <w:t xml:space="preserve"> 各方的贡献与资产权属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7BA42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第四条 各方的核心贡献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5D997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A国的贡献：A国负责无偿提供中心空间，并负责该空间主体基础设施（包括但不限于建筑、水、电、通讯、道路）的建设、日常维护与安保。</w:t>
      </w:r>
    </w:p>
    <w:p w14:paraId="77B09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B国的贡献：B国负责无偿提供中心运营所必需的全部核心医疗设备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并负责这些设备的安装、调试、定期维护、更新及技术支持。</w:t>
      </w:r>
    </w:p>
    <w:p w14:paraId="2042F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C国的贡献：C国负责无偿提供中心临床所需的全部药品及关键医疗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材料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，并确保其质量、安全与持续供应。</w:t>
      </w:r>
    </w:p>
    <w:p w14:paraId="1BBE7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第五条 资产所有权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55EAB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中心空间及其附着的主体基础设施的所有权归属于A国。</w:t>
      </w:r>
    </w:p>
    <w:p w14:paraId="4F1A9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B国设备的所有权归属于B国。</w:t>
      </w:r>
    </w:p>
    <w:p w14:paraId="545C4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C国药品的所有权归属于C国。</w:t>
      </w:r>
    </w:p>
    <w:p w14:paraId="019FB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任何一方在中心终止运营时，均有权取回其拥有所有权的资产。若资产因附着等原因难以分离，相关方应就补偿事宜进行友好协商。</w:t>
      </w:r>
    </w:p>
    <w:p w14:paraId="5B2A5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  <w:t>第三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章</w:t>
      </w:r>
      <w:r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  <w:t xml:space="preserve"> 管理与运营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​</w:t>
      </w:r>
    </w:p>
    <w:p w14:paraId="6EF92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第六条 治理结构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0CED3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中心理事会：设立中心理事会，为最高权力与决策机构。理事会由六名理事组成，每国各指派两名。决策实行协商一致原则。</w:t>
      </w:r>
    </w:p>
    <w:p w14:paraId="02F71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理事会职责包括：</w:t>
      </w:r>
    </w:p>
    <w:p w14:paraId="1F5E1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审批中心发展战略；</w:t>
      </w:r>
    </w:p>
    <w:p w14:paraId="70442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任命和解聘中心院长；</w:t>
      </w:r>
    </w:p>
    <w:p w14:paraId="79A1A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制定基本政策与规章；</w:t>
      </w:r>
    </w:p>
    <w:p w14:paraId="749EA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4、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监督中心整体运营。</w:t>
      </w:r>
    </w:p>
    <w:p w14:paraId="618F7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中心院长：理事会任命一名院长，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原则上由A国公民担任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负责中心的日常行政与医疗管理。院长对理事会负责，任期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每届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五年，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最多连任两届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。</w:t>
      </w:r>
    </w:p>
    <w:p w14:paraId="51BAE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第七条 人员聘用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4A461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中心的工作人员，包括行政人员、医护人员和支持人员，应在平等、公开竞争的基础上，优先从缔约三国国民中聘任。人员的国籍分布应力求平衡。</w:t>
      </w:r>
    </w:p>
    <w:p w14:paraId="7F357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第八条 患者收治</w:t>
      </w:r>
    </w:p>
    <w:p w14:paraId="273C7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中心优先收治缔约三方的国民。收治标准应基于纯粹的医疗需求，建立公平、透明的转诊与评估机制。</w:t>
      </w:r>
    </w:p>
    <w:p w14:paraId="20651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2、中心与缔约三方的基础医院建立密切联络系统，由各国基础医院评估患者情况并上报中心，由中心核准后收治患者，待病情脱离重症后转入各国基础医院。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过程中涉及的患者运输的能耗、人员由各国自行承担。</w:t>
      </w:r>
    </w:p>
    <w:p w14:paraId="46CDD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3、缔约三方国家的患者也可直接自行前往中心诊治，由中心评估患者情况决定进一步医疗方案。</w:t>
      </w:r>
    </w:p>
    <w:p w14:paraId="128B4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第九条 设施建设、维护与安保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253B8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设施建设：中心的建筑设计需由理事会批准。A国应主导或监督中心的建筑施工，确保其符合三国共同认可的医疗建筑标准和安全规范。B国和C国有权派专家参与涉及B国设备安装和C国药品储存的特殊功能区（如手术室、影像科、药房、仓库）的设计与建设监督。</w:t>
      </w:r>
    </w:p>
    <w:p w14:paraId="4CB76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A国基础设施的维护：A国负责A国基础设施的日常维护、定期检修和更新，并承担由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所需能耗、物资和人力资源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。A国应确保其基础设施持续、稳定地运行，以满足中心的运营需求。</w:t>
      </w:r>
    </w:p>
    <w:p w14:paraId="3414A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B国设备与C国药品相关设施的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运输与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维护：为确保B国设备和C国药品的妥善运行与存储，由B国设备或C国药品所特有的、附加于A国基础设施之上的专用设施（如特定电压稳压系统、特殊气体管道、恒温恒湿系统等），</w:t>
      </w:r>
      <w:r>
        <w:rPr>
          <w:rFonts w:hint="default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其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运输、</w:t>
      </w:r>
      <w:r>
        <w:rPr>
          <w:rFonts w:hint="default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维护责任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与所需能耗、物资、人力资源</w:t>
      </w:r>
      <w:r>
        <w:rPr>
          <w:rFonts w:hint="default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  <w:t>由设备或药品的提供方（B国或C国）承担。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A国应为此类维护工作提供必要的协助和准入便利。</w:t>
      </w:r>
    </w:p>
    <w:p w14:paraId="09F14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4、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安保：A国负责中心空间的外部周边安保及公共区域的内部安保。B国和C国有权在存放其所属设备和药品的特定区域（如设备间、药库）内部署本国认可的安全措施（如专用门禁、监控），A国应予以尊重和配合。</w:t>
      </w:r>
    </w:p>
    <w:p w14:paraId="4339C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  <w:t>第四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章</w:t>
      </w:r>
      <w:r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  <w:t xml:space="preserve"> 法律地位、特权与豁免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36105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十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条 中心空间的法律制度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7AC3A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中心空间不可侵犯。A国的行政、警察或司法人员非经中心院长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或理事会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同意，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原则上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不得进入中心空间执行公务。</w:t>
      </w:r>
    </w:p>
    <w:p w14:paraId="7E4D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A国法律在原则上适用于中心空间，但当本协定的规定与A国法律发生冲突时，以本协定为准。</w:t>
      </w:r>
    </w:p>
    <w:p w14:paraId="118FC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第十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一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条 B国与C国资产及人员的特权与便利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4843B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A国应承认B国设备和C国药品的所有权，并承诺不予征收、征用或设置任何形式的处置障碍。</w:t>
      </w:r>
    </w:p>
    <w:p w14:paraId="62BBA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为B国设备和C国药品的运输、安装、维护所必需的物资和工具，A国应提供快速的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入关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便利。</w:t>
      </w:r>
    </w:p>
    <w:p w14:paraId="77455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A国应为B国和C国派遣至中心的专家、技术人员、医护人员及其家属的出入境、居留和工作许可提供最大程度的简化和便利。此类人员执行公务的行为享有A国的司法管辖豁免。</w:t>
      </w:r>
    </w:p>
    <w:p w14:paraId="678BA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color w:val="auto"/>
          <w:sz w:val="32"/>
          <w:szCs w:val="32"/>
          <w:lang w:val="en-US" w:eastAsia="zh-CN"/>
        </w:rPr>
        <w:t>第六</w:t>
      </w:r>
      <w:r>
        <w:rPr>
          <w:rFonts w:hint="eastAsia" w:ascii="仿宋" w:hAnsi="仿宋" w:eastAsia="仿宋" w:cs="仿宋"/>
          <w:b/>
          <w:bCs/>
          <w:color w:val="auto"/>
          <w:sz w:val="32"/>
          <w:szCs w:val="32"/>
          <w:lang w:val="en-US" w:eastAsia="zh-CN"/>
        </w:rPr>
        <w:t>章</w:t>
      </w:r>
      <w:r>
        <w:rPr>
          <w:rFonts w:hint="default" w:ascii="仿宋" w:hAnsi="仿宋" w:eastAsia="仿宋" w:cs="仿宋"/>
          <w:b/>
          <w:bCs/>
          <w:color w:val="auto"/>
          <w:sz w:val="32"/>
          <w:szCs w:val="32"/>
          <w:lang w:val="en-US" w:eastAsia="zh-CN"/>
        </w:rPr>
        <w:t xml:space="preserve"> 争端解决与最后条款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40513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第十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二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条 争端解决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440B2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缔约三方因本协定的解释或适用产生的任何争端，应通过谈判、斡旋或调解解决。若未解决，应提交特设仲裁庭，仲裁裁决为终局裁决，对三方均有约束力。</w:t>
      </w:r>
    </w:p>
    <w:p w14:paraId="17DB0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第十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三</w:t>
      </w:r>
      <w: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  <w:t>条 最后条款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与修订机制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​</w:t>
      </w:r>
    </w:p>
    <w:p w14:paraId="1C1F0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本协定自缔约三方相互书面通知完成各自国内批准程序之日起生效。</w:t>
      </w:r>
      <w:bookmarkStart w:id="0" w:name="_GoBack"/>
      <w:bookmarkEnd w:id="0"/>
    </w:p>
    <w:p w14:paraId="08A04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本协定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每五年修订一次，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修正案需经三方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一致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同意并以书面形式作出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，并保护各国既得利益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。</w:t>
      </w:r>
    </w:p>
    <w:p w14:paraId="4B8FE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任何一方可提前十二个月书面通知其他两方退出本协定。退出不影响退出前所产生的合同义务。</w:t>
      </w:r>
    </w:p>
    <w:p w14:paraId="4444B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 w14:paraId="1CCB6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附件</w:t>
      </w:r>
    </w:p>
    <w:p w14:paraId="438B2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（待定）</w:t>
      </w:r>
    </w:p>
    <w:p w14:paraId="4F6F8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签署</w:t>
      </w:r>
    </w:p>
    <w:p w14:paraId="43889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（待定）</w:t>
      </w:r>
    </w:p>
    <w:p w14:paraId="234EA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D465C"/>
    <w:rsid w:val="33916370"/>
    <w:rsid w:val="499565FE"/>
    <w:rsid w:val="508D796D"/>
    <w:rsid w:val="512E6EA9"/>
    <w:rsid w:val="5E662270"/>
    <w:rsid w:val="756B5541"/>
    <w:rsid w:val="77D32889"/>
    <w:rsid w:val="7E82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2025-11-29T12:31:49Z</dcterms:created>
  <dc:creator>34674</dc:creator>
  <cp:lastModifiedBy>钱霆煊</cp:lastModifiedBy>
  <dcterms:modified xsi:type="dcterms:W3CDTF">2025-11-29T13:06:59Z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eyJoZGlkIjoiMWJmYmVhMGQ2YWQwOTc0ZDFkYmVkZTE0NzFkNThlYzIiLCJ1c2VySWQiOiIxNzMzNTUyODkzIn0=</vt:lpwstr>
  </property>
  <property fmtid="{D5CDD505-2E9C-101B-9397-08002B2CF9AE}" pid="4" name="ICV">
    <vt:lpwstr>D32131EA8A714E45B5CE89535DCEFF48_12</vt:lpwstr>
  </property>
</Properties>
</file>