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0"/>
        <w:rPr>
          <w:rFonts w:ascii="Times New Roman" w:hAnsi="Times New Roman"/>
        </w:rPr>
      </w:pPr>
      <w:r>
        <w:rPr>
          <w:rFonts w:ascii="Times New Roman" w:hAnsi="Times New Roman"/>
        </w:rPr>
      </w:r>
    </w:p>
    <w:p>
      <w:pPr>
        <w:pStyle w:val="Normal"/>
        <w:spacing w:before="0" w:after="120"/>
        <w:jc w:val="center"/>
        <w:rPr>
          <w:rFonts w:ascii="Times New Roman" w:hAnsi="Times New Roman"/>
        </w:rPr>
      </w:pPr>
      <w:r>
        <w:rPr>
          <w:rFonts w:eastAsia="Calibri" w:cs="Calibri" w:ascii="Times New Roman" w:hAnsi="Times New Roman"/>
          <w:b/>
          <w:bCs/>
          <w:color w:val="2E75B6"/>
          <w:sz w:val="28"/>
          <w:szCs w:val="28"/>
        </w:rPr>
        <w:t>WEEK 2 TASK</w:t>
      </w:r>
    </w:p>
    <w:p>
      <w:pPr>
        <w:pStyle w:val="Normal"/>
        <w:spacing w:before="0" w:after="60"/>
        <w:jc w:val="center"/>
        <w:rPr>
          <w:rFonts w:ascii="Times New Roman" w:hAnsi="Times New Roman"/>
        </w:rPr>
      </w:pPr>
      <w:r>
        <w:rPr>
          <w:rFonts w:eastAsia="Calibri" w:cs="Calibri" w:ascii="Times New Roman" w:hAnsi="Times New Roman"/>
          <w:b/>
          <w:bCs/>
          <w:color w:val="1F3864"/>
          <w:sz w:val="56"/>
          <w:szCs w:val="56"/>
        </w:rPr>
        <w:t>SYSTEM ARCHITECTURE</w:t>
      </w:r>
    </w:p>
    <w:p>
      <w:pPr>
        <w:pStyle w:val="Normal"/>
        <w:pBdr>
          <w:bottom w:val="single" w:sz="12" w:space="12" w:color="2E75B6"/>
        </w:pBdr>
        <w:spacing w:before="0" w:after="240"/>
        <w:jc w:val="center"/>
        <w:rPr>
          <w:rFonts w:ascii="Times New Roman" w:hAnsi="Times New Roman"/>
        </w:rPr>
      </w:pPr>
      <w:r>
        <w:rPr>
          <w:rFonts w:eastAsia="Calibri" w:cs="Calibri" w:ascii="Times New Roman" w:hAnsi="Times New Roman"/>
          <w:b/>
          <w:bCs/>
          <w:color w:val="1F3864"/>
          <w:sz w:val="56"/>
          <w:szCs w:val="56"/>
        </w:rPr>
        <w:t>&amp; DESIGN</w:t>
      </w:r>
    </w:p>
    <w:p>
      <w:pPr>
        <w:pStyle w:val="Normal"/>
        <w:spacing w:before="240" w:after="60"/>
        <w:jc w:val="center"/>
        <w:rPr>
          <w:rFonts w:ascii="Times New Roman" w:hAnsi="Times New Roman"/>
        </w:rPr>
      </w:pPr>
      <w:r>
        <w:rPr>
          <w:rFonts w:eastAsia="Calibri" w:cs="Calibri" w:ascii="Times New Roman" w:hAnsi="Times New Roman"/>
          <w:b/>
          <w:bCs/>
          <w:color w:val="404040"/>
          <w:sz w:val="32"/>
          <w:szCs w:val="32"/>
        </w:rPr>
        <w:t>Proposed Unified e-Governance Service Portal</w:t>
      </w:r>
    </w:p>
    <w:p>
      <w:pPr>
        <w:pStyle w:val="Normal"/>
        <w:spacing w:before="0" w:after="700"/>
        <w:jc w:val="center"/>
        <w:rPr>
          <w:rFonts w:ascii="Times New Roman" w:hAnsi="Times New Roman"/>
        </w:rPr>
      </w:pPr>
      <w:r>
        <w:rPr>
          <w:rFonts w:eastAsia="Calibri" w:cs="Calibri" w:ascii="Times New Roman" w:hAnsi="Times New Roman"/>
          <w:i/>
          <w:iCs/>
          <w:color w:val="595959"/>
          <w:sz w:val="24"/>
          <w:szCs w:val="24"/>
        </w:rPr>
        <w:t>Scalable, secure and citizen-friendly blueprint for digital service delivery</w:t>
      </w:r>
    </w:p>
    <w:tbl>
      <w:tblPr>
        <w:tblW w:w="7600" w:type="dxa"/>
        <w:jc w:val="center"/>
        <w:tblInd w:w="0" w:type="dxa"/>
        <w:tblLayout w:type="fixed"/>
        <w:tblCellMar>
          <w:top w:w="80" w:type="dxa"/>
          <w:start w:w="120" w:type="dxa"/>
          <w:bottom w:w="80" w:type="dxa"/>
          <w:end w:w="120" w:type="dxa"/>
        </w:tblCellMar>
      </w:tblPr>
      <w:tblGrid>
        <w:gridCol w:w="2400"/>
        <w:gridCol w:w="5200"/>
      </w:tblGrid>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rFonts w:ascii="Times New Roman" w:hAnsi="Times New Roman"/>
              </w:rPr>
            </w:pPr>
            <w:r>
              <w:rPr>
                <w:rFonts w:eastAsia="Calibri" w:cs="Calibri" w:ascii="Times New Roman" w:hAnsi="Times New Roman"/>
                <w:b/>
                <w:bCs/>
                <w:color w:val="1F3864"/>
                <w:sz w:val="21"/>
                <w:szCs w:val="21"/>
              </w:rPr>
              <w:t>Internship</w:t>
            </w:r>
          </w:p>
        </w:tc>
        <w:tc>
          <w:tcPr>
            <w:tcW w:w="5200"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rPr>
            </w:pPr>
            <w:r>
              <w:rPr>
                <w:rFonts w:eastAsia="Calibri" w:cs="Calibri" w:ascii="Times New Roman" w:hAnsi="Times New Roman"/>
                <w:sz w:val="21"/>
                <w:szCs w:val="21"/>
              </w:rPr>
              <w:t>Junior Software Developer - E-Governance &amp; Digital Services</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rFonts w:ascii="Times New Roman" w:hAnsi="Times New Roman"/>
              </w:rPr>
            </w:pPr>
            <w:r>
              <w:rPr>
                <w:rFonts w:eastAsia="Calibri" w:cs="Calibri" w:ascii="Times New Roman" w:hAnsi="Times New Roman"/>
                <w:b/>
                <w:bCs/>
                <w:color w:val="1F3864"/>
                <w:sz w:val="21"/>
                <w:szCs w:val="21"/>
              </w:rPr>
              <w:t>Submitted by</w:t>
            </w:r>
          </w:p>
        </w:tc>
        <w:tc>
          <w:tcPr>
            <w:tcW w:w="5200"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rPr>
            </w:pPr>
            <w:r>
              <w:rPr>
                <w:rFonts w:eastAsia="Calibri" w:cs="Calibri" w:ascii="Times New Roman" w:hAnsi="Times New Roman"/>
                <w:sz w:val="21"/>
                <w:szCs w:val="21"/>
              </w:rPr>
              <w:t>Anshika Sharma</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rFonts w:ascii="Times New Roman" w:hAnsi="Times New Roman"/>
              </w:rPr>
            </w:pPr>
            <w:r>
              <w:rPr>
                <w:rFonts w:eastAsia="Calibri" w:cs="Calibri" w:ascii="Times New Roman" w:hAnsi="Times New Roman"/>
                <w:b/>
                <w:bCs/>
                <w:color w:val="1F3864"/>
                <w:sz w:val="21"/>
                <w:szCs w:val="21"/>
              </w:rPr>
              <w:t>Course / Institution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rPr>
            </w:pPr>
            <w:r>
              <w:rPr>
                <w:rFonts w:eastAsia="Calibri" w:cs="Calibri" w:ascii="Times New Roman" w:hAnsi="Times New Roman"/>
                <w:sz w:val="21"/>
                <w:szCs w:val="21"/>
              </w:rPr>
              <w:t>BCA / Institute of Technology and Management, GIDA</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rFonts w:ascii="Times New Roman" w:hAnsi="Times New Roman"/>
              </w:rPr>
            </w:pPr>
            <w:r>
              <w:rPr>
                <w:rFonts w:eastAsia="Calibri" w:cs="Calibri" w:ascii="Times New Roman" w:hAnsi="Times New Roman"/>
                <w:b/>
                <w:bCs/>
                <w:color w:val="1F3864"/>
                <w:sz w:val="21"/>
                <w:szCs w:val="21"/>
              </w:rPr>
              <w:t>Internship Organization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rPr>
            </w:pPr>
            <w:r>
              <w:rPr>
                <w:rFonts w:eastAsia="Calibri" w:cs="Calibri" w:ascii="Times New Roman" w:hAnsi="Times New Roman"/>
                <w:sz w:val="21"/>
                <w:szCs w:val="21"/>
              </w:rPr>
              <w:t>Yuva Intern</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rFonts w:ascii="Times New Roman" w:hAnsi="Times New Roman"/>
              </w:rPr>
            </w:pPr>
            <w:r>
              <w:rPr>
                <w:rFonts w:eastAsia="Calibri" w:cs="Calibri" w:ascii="Times New Roman" w:hAnsi="Times New Roman"/>
                <w:b/>
                <w:bCs/>
                <w:color w:val="1F3864"/>
                <w:sz w:val="21"/>
                <w:szCs w:val="21"/>
              </w:rPr>
              <w:t>Builds on</w:t>
            </w:r>
          </w:p>
        </w:tc>
        <w:tc>
          <w:tcPr>
            <w:tcW w:w="5200"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rPr>
            </w:pPr>
            <w:r>
              <w:rPr>
                <w:rFonts w:eastAsia="Calibri" w:cs="Calibri" w:ascii="Times New Roman" w:hAnsi="Times New Roman"/>
                <w:sz w:val="21"/>
                <w:szCs w:val="21"/>
              </w:rPr>
              <w:t>Week 1 - Requirement Analysis and Planning (FR-01 to FR-20, NFR-01 to NFR-15)</w:t>
            </w:r>
          </w:p>
        </w:tc>
      </w:tr>
      <w:tr>
        <w:trPr/>
        <w:tc>
          <w:tcPr>
            <w:tcW w:w="2400" w:type="dxa"/>
            <w:tcBorders>
              <w:top w:val="single" w:sz="4" w:space="0" w:color="BFBFBF"/>
              <w:start w:val="single" w:sz="4" w:space="0" w:color="BFBFBF"/>
              <w:bottom w:val="single" w:sz="4" w:space="0" w:color="BFBFBF"/>
              <w:end w:val="single" w:sz="4" w:space="0" w:color="BFBFBF"/>
            </w:tcBorders>
            <w:shd w:color="auto" w:fill="DEEAF6" w:val="clear"/>
          </w:tcPr>
          <w:p>
            <w:pPr>
              <w:pStyle w:val="Normal"/>
              <w:rPr>
                <w:rFonts w:ascii="Times New Roman" w:hAnsi="Times New Roman"/>
              </w:rPr>
            </w:pPr>
            <w:r>
              <w:rPr>
                <w:rFonts w:eastAsia="Calibri" w:cs="Calibri" w:ascii="Times New Roman" w:hAnsi="Times New Roman"/>
                <w:b/>
                <w:bCs/>
                <w:color w:val="1F3864"/>
                <w:sz w:val="21"/>
                <w:szCs w:val="21"/>
              </w:rPr>
              <w:t>Submission Date</w:t>
            </w:r>
          </w:p>
        </w:tc>
        <w:tc>
          <w:tcPr>
            <w:tcW w:w="5200"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rPr>
            </w:pPr>
            <w:r>
              <w:rPr>
                <w:rFonts w:eastAsia="Calibri" w:cs="Calibri" w:ascii="Times New Roman" w:hAnsi="Times New Roman"/>
                <w:sz w:val="21"/>
                <w:szCs w:val="21"/>
              </w:rPr>
              <w:t>2</w:t>
            </w:r>
            <w:r>
              <w:rPr>
                <w:rFonts w:eastAsia="Calibri" w:cs="Calibri" w:ascii="Times New Roman" w:hAnsi="Times New Roman"/>
                <w:sz w:val="21"/>
                <w:szCs w:val="21"/>
              </w:rPr>
              <w:t>8</w:t>
            </w:r>
            <w:r>
              <w:rPr>
                <w:rFonts w:eastAsia="Calibri" w:cs="Calibri" w:ascii="Times New Roman" w:hAnsi="Times New Roman"/>
                <w:sz w:val="21"/>
                <w:szCs w:val="21"/>
              </w:rPr>
              <w:t>-10-2026</w:t>
            </w:r>
          </w:p>
        </w:tc>
      </w:tr>
    </w:tbl>
    <w:p>
      <w:pPr>
        <w:pStyle w:val="Normal"/>
        <w:rPr>
          <w:rFonts w:ascii="Times New Roman" w:hAnsi="Times New Roman"/>
        </w:rPr>
      </w:pPr>
      <w:r>
        <w:rPr>
          <w:rFonts w:ascii="Times New Roman" w:hAnsi="Times New Roman"/>
        </w:rPr>
      </w:r>
      <w:r>
        <w:br w:type="page"/>
      </w:r>
    </w:p>
    <w:p>
      <w:pPr>
        <w:pStyle w:val="Normal"/>
        <w:spacing w:before="0" w:after="160"/>
        <w:rPr>
          <w:rFonts w:ascii="Times New Roman" w:hAnsi="Times New Roman"/>
        </w:rPr>
      </w:pPr>
      <w:r>
        <w:rPr>
          <w:rFonts w:eastAsia="Calibri" w:cs="Calibri" w:ascii="Times New Roman" w:hAnsi="Times New Roman"/>
          <w:b/>
          <w:bCs/>
          <w:color w:val="1F3864"/>
          <w:sz w:val="36"/>
          <w:szCs w:val="36"/>
        </w:rPr>
        <w:t>Contents</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1. Executive Summary</w:t>
        <w:tab/>
        <w:t>4</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1.1 How this document meets the Week 2 brief</w:t>
        <w:tab/>
        <w:t>4</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2. Contextual Analysis</w:t>
        <w:tab/>
        <w:t>5</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2.1 Envisioned e-Governance Services and Their Significance</w:t>
        <w:tab/>
        <w:t>5</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2.2 User Groups</w:t>
        <w:tab/>
        <w:t>5</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2.3 Design Drivers Taken from Week 1</w:t>
        <w:tab/>
        <w:t>5</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2.4 Architecture Principles</w:t>
        <w:tab/>
        <w:t>6</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3. Architecture Overview</w:t>
        <w:tab/>
        <w:t>6</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3.1 Architectural Style - Decision Record</w:t>
        <w:tab/>
        <w:t>6</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3.2 Logical Architecture</w:t>
        <w:tab/>
        <w:t>7</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3.3 Layer Responsibilities</w:t>
        <w:tab/>
        <w:t>8</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4. Architectural Breakdown</w:t>
        <w:tab/>
        <w:t>8</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4.1 Front-End (Presentation Layer)</w:t>
        <w:tab/>
        <w:t>8</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4.2 API Gateway</w:t>
        <w:tab/>
        <w:t>8</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4.3 Core Application Services</w:t>
        <w:tab/>
        <w:t>8</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4.4 Middleware and Integration</w:t>
        <w:tab/>
        <w:t>9</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4.5 Data Layer</w:t>
        <w:tab/>
        <w:t>9</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4.6 Infrastructure</w:t>
        <w:tab/>
        <w:t>10</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5. Component Interactions</w:t>
        <w:tab/>
        <w:t>10</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5.1 Communication Patterns</w:t>
        <w:tab/>
        <w:t>10</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5.2 Worked Interaction: Submitting an Application</w:t>
        <w:tab/>
        <w:t>11</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5.3 Application Lifecycle and Business Rules</w:t>
        <w:tab/>
        <w:t>11</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5.4 Failure Handling</w:t>
        <w:tab/>
        <w:t>12</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6. Data Architecture and Integrity</w:t>
        <w:tab/>
        <w:t>12</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6.1 Logical Data Model</w:t>
        <w:tab/>
        <w:t>12</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6.2 Data Classification and Handling</w:t>
        <w:tab/>
        <w:t>13</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6.3 Integrity Mechanisms</w:t>
        <w:tab/>
        <w:t>13</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6.4 Privacy and Retention</w:t>
        <w:tab/>
        <w:t>13</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7. Technology Choices and Justification</w:t>
        <w:tab/>
        <w:t>14</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7.1 Weighted Decision Matrix: Back-End Framework</w:t>
        <w:tab/>
        <w:t>15</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8. Security Architecture</w:t>
        <w:tab/>
        <w:t>15</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8.1 Defence in Depth: Network Zones</w:t>
        <w:tab/>
        <w:t>15</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8.2 Authentication and Session Management</w:t>
        <w:tab/>
        <w:t>16</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8.3 Authorization: Roles and Permissions</w:t>
        <w:tab/>
        <w:t>16</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8.4 Encryption and Cryptography</w:t>
        <w:tab/>
        <w:t>16</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8.5 Application and API Security</w:t>
        <w:tab/>
        <w:t>17</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8.6 Audit, Logging and Monitoring</w:t>
        <w:tab/>
        <w:t>17</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8.7 Threat Model Summary (STRIDE)</w:t>
        <w:tab/>
        <w:t>18</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8.8 OWASP Top 10 (2021) Coverage</w:t>
        <w:tab/>
        <w:t>18</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8.9 Incident Response and Compliance Alignment</w:t>
        <w:tab/>
        <w:t>18</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9. Scalability, Availability and Performance</w:t>
        <w:tab/>
        <w:t>19</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9.1 Scaling Techniques</w:t>
        <w:tab/>
        <w:t>19</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9.2 Capacity Estimate (Illustrative Planning Assumptions)</w:t>
        <w:tab/>
        <w:t>19</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9.3 Scaling Roadmap</w:t>
        <w:tab/>
        <w:t>20</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9.4 High Availability and Disaster Recovery</w:t>
        <w:tab/>
        <w:t>20</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9.5 Performance and Observability</w:t>
        <w:tab/>
        <w:t>20</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10. Deployment and DevOps</w:t>
        <w:tab/>
        <w:t>21</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11. Design Justification: Requirement Traceability</w:t>
        <w:tab/>
        <w:t>21</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11.1 Functional Requirements to Architecture</w:t>
        <w:tab/>
        <w:t>21</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11.2 Non-Functional Requirements to Architecture</w:t>
        <w:tab/>
        <w:t>22</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12. Risks, Trade-offs and Assumptions</w:t>
        <w:tab/>
        <w:t>23</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12.1 Architectural Risks and Mitigations</w:t>
        <w:tab/>
        <w:t>23</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12.2 Key Trade-offs</w:t>
        <w:tab/>
        <w:t>23</w:t>
      </w:r>
    </w:p>
    <w:p>
      <w:pPr>
        <w:pStyle w:val="Normal"/>
        <w:tabs>
          <w:tab w:val="clear" w:pos="720"/>
          <w:tab w:val="right" w:pos="9026" w:leader="dot"/>
        </w:tabs>
        <w:spacing w:before="0" w:after="20"/>
        <w:ind w:start="360"/>
        <w:rPr>
          <w:rFonts w:ascii="Times New Roman" w:hAnsi="Times New Roman"/>
        </w:rPr>
      </w:pPr>
      <w:r>
        <w:rPr>
          <w:rFonts w:eastAsia="Calibri" w:cs="Calibri" w:ascii="Times New Roman" w:hAnsi="Times New Roman"/>
          <w:b w:val="false"/>
          <w:bCs w:val="false"/>
          <w:sz w:val="20"/>
          <w:szCs w:val="20"/>
        </w:rPr>
        <w:t>12.3 Assumptions and Items to Confirm with the Department</w:t>
        <w:tab/>
        <w:t>23</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13. Conclusion and Next Steps</w:t>
        <w:tab/>
        <w:t>24</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Appendix A: Architecture Decision Log</w:t>
        <w:tab/>
        <w:t>25</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Appendix B: Glossary</w:t>
        <w:tab/>
        <w:t>25</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Appendix C: References</w:t>
        <w:tab/>
        <w:t>26</w:t>
      </w:r>
    </w:p>
    <w:p>
      <w:pPr>
        <w:pStyle w:val="Normal"/>
        <w:tabs>
          <w:tab w:val="clear" w:pos="720"/>
          <w:tab w:val="right" w:pos="9026" w:leader="dot"/>
        </w:tabs>
        <w:spacing w:before="90" w:after="50"/>
        <w:ind w:start="0"/>
        <w:rPr>
          <w:rFonts w:ascii="Times New Roman" w:hAnsi="Times New Roman"/>
        </w:rPr>
      </w:pPr>
      <w:r>
        <w:rPr>
          <w:rFonts w:eastAsia="Calibri" w:cs="Calibri" w:ascii="Times New Roman" w:hAnsi="Times New Roman"/>
          <w:b/>
          <w:bCs/>
          <w:sz w:val="22"/>
          <w:szCs w:val="22"/>
        </w:rPr>
        <w:t>Document Review Checklist</w:t>
        <w:tab/>
        <w:t>26</w:t>
      </w:r>
    </w:p>
    <w:p>
      <w:pPr>
        <w:pStyle w:val="Normal"/>
        <w:rPr>
          <w:rFonts w:ascii="Times New Roman" w:hAnsi="Times New Roman"/>
        </w:rPr>
      </w:pPr>
      <w:r>
        <w:rPr>
          <w:rFonts w:ascii="Times New Roman" w:hAnsi="Times New Roman"/>
        </w:rPr>
      </w:r>
      <w:r>
        <w:br w:type="page"/>
      </w:r>
    </w:p>
    <w:p>
      <w:pPr>
        <w:pStyle w:val="Heading1"/>
        <w:keepNext w:val="true"/>
        <w:spacing w:before="0" w:after="140"/>
        <w:rPr>
          <w:rFonts w:ascii="Times New Roman" w:hAnsi="Times New Roman"/>
        </w:rPr>
      </w:pPr>
      <w:r>
        <w:rPr>
          <w:rFonts w:eastAsia="Calibri" w:cs="Calibri" w:ascii="Times New Roman" w:hAnsi="Times New Roman"/>
        </w:rPr>
        <w:t xml:space="preserve">1. </w:t>
      </w:r>
      <w:r>
        <w:rPr>
          <w:rFonts w:eastAsia="Calibri" w:cs="Calibri" w:ascii="Times New Roman" w:hAnsi="Times New Roman"/>
          <w:color w:val="000000"/>
        </w:rPr>
        <w:t>Executive</w:t>
      </w:r>
      <w:r>
        <w:rPr>
          <w:rFonts w:eastAsia="Calibri" w:cs="Calibri" w:ascii="Times New Roman" w:hAnsi="Times New Roman"/>
        </w:rPr>
        <w:t xml:space="preserve"> Summary</w:t>
      </w:r>
    </w:p>
    <w:p>
      <w:pPr>
        <w:pStyle w:val="Normal"/>
        <w:spacing w:lineRule="auto" w:line="276" w:before="0" w:after="100"/>
        <w:jc w:val="start"/>
        <w:rPr>
          <w:rFonts w:ascii="Times New Roman" w:hAnsi="Times New Roman"/>
        </w:rPr>
      </w:pPr>
      <w:r>
        <w:rPr>
          <w:rFonts w:eastAsia="Calibri" w:cs="Calibri" w:ascii="Times New Roman" w:hAnsi="Times New Roman"/>
        </w:rPr>
        <w:t xml:space="preserve">This document defines the system architecture for the </w:t>
      </w:r>
      <w:r>
        <w:rPr>
          <w:rFonts w:eastAsia="Calibri" w:cs="Calibri" w:ascii="Times New Roman" w:hAnsi="Times New Roman"/>
          <w:b/>
          <w:bCs/>
        </w:rPr>
        <w:t>Unified e-Governance Service Portal</w:t>
      </w:r>
      <w:r>
        <w:rPr>
          <w:rFonts w:eastAsia="Calibri" w:cs="Calibri" w:ascii="Times New Roman" w:hAnsi="Times New Roman"/>
        </w:rPr>
        <w:t xml:space="preserve"> scoped in Week 1. It converts the 20 functional and 15 non-functional requirements into a concrete, buildable blueprint: components, interactions, data model, technology stack, security controls and scaling strategy.</w:t>
      </w:r>
    </w:p>
    <w:p>
      <w:pPr>
        <w:pStyle w:val="ListParagraph"/>
        <w:numPr>
          <w:ilvl w:val="0"/>
          <w:numId w:val="3"/>
        </w:numPr>
        <w:spacing w:lineRule="auto" w:line="264" w:before="0" w:after="60"/>
        <w:rPr>
          <w:rFonts w:ascii="Times New Roman" w:hAnsi="Times New Roman"/>
        </w:rPr>
      </w:pPr>
      <w:r>
        <w:rPr>
          <w:rFonts w:eastAsia="Calibri" w:cs="Calibri" w:ascii="Times New Roman" w:hAnsi="Times New Roman"/>
          <w:b/>
          <w:bCs/>
        </w:rPr>
        <w:t>Style:</w:t>
      </w:r>
      <w:r>
        <w:rPr>
          <w:rFonts w:eastAsia="Calibri" w:cs="Calibri" w:ascii="Times New Roman" w:hAnsi="Times New Roman"/>
        </w:rPr>
        <w:t xml:space="preserve"> API-first, layered architecture with 8 coarse-grained domain services, an API gateway, an event broker and a polyglot data layer (PostgreSQL, Redis, object storage, OpenSearch).</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Security:</w:t>
      </w:r>
      <w:r>
        <w:rPr>
          <w:rFonts w:eastAsia="Calibri" w:cs="Calibri" w:ascii="Times New Roman" w:hAnsi="Times New Roman"/>
        </w:rPr>
        <w:t xml:space="preserve"> defence in depth - 3 network zones, OIDC + MFA, RBAC with ownership checks, TLS 1.2/1.3 in transit, AES-256 at rest, append-only audit trail, scanned uploads and secure CI/CD gates.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Scalability:</w:t>
      </w:r>
      <w:r>
        <w:rPr>
          <w:rFonts w:eastAsia="Calibri" w:cs="Calibri" w:ascii="Times New Roman" w:hAnsi="Times New Roman"/>
        </w:rPr>
        <w:t xml:space="preserve"> stateless containers on Kubernetes with autoscaling, cache and CDN, read replicas, asynchronous processing, multi-AZ deployment and a disaster-recovery site.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Integrity:</w:t>
      </w:r>
      <w:r>
        <w:rPr>
          <w:rFonts w:eastAsia="Calibri" w:cs="Calibri" w:ascii="Times New Roman" w:hAnsi="Times New Roman"/>
        </w:rPr>
        <w:t xml:space="preserve"> ACID transactions, constraints, optimistic locking, idempotent submissions, SHA-256 document hashes and a hash-chained audit log.</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Pilot-ready, growth-ready:</w:t>
      </w:r>
      <w:r>
        <w:rPr>
          <w:rFonts w:eastAsia="Calibri" w:cs="Calibri" w:ascii="Times New Roman" w:hAnsi="Times New Roman"/>
        </w:rPr>
        <w:t xml:space="preserve"> the same design runs a 100-user Income Certificate pilot and scales to roughly 100,000 registered citizens without redesign.</w:t>
      </w:r>
    </w:p>
    <w:p>
      <w:pPr>
        <w:pStyle w:val="Normal"/>
        <w:spacing w:before="0" w:after="80"/>
        <w:rPr>
          <w:rFonts w:ascii="Times New Roman" w:hAnsi="Times New Roman"/>
        </w:rPr>
      </w:pPr>
      <w:r>
        <w:rPr>
          <w:rFonts w:ascii="Times New Roman" w:hAnsi="Times New Roman"/>
        </w:rPr>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2E75B6"/>
            </w:tcBorders>
            <w:shd w:color="auto" w:fill="DEEAF6" w:val="clear"/>
          </w:tcPr>
          <w:p>
            <w:pPr>
              <w:pStyle w:val="Normal"/>
              <w:spacing w:lineRule="auto" w:line="264" w:before="0" w:after="0"/>
              <w:rPr>
                <w:rFonts w:ascii="Times New Roman" w:hAnsi="Times New Roman"/>
              </w:rPr>
            </w:pPr>
            <w:r>
              <w:rPr>
                <w:rFonts w:eastAsia="Calibri" w:cs="Calibri" w:ascii="Times New Roman" w:hAnsi="Times New Roman"/>
                <w:b/>
                <w:bCs/>
                <w:sz w:val="21"/>
                <w:szCs w:val="21"/>
              </w:rPr>
              <w:t>Reading guide:</w:t>
            </w:r>
            <w:r>
              <w:rPr>
                <w:rFonts w:eastAsia="Calibri" w:cs="Calibri" w:ascii="Times New Roman" w:hAnsi="Times New Roman"/>
                <w:sz w:val="21"/>
                <w:szCs w:val="21"/>
              </w:rPr>
              <w:t xml:space="preserve"> Section 2 gives the context, 3-5 give the architecture and interactions, 6 the data design, 7 the technology justification, 8-9 security and scalability, 11 the traceability proof that every Week 1 requirement is covered.</w:t>
            </w:r>
          </w:p>
        </w:tc>
      </w:tr>
    </w:tbl>
    <w:p>
      <w:pPr>
        <w:pStyle w:val="Normal"/>
        <w:spacing w:before="0" w:after="12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1.1 How this document meets the Week 2 brief</w:t>
      </w:r>
    </w:p>
    <w:tbl>
      <w:tblPr>
        <w:tblW w:w="9026" w:type="dxa"/>
        <w:jc w:val="start"/>
        <w:tblInd w:w="0" w:type="dxa"/>
        <w:tblLayout w:type="fixed"/>
        <w:tblCellMar>
          <w:top w:w="60" w:type="dxa"/>
          <w:start w:w="90" w:type="dxa"/>
          <w:bottom w:w="60" w:type="dxa"/>
          <w:end w:w="90" w:type="dxa"/>
        </w:tblCellMar>
      </w:tblPr>
      <w:tblGrid>
        <w:gridCol w:w="3299"/>
        <w:gridCol w:w="3927"/>
        <w:gridCol w:w="1800"/>
      </w:tblGrid>
      <w:tr>
        <w:trPr>
          <w:tblHeader w:val="true"/>
          <w:cantSplit/>
        </w:trPr>
        <w:tc>
          <w:tcPr>
            <w:tcW w:w="3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Expected deliverable</w:t>
            </w:r>
          </w:p>
        </w:tc>
        <w:tc>
          <w:tcPr>
            <w:tcW w:w="39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What is provided</w:t>
            </w:r>
          </w:p>
        </w:tc>
        <w:tc>
          <w:tcPr>
            <w:tcW w:w="18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Section</w:t>
            </w:r>
          </w:p>
        </w:tc>
      </w:tr>
      <w:tr>
        <w:trPr>
          <w:cantSplit/>
        </w:trPr>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Detailed DOC describing overall architecture</w:t>
            </w:r>
          </w:p>
        </w:tc>
        <w:tc>
          <w:tcPr>
            <w:tcW w:w="39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Layered architecture, 8 services, middleware, data and infrastructure layers</w:t>
            </w:r>
          </w:p>
        </w:tc>
        <w:tc>
          <w:tcPr>
            <w:tcW w:w="1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3, 4</w:t>
            </w:r>
          </w:p>
        </w:tc>
      </w:tr>
      <w:tr>
        <w:trPr>
          <w:cantSplit/>
        </w:trPr>
        <w:tc>
          <w:tcPr>
            <w:tcW w:w="3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Architectural diagram of components and interactions</w:t>
            </w:r>
          </w:p>
        </w:tc>
        <w:tc>
          <w:tcPr>
            <w:tcW w:w="39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6 figures: layered view, sequence flow, state machine, data model, security zones, CI/CD</w:t>
            </w:r>
          </w:p>
        </w:tc>
        <w:tc>
          <w:tcPr>
            <w:tcW w:w="1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Figures 1-6</w:t>
            </w:r>
          </w:p>
        </w:tc>
      </w:tr>
      <w:tr>
        <w:trPr>
          <w:cantSplit/>
        </w:trPr>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Choice of technologies, security protocols, scalability measures</w:t>
            </w:r>
          </w:p>
        </w:tc>
        <w:tc>
          <w:tcPr>
            <w:tcW w:w="39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Technology table with alternatives, weighted decision matrix, security architecture, scaling plan</w:t>
            </w:r>
          </w:p>
        </w:tc>
        <w:tc>
          <w:tcPr>
            <w:tcW w:w="1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7, 8, 9</w:t>
            </w:r>
          </w:p>
        </w:tc>
      </w:tr>
      <w:tr>
        <w:trPr>
          <w:cantSplit/>
        </w:trPr>
        <w:tc>
          <w:tcPr>
            <w:tcW w:w="3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Justification of design decisions vs functional and non-functional requirements</w:t>
            </w:r>
          </w:p>
        </w:tc>
        <w:tc>
          <w:tcPr>
            <w:tcW w:w="39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Decision records plus FR-to-component and NFR-to-design traceability matrices</w:t>
            </w:r>
          </w:p>
        </w:tc>
        <w:tc>
          <w:tcPr>
            <w:tcW w:w="1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3.1, 11, App. A</w:t>
            </w:r>
          </w:p>
        </w:tc>
      </w:tr>
      <w:tr>
        <w:trPr>
          <w:cantSplit/>
        </w:trPr>
        <w:tc>
          <w:tcPr>
            <w:tcW w:w="3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Contextual analysis</w:t>
            </w:r>
          </w:p>
        </w:tc>
        <w:tc>
          <w:tcPr>
            <w:tcW w:w="39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Envisioned services, users, design drivers, principles</w:t>
            </w:r>
          </w:p>
        </w:tc>
        <w:tc>
          <w:tcPr>
            <w:tcW w:w="1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2</w:t>
            </w:r>
          </w:p>
        </w:tc>
      </w:tr>
      <w:tr>
        <w:trPr>
          <w:cantSplit/>
        </w:trPr>
        <w:tc>
          <w:tcPr>
            <w:tcW w:w="3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Clear headings, bullets, structured sections</w:t>
            </w:r>
          </w:p>
        </w:tc>
        <w:tc>
          <w:tcPr>
            <w:tcW w:w="39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Numbered sections, tables, callouts, glossary, review checklist</w:t>
            </w:r>
          </w:p>
        </w:tc>
        <w:tc>
          <w:tcPr>
            <w:tcW w:w="1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All</w:t>
            </w:r>
          </w:p>
        </w:tc>
      </w:tr>
    </w:tbl>
    <w:p>
      <w:pPr>
        <w:pStyle w:val="Normal"/>
        <w:spacing w:before="0" w:after="80"/>
        <w:rPr>
          <w:rFonts w:ascii="Times New Roman" w:hAnsi="Times New Roman"/>
        </w:rPr>
      </w:pPr>
      <w:r>
        <w:rPr>
          <w:rFonts w:ascii="Times New Roman" w:hAnsi="Times New Roman"/>
        </w:rPr>
      </w:r>
    </w:p>
    <w:p>
      <w:pPr>
        <w:pStyle w:val="Heading1"/>
        <w:keepNext w:val="true"/>
        <w:rPr>
          <w:rFonts w:ascii="Times New Roman" w:hAnsi="Times New Roman"/>
        </w:rPr>
      </w:pPr>
      <w:r>
        <w:rPr>
          <w:rFonts w:eastAsia="Calibri" w:cs="Calibri" w:ascii="Times New Roman" w:hAnsi="Times New Roman"/>
        </w:rPr>
        <w:t>2. Contextual Analysis</w:t>
      </w:r>
    </w:p>
    <w:p>
      <w:pPr>
        <w:pStyle w:val="Heading2"/>
        <w:keepNext w:val="true"/>
        <w:rPr>
          <w:rFonts w:ascii="Times New Roman" w:hAnsi="Times New Roman"/>
          <w:color w:val="000000"/>
        </w:rPr>
      </w:pPr>
      <w:r>
        <w:rPr>
          <w:rFonts w:eastAsia="Calibri" w:cs="Calibri" w:ascii="Times New Roman" w:hAnsi="Times New Roman"/>
          <w:color w:val="000000"/>
        </w:rPr>
        <w:t>2.1 Envisioned e-Governance Services and Their Significance</w:t>
      </w:r>
    </w:p>
    <w:p>
      <w:pPr>
        <w:pStyle w:val="Normal"/>
        <w:spacing w:lineRule="auto" w:line="276" w:before="0" w:after="100"/>
        <w:jc w:val="start"/>
        <w:rPr>
          <w:rFonts w:ascii="Times New Roman" w:hAnsi="Times New Roman"/>
        </w:rPr>
      </w:pPr>
      <w:r>
        <w:rPr>
          <w:rFonts w:eastAsia="Calibri" w:cs="Calibri" w:ascii="Times New Roman" w:hAnsi="Times New Roman"/>
        </w:rPr>
        <w:t>The portal is a single digital entry point for government services. The Income Certificate service is the pilot; the architecture is service-agnostic so new services are added through configuration (FR-18), not new code.</w:t>
      </w:r>
    </w:p>
    <w:tbl>
      <w:tblPr>
        <w:tblW w:w="9026" w:type="dxa"/>
        <w:jc w:val="start"/>
        <w:tblInd w:w="0" w:type="dxa"/>
        <w:tblLayout w:type="fixed"/>
        <w:tblCellMar>
          <w:top w:w="60" w:type="dxa"/>
          <w:start w:w="90" w:type="dxa"/>
          <w:bottom w:w="60" w:type="dxa"/>
          <w:end w:w="90" w:type="dxa"/>
        </w:tblCellMar>
      </w:tblPr>
      <w:tblGrid>
        <w:gridCol w:w="2199"/>
        <w:gridCol w:w="3627"/>
        <w:gridCol w:w="1500"/>
        <w:gridCol w:w="1700"/>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Service</w:t>
            </w:r>
          </w:p>
        </w:tc>
        <w:tc>
          <w:tcPr>
            <w:tcW w:w="36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Significance to citizens and department</w:t>
            </w:r>
          </w:p>
        </w:tc>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Release</w:t>
            </w:r>
          </w:p>
        </w:tc>
        <w:tc>
          <w:tcPr>
            <w:tcW w:w="17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Complexity</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Income Certificate (pilot)</w:t>
            </w:r>
          </w:p>
        </w:tc>
        <w:tc>
          <w:tcPr>
            <w:tcW w:w="36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High-volume, document-driven, needed for scholarships and schemes; ideal end-to-end test of the workflow</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Pilot</w:t>
            </w:r>
          </w:p>
        </w:tc>
        <w:tc>
          <w:tcPr>
            <w:tcW w:w="1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Medium</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Domicile / Caste Certificate</w:t>
            </w:r>
          </w:p>
        </w:tc>
        <w:tc>
          <w:tcPr>
            <w:tcW w:w="36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Same workflow with different eligibility rules and documents; proves reuse of the engine</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Phase 2</w:t>
            </w:r>
          </w:p>
        </w:tc>
        <w:tc>
          <w:tcPr>
            <w:tcW w:w="1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Medium</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Birth / Death Registration</w:t>
            </w:r>
          </w:p>
        </w:tc>
        <w:tc>
          <w:tcPr>
            <w:tcW w:w="36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Legal records with strict data-integrity needs</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Phase 2</w:t>
            </w:r>
          </w:p>
        </w:tc>
        <w:tc>
          <w:tcPr>
            <w:tcW w:w="1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High</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Welfare Scheme Application</w:t>
            </w:r>
          </w:p>
        </w:tc>
        <w:tc>
          <w:tcPr>
            <w:tcW w:w="36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Eligibility checks, possible integration with other department APIs</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Phase 3</w:t>
            </w:r>
          </w:p>
        </w:tc>
        <w:tc>
          <w:tcPr>
            <w:tcW w:w="1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High</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Fee / Fine Payment</w:t>
            </w:r>
          </w:p>
        </w:tc>
        <w:tc>
          <w:tcPr>
            <w:tcW w:w="36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Requires payment-gateway integration and reconciliation</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Phase 3</w:t>
            </w:r>
          </w:p>
        </w:tc>
        <w:tc>
          <w:tcPr>
            <w:tcW w:w="1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High</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Complaint / Help Request</w:t>
            </w:r>
          </w:p>
        </w:tc>
        <w:tc>
          <w:tcPr>
            <w:tcW w:w="36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Transparency and accountability; builds trust (FR-13)</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Pilot</w:t>
            </w:r>
          </w:p>
        </w:tc>
        <w:tc>
          <w:tcPr>
            <w:tcW w:w="1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Low</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Application Tracking</w:t>
            </w:r>
          </w:p>
        </w:tc>
        <w:tc>
          <w:tcPr>
            <w:tcW w:w="36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Removes repeat office visits; most-used feature (FR-08)</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Pilot</w:t>
            </w:r>
          </w:p>
        </w:tc>
        <w:tc>
          <w:tcPr>
            <w:tcW w:w="1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Low</w:t>
            </w:r>
          </w:p>
        </w:tc>
      </w:tr>
    </w:tbl>
    <w:p>
      <w:pPr>
        <w:pStyle w:val="Normal"/>
        <w:spacing w:before="0" w:after="8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2.2 User Groups</w:t>
      </w:r>
    </w:p>
    <w:tbl>
      <w:tblPr>
        <w:tblW w:w="9026" w:type="dxa"/>
        <w:jc w:val="start"/>
        <w:tblInd w:w="0" w:type="dxa"/>
        <w:tblLayout w:type="fixed"/>
        <w:tblCellMar>
          <w:top w:w="60" w:type="dxa"/>
          <w:start w:w="90" w:type="dxa"/>
          <w:bottom w:w="60" w:type="dxa"/>
          <w:end w:w="90" w:type="dxa"/>
        </w:tblCellMar>
      </w:tblPr>
      <w:tblGrid>
        <w:gridCol w:w="2299"/>
        <w:gridCol w:w="3300"/>
        <w:gridCol w:w="3427"/>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User group</w:t>
            </w:r>
          </w:p>
        </w:tc>
        <w:tc>
          <w:tcPr>
            <w:tcW w:w="3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Primary needs</w:t>
            </w:r>
          </w:p>
        </w:tc>
        <w:tc>
          <w:tcPr>
            <w:tcW w:w="34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Architectural implication</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Citizens</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Simple forms, status visibility, privacy</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Responsive SPA, low-bandwidth pages, bilingual content, notifications</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Citizens needing assistance</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Accessibility, help centre support</w:t>
            </w:r>
          </w:p>
        </w:tc>
        <w:tc>
          <w:tcPr>
            <w:tcW w:w="3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WCAG 2.2 AA, assisted-service role that acts on behalf of a citizen with full audit</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Case officers / supervisors</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Work queue, fast review, clear rules</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Role-based staff console, search index, workflow engine</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Department / system admins</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Configure services, manage users</w:t>
            </w:r>
          </w:p>
        </w:tc>
        <w:tc>
          <w:tcPr>
            <w:tcW w:w="34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Admin APIs under change control, separate admin plane</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Auditors / security team</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Evidence, traceability</w:t>
            </w:r>
          </w:p>
        </w:tc>
        <w:tc>
          <w:tcPr>
            <w:tcW w:w="34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Tamper-evident audit pipeline, read-only access</w:t>
            </w:r>
          </w:p>
        </w:tc>
      </w:tr>
    </w:tbl>
    <w:p>
      <w:pPr>
        <w:pStyle w:val="Normal"/>
        <w:spacing w:before="0" w:after="8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2.3 Design Drivers Taken from Week 1</w:t>
      </w:r>
    </w:p>
    <w:tbl>
      <w:tblPr>
        <w:tblW w:w="9026" w:type="dxa"/>
        <w:jc w:val="start"/>
        <w:tblInd w:w="0" w:type="dxa"/>
        <w:tblLayout w:type="fixed"/>
        <w:tblCellMar>
          <w:top w:w="60" w:type="dxa"/>
          <w:start w:w="90" w:type="dxa"/>
          <w:bottom w:w="60" w:type="dxa"/>
          <w:end w:w="90" w:type="dxa"/>
        </w:tblCellMar>
      </w:tblPr>
      <w:tblGrid>
        <w:gridCol w:w="3000"/>
        <w:gridCol w:w="6026"/>
      </w:tblGrid>
      <w:tr>
        <w:trPr>
          <w:tblHeader w:val="true"/>
          <w:cantSplit/>
        </w:trPr>
        <w:tc>
          <w:tcPr>
            <w:tcW w:w="3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Week 1 requirement</w:t>
            </w:r>
          </w:p>
        </w:tc>
        <w:tc>
          <w:tcPr>
            <w:tcW w:w="60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Architectural decision it drives</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Pilot of ~100 users, 5-10 officers; later expansion</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Start small but stateless and containerised so capacity is added by replicas, not rewrites</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95% of requests within 2 s (NFR-01)</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CDN, Redis cache, indexed queries, asynchronous side-effects</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99.5% monthly availability = 216 min downtime (NFR-02)</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Multi-AZ deployment, redundant instances, health checks, automated failover</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RPO 24 h, RTO 8 h (NFR-09)</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Daily encrypted backups plus continuous log archiving; DR site; tested restores</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Personal data, audit, privacy (NFR-04, 05, 13)</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Data classification, field encryption, RBAC, append-only audit, India-hosted data</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Interoperability with SMS, e-mail, identity, payment (NFR-12)</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Integration adapters behind an anti-corruption layer; fail-safe fallbacks</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Accessibility and local languages (NFR-06, 14)</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Accessible component library, i18n resource bundles, UTF-8 throughout</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Data integrity (NFR-15)</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ACID database, constraints, optimistic locking, idempotency keys, checksums</w:t>
            </w:r>
          </w:p>
        </w:tc>
      </w:tr>
    </w:tbl>
    <w:p>
      <w:pPr>
        <w:pStyle w:val="Normal"/>
        <w:spacing w:before="0" w:after="8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2.4 Architecture Principles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Security by design:</w:t>
      </w:r>
      <w:r>
        <w:rPr>
          <w:rFonts w:eastAsia="Calibri" w:cs="Calibri" w:ascii="Times New Roman" w:hAnsi="Times New Roman"/>
        </w:rPr>
        <w:t xml:space="preserve"> least privilege, deny by default, zero trust between services.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API-first:</w:t>
      </w:r>
      <w:r>
        <w:rPr>
          <w:rFonts w:eastAsia="Calibri" w:cs="Calibri" w:ascii="Times New Roman" w:hAnsi="Times New Roman"/>
        </w:rPr>
        <w:t xml:space="preserve"> every capability is an documented REST API (OpenAPI); UI and integrations use the same APIs.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Stateless services:</w:t>
      </w:r>
      <w:r>
        <w:rPr>
          <w:rFonts w:eastAsia="Calibri" w:cs="Calibri" w:ascii="Times New Roman" w:hAnsi="Times New Roman"/>
        </w:rPr>
        <w:t xml:space="preserve"> state lives in the data layer, so any instance can serve any request.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Loose coupling:</w:t>
      </w:r>
      <w:r>
        <w:rPr>
          <w:rFonts w:eastAsia="Calibri" w:cs="Calibri" w:ascii="Times New Roman" w:hAnsi="Times New Roman"/>
        </w:rPr>
        <w:t xml:space="preserve"> services communicate through APIs and events, never through each other's tables.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Open standards and open source:</w:t>
      </w:r>
      <w:r>
        <w:rPr>
          <w:rFonts w:eastAsia="Calibri" w:cs="Calibri" w:ascii="Times New Roman" w:hAnsi="Times New Roman"/>
        </w:rPr>
        <w:t xml:space="preserve"> OIDC, OAuth 2.0, REST/JSON, PostgreSQL, Kubernetes - avoids vendor lock-in and licence cost.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Inclusive by default:</w:t>
      </w:r>
      <w:r>
        <w:rPr>
          <w:rFonts w:eastAsia="Calibri" w:cs="Calibri" w:ascii="Times New Roman" w:hAnsi="Times New Roman"/>
        </w:rPr>
        <w:t xml:space="preserve"> accessibility, plain language and assisted channels are architectural requirements, not extras.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Observable and auditable:</w:t>
      </w:r>
      <w:r>
        <w:rPr>
          <w:rFonts w:eastAsia="Calibri" w:cs="Calibri" w:ascii="Times New Roman" w:hAnsi="Times New Roman"/>
        </w:rPr>
        <w:t xml:space="preserve"> every action is logged, measured and traceable.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Evolvable:</w:t>
      </w:r>
      <w:r>
        <w:rPr>
          <w:rFonts w:eastAsia="Calibri" w:cs="Calibri" w:ascii="Times New Roman" w:hAnsi="Times New Roman"/>
        </w:rPr>
        <w:t xml:space="preserve"> start with coarse-grained services; split further only when load or team size justifies it.</w:t>
      </w:r>
    </w:p>
    <w:p>
      <w:pPr>
        <w:pStyle w:val="Heading1"/>
        <w:keepNext w:val="true"/>
        <w:rPr>
          <w:rFonts w:ascii="Times New Roman" w:hAnsi="Times New Roman"/>
        </w:rPr>
      </w:pPr>
      <w:r>
        <w:rPr>
          <w:rFonts w:eastAsia="Calibri" w:cs="Calibri" w:ascii="Times New Roman" w:hAnsi="Times New Roman"/>
        </w:rPr>
        <w:t>3. Architecture Overview</w:t>
      </w:r>
    </w:p>
    <w:p>
      <w:pPr>
        <w:pStyle w:val="Heading2"/>
        <w:keepNext w:val="true"/>
        <w:rPr>
          <w:rFonts w:ascii="Times New Roman" w:hAnsi="Times New Roman"/>
          <w:color w:val="000000"/>
        </w:rPr>
      </w:pPr>
      <w:r>
        <w:rPr>
          <w:rFonts w:eastAsia="Calibri" w:cs="Calibri" w:ascii="Times New Roman" w:hAnsi="Times New Roman"/>
          <w:color w:val="000000"/>
        </w:rPr>
        <w:t>3.1 Architectural Style - Decision Record</w:t>
      </w:r>
    </w:p>
    <w:p>
      <w:pPr>
        <w:pStyle w:val="Normal"/>
        <w:keepNext w:val="true"/>
        <w:spacing w:lineRule="auto" w:line="276" w:before="0" w:after="100"/>
        <w:jc w:val="start"/>
        <w:rPr>
          <w:rFonts w:ascii="Times New Roman" w:hAnsi="Times New Roman"/>
        </w:rPr>
      </w:pPr>
      <w:r>
        <w:rPr>
          <w:rFonts w:eastAsia="Calibri" w:cs="Calibri" w:ascii="Times New Roman" w:hAnsi="Times New Roman"/>
        </w:rPr>
        <w:t>Three styles were evaluated against the Week 1 constraints (small pilot team, later growth, strict security, limited operations budget).</w:t>
      </w:r>
    </w:p>
    <w:tbl>
      <w:tblPr>
        <w:tblW w:w="9026" w:type="dxa"/>
        <w:jc w:val="start"/>
        <w:tblInd w:w="0" w:type="dxa"/>
        <w:tblLayout w:type="fixed"/>
        <w:tblCellMar>
          <w:top w:w="60" w:type="dxa"/>
          <w:start w:w="90" w:type="dxa"/>
          <w:bottom w:w="60" w:type="dxa"/>
          <w:end w:w="90" w:type="dxa"/>
        </w:tblCellMar>
      </w:tblPr>
      <w:tblGrid>
        <w:gridCol w:w="1899"/>
        <w:gridCol w:w="2400"/>
        <w:gridCol w:w="2400"/>
        <w:gridCol w:w="2327"/>
      </w:tblGrid>
      <w:tr>
        <w:trPr>
          <w:tblHeader w:val="true"/>
          <w:cantSplit/>
        </w:trPr>
        <w:tc>
          <w:tcPr>
            <w:tcW w:w="18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Criterion</w:t>
            </w:r>
          </w:p>
        </w:tc>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Single monolith</w:t>
            </w:r>
          </w:p>
        </w:tc>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Coarse-grained domain services (chosen)</w:t>
            </w:r>
          </w:p>
        </w:tc>
        <w:tc>
          <w:tcPr>
            <w:tcW w:w="23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Fine-grained microservices</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Pilot delivery speed</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Fastest</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Fast</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Slow (many pipelines)</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Independent scaling</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No - scale whole app</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Yes - per service (e.g. Document, Notification)</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Yes - very fine</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Fault isolation</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Poor</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Good</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Excellent</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Operational complexity</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Low</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Medium</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High</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Team size needed</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Small</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Small to medium</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Large</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Security boundaries</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One large attack surface</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Per-service permissions, mTLS</w:t>
            </w:r>
          </w:p>
        </w:tc>
        <w:tc>
          <w:tcPr>
            <w:tcW w:w="2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Per-service, but more to manage</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Future growth</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Rewrite likely</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Split services later if needed</w:t>
            </w:r>
          </w:p>
        </w:tc>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Already split</w:t>
            </w:r>
          </w:p>
        </w:tc>
      </w:tr>
    </w:tbl>
    <w:p>
      <w:pPr>
        <w:pStyle w:val="Normal"/>
        <w:spacing w:before="0" w:after="80"/>
        <w:rPr>
          <w:rFonts w:ascii="Times New Roman" w:hAnsi="Times New Roman"/>
        </w:rPr>
      </w:pPr>
      <w:r>
        <w:rPr>
          <w:rFonts w:ascii="Times New Roman" w:hAnsi="Times New Roman"/>
        </w:rPr>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2E75B6"/>
            </w:tcBorders>
            <w:shd w:color="auto" w:fill="DEEAF6" w:val="clear"/>
          </w:tcPr>
          <w:p>
            <w:pPr>
              <w:pStyle w:val="Normal"/>
              <w:spacing w:lineRule="auto" w:line="264" w:before="0" w:after="0"/>
              <w:rPr>
                <w:rFonts w:ascii="Times New Roman" w:hAnsi="Times New Roman"/>
              </w:rPr>
            </w:pPr>
            <w:r>
              <w:rPr>
                <w:rFonts w:eastAsia="Calibri" w:cs="Calibri" w:ascii="Times New Roman" w:hAnsi="Times New Roman"/>
                <w:b/>
                <w:bCs/>
                <w:sz w:val="21"/>
                <w:szCs w:val="21"/>
              </w:rPr>
              <w:t>Decision (ADR-01):</w:t>
            </w:r>
            <w:r>
              <w:rPr>
                <w:rFonts w:eastAsia="Calibri" w:cs="Calibri" w:ascii="Times New Roman" w:hAnsi="Times New Roman"/>
                <w:sz w:val="21"/>
                <w:szCs w:val="21"/>
              </w:rPr>
              <w:t xml:space="preserve"> Adopt </w:t>
            </w:r>
            <w:r>
              <w:rPr>
                <w:rFonts w:eastAsia="Calibri" w:cs="Calibri" w:ascii="Times New Roman" w:hAnsi="Times New Roman"/>
                <w:b/>
                <w:bCs/>
                <w:sz w:val="21"/>
                <w:szCs w:val="21"/>
              </w:rPr>
              <w:t>coarse-grained domain services</w:t>
            </w:r>
            <w:r>
              <w:rPr>
                <w:rFonts w:eastAsia="Calibri" w:cs="Calibri" w:ascii="Times New Roman" w:hAnsi="Times New Roman"/>
                <w:sz w:val="21"/>
                <w:szCs w:val="21"/>
              </w:rPr>
              <w:t xml:space="preserve"> behind an API gateway. They deliver independent scaling and fault isolation where it matters (documents, notifications, reporting) without the operational burden of dozens of microservices. Risks and mitigations are in Section 12.</w:t>
            </w:r>
          </w:p>
        </w:tc>
      </w:tr>
    </w:tbl>
    <w:p>
      <w:pPr>
        <w:pStyle w:val="Normal"/>
        <w:spacing w:before="0" w:after="12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3.2 Logical Architecture</w:t>
      </w:r>
    </w:p>
    <w:p>
      <w:pPr>
        <w:pStyle w:val="Normal"/>
        <w:keepNext w:val="true"/>
        <w:spacing w:lineRule="auto" w:line="276" w:before="0" w:after="40"/>
        <w:jc w:val="start"/>
        <w:rPr>
          <w:rFonts w:ascii="Times New Roman" w:hAnsi="Times New Roman"/>
        </w:rPr>
      </w:pPr>
      <w:r>
        <w:rPr>
          <w:rFonts w:eastAsia="Calibri" w:cs="Calibri" w:ascii="Times New Roman" w:hAnsi="Times New Roman"/>
        </w:rPr>
        <w:t>Request path in one line:</w:t>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595959"/>
            </w:tcBorders>
            <w:shd w:color="auto" w:fill="F2F2F2" w:val="clear"/>
          </w:tcPr>
          <w:p>
            <w:pPr>
              <w:pStyle w:val="Normal"/>
              <w:spacing w:lineRule="auto" w:line="264" w:before="0" w:after="0"/>
              <w:rPr>
                <w:rFonts w:ascii="Times New Roman" w:hAnsi="Times New Roman"/>
              </w:rPr>
            </w:pPr>
            <w:r>
              <w:rPr>
                <w:rFonts w:eastAsia="Calibri" w:cs="Calibri" w:ascii="Times New Roman" w:hAnsi="Times New Roman"/>
                <w:b/>
                <w:bCs/>
                <w:sz w:val="21"/>
                <w:szCs w:val="21"/>
              </w:rPr>
              <w:t>Flow:</w:t>
            </w:r>
            <w:r>
              <w:rPr>
                <w:rFonts w:eastAsia="Calibri" w:cs="Calibri" w:ascii="Times New Roman" w:hAnsi="Times New Roman"/>
                <w:sz w:val="21"/>
                <w:szCs w:val="21"/>
              </w:rPr>
              <w:t xml:space="preserve"> Citizen / Staff -&gt; CDN -&gt; DDoS + WAF -&gt; Load Balancer -&gt; Web tier (SPA) -&gt; API Gateway -&gt; Domain services -&gt; (Message Broker -&gt; Notification / Audit / Search) and (PostgreSQL, Redis, Object Storage)</w:t>
            </w:r>
          </w:p>
        </w:tc>
      </w:tr>
    </w:tbl>
    <w:p>
      <w:pPr>
        <w:pStyle w:val="Normal"/>
        <w:keepNext w:val="false"/>
        <w:spacing w:before="120" w:after="60"/>
        <w:jc w:val="center"/>
        <w:rPr>
          <w:rFonts w:ascii="Times New Roman" w:hAnsi="Times New Roman"/>
        </w:rPr>
      </w:pPr>
      <w:r>
        <w:rPr>
          <w:rFonts w:ascii="Times New Roman" w:hAnsi="Times New Roman"/>
        </w:rPr>
        <w:drawing>
          <wp:inline distT="0" distB="0" distL="0" distR="0">
            <wp:extent cx="5667375" cy="5359400"/>
            <wp:effectExtent l="0" t="0" r="0" b="0"/>
            <wp:docPr id="1" name="fig1_layers" descr="fig1_layers" title="fig1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layers" descr="fig1_layers" title="fig1_layers"/>
                    <pic:cNvPicPr>
                      <a:picLocks noChangeAspect="1" noChangeArrowheads="1"/>
                    </pic:cNvPicPr>
                  </pic:nvPicPr>
                  <pic:blipFill>
                    <a:blip r:embed="rId2"/>
                    <a:stretch>
                      <a:fillRect/>
                    </a:stretch>
                  </pic:blipFill>
                  <pic:spPr bwMode="auto">
                    <a:xfrm>
                      <a:off x="0" y="0"/>
                      <a:ext cx="5667375" cy="5359400"/>
                    </a:xfrm>
                    <a:prstGeom prst="rect">
                      <a:avLst/>
                    </a:prstGeom>
                    <a:noFill/>
                  </pic:spPr>
                </pic:pic>
              </a:graphicData>
            </a:graphic>
          </wp:inline>
        </w:drawing>
      </w:r>
    </w:p>
    <w:p>
      <w:pPr>
        <w:pStyle w:val="Heading2"/>
        <w:keepNext w:val="true"/>
        <w:rPr>
          <w:rFonts w:ascii="Times New Roman" w:hAnsi="Times New Roman"/>
          <w:color w:val="000000"/>
        </w:rPr>
      </w:pPr>
      <w:r>
        <w:rPr>
          <w:rFonts w:eastAsia="Calibri" w:cs="Calibri" w:ascii="Times New Roman" w:hAnsi="Times New Roman"/>
          <w:color w:val="000000"/>
        </w:rPr>
        <w:t>3.3 Layer Responsibilities</w:t>
      </w:r>
    </w:p>
    <w:tbl>
      <w:tblPr>
        <w:tblW w:w="9026" w:type="dxa"/>
        <w:jc w:val="start"/>
        <w:tblInd w:w="0" w:type="dxa"/>
        <w:tblLayout w:type="fixed"/>
        <w:tblCellMar>
          <w:top w:w="60" w:type="dxa"/>
          <w:start w:w="90" w:type="dxa"/>
          <w:bottom w:w="60" w:type="dxa"/>
          <w:end w:w="90" w:type="dxa"/>
        </w:tblCellMar>
      </w:tblPr>
      <w:tblGrid>
        <w:gridCol w:w="600"/>
        <w:gridCol w:w="2199"/>
        <w:gridCol w:w="6227"/>
      </w:tblGrid>
      <w:tr>
        <w:trPr>
          <w:tblHeader w:val="true"/>
          <w:cantSplit/>
        </w:trPr>
        <w:tc>
          <w:tcPr>
            <w:tcW w:w="6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w:t>
            </w:r>
          </w:p>
        </w:tc>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Layer</w:t>
            </w:r>
          </w:p>
        </w:tc>
        <w:tc>
          <w:tcPr>
            <w:tcW w:w="62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Responsibility</w:t>
            </w:r>
          </w:p>
        </w:tc>
      </w:tr>
      <w:tr>
        <w:trPr>
          <w:cantSplit/>
        </w:trPr>
        <w:tc>
          <w:tcPr>
            <w:tcW w:w="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1</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Users and channels</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Browsers on desktop and mobile; assisted-service centres use the same portal with an operator role</w:t>
            </w:r>
          </w:p>
        </w:tc>
      </w:tr>
      <w:tr>
        <w:trPr>
          <w:cantSplit/>
        </w:trPr>
        <w:tc>
          <w:tcPr>
            <w:tcW w:w="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2</w:t>
            </w:r>
          </w:p>
        </w:tc>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Edge and perimeter</w:t>
            </w:r>
          </w:p>
        </w:tc>
        <w:tc>
          <w:tcPr>
            <w:tcW w:w="6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CDN for static assets, DDoS mitigation, WAF filtering (OWASP rules), TLS termination, load distribution</w:t>
            </w:r>
          </w:p>
        </w:tc>
      </w:tr>
      <w:tr>
        <w:trPr>
          <w:cantSplit/>
        </w:trPr>
        <w:tc>
          <w:tcPr>
            <w:tcW w:w="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3</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Presentation</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React single-page applications: Citizen Portal and Staff/Admin Console; accessibility, i18n, client-side validation (convenience only)</w:t>
            </w:r>
          </w:p>
        </w:tc>
      </w:tr>
      <w:tr>
        <w:trPr>
          <w:cantSplit/>
        </w:trPr>
        <w:tc>
          <w:tcPr>
            <w:tcW w:w="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4</w:t>
            </w:r>
          </w:p>
        </w:tc>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API gateway</w:t>
            </w:r>
          </w:p>
        </w:tc>
        <w:tc>
          <w:tcPr>
            <w:tcW w:w="6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Single entry for all APIs: token validation, routing, rate limiting, request size limits, versioning, access logs</w:t>
            </w:r>
          </w:p>
        </w:tc>
      </w:tr>
      <w:tr>
        <w:trPr>
          <w:cantSplit/>
        </w:trPr>
        <w:tc>
          <w:tcPr>
            <w:tcW w:w="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5</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Core services</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Business logic: identity, profile, catalogue, application workflow, documents, notifications, grievances, reporting</w:t>
            </w:r>
          </w:p>
        </w:tc>
      </w:tr>
      <w:tr>
        <w:trPr>
          <w:cantSplit/>
        </w:trPr>
        <w:tc>
          <w:tcPr>
            <w:tcW w:w="6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6</w:t>
            </w:r>
          </w:p>
        </w:tc>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Middleware and integration</w:t>
            </w:r>
          </w:p>
        </w:tc>
        <w:tc>
          <w:tcPr>
            <w:tcW w:w="6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Message broker for asynchronous events, adapters for SMS/e-mail/payment/identity, audit-log pipeline</w:t>
            </w:r>
          </w:p>
        </w:tc>
      </w:tr>
      <w:tr>
        <w:trPr>
          <w:cantSplit/>
        </w:trPr>
        <w:tc>
          <w:tcPr>
            <w:tcW w:w="6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7</w:t>
            </w:r>
          </w:p>
        </w:tc>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Data and infrastructure</w:t>
            </w:r>
          </w:p>
        </w:tc>
        <w:tc>
          <w:tcPr>
            <w:tcW w:w="6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PostgreSQL, Redis, object storage, OpenSearch, secrets/key management, monitoring, hosting</w:t>
            </w:r>
          </w:p>
        </w:tc>
      </w:tr>
    </w:tbl>
    <w:p>
      <w:pPr>
        <w:pStyle w:val="Heading1"/>
        <w:keepNext w:val="true"/>
        <w:rPr>
          <w:rFonts w:ascii="Times New Roman" w:hAnsi="Times New Roman"/>
        </w:rPr>
      </w:pPr>
      <w:r>
        <w:rPr>
          <w:rFonts w:eastAsia="Calibri" w:cs="Calibri" w:ascii="Times New Roman" w:hAnsi="Times New Roman"/>
        </w:rPr>
        <w:t>4. Architectural Breakdown</w:t>
      </w:r>
    </w:p>
    <w:p>
      <w:pPr>
        <w:pStyle w:val="Heading2"/>
        <w:keepNext w:val="true"/>
        <w:rPr>
          <w:rFonts w:ascii="Times New Roman" w:hAnsi="Times New Roman"/>
          <w:color w:val="000000"/>
        </w:rPr>
      </w:pPr>
      <w:r>
        <w:rPr>
          <w:rFonts w:eastAsia="Calibri" w:cs="Calibri" w:ascii="Times New Roman" w:hAnsi="Times New Roman"/>
          <w:color w:val="000000"/>
        </w:rPr>
        <w:t>4.1 Front-End (Presentation Layer)</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Citizen Portal:</w:t>
      </w:r>
      <w:r>
        <w:rPr>
          <w:rFonts w:eastAsia="Calibri" w:cs="Calibri" w:ascii="Times New Roman" w:hAnsi="Times New Roman"/>
        </w:rPr>
        <w:t xml:space="preserve"> service catalogue, guided application form, document upload, My Applications tracker, notifications inbox, help/complaint form.</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Staff / Admin Console:</w:t>
      </w:r>
      <w:r>
        <w:rPr>
          <w:rFonts w:eastAsia="Calibri" w:cs="Calibri" w:ascii="Times New Roman" w:hAnsi="Times New Roman"/>
        </w:rPr>
        <w:t xml:space="preserve"> work queue with filters, application review screen, request-information action, reports, user and service administration.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Built as:</w:t>
      </w:r>
      <w:r>
        <w:rPr>
          <w:rFonts w:eastAsia="Calibri" w:cs="Calibri" w:ascii="Times New Roman" w:hAnsi="Times New Roman"/>
        </w:rPr>
        <w:t xml:space="preserve"> React + TypeScript SPAs served from the CDN; responsive (mobile-first), semantic HTML and ARIA for WCAG 2.2 AA; English and Hindi through i18n bundles.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Low-bandwidth design:</w:t>
      </w:r>
      <w:r>
        <w:rPr>
          <w:rFonts w:eastAsia="Calibri" w:cs="Calibri" w:ascii="Times New Roman" w:hAnsi="Times New Roman"/>
        </w:rPr>
        <w:t xml:space="preserve"> code splitting, compressed assets, image optimisation, form progress saved server-side (FR-05).</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Security in the browser:</w:t>
      </w:r>
      <w:r>
        <w:rPr>
          <w:rFonts w:eastAsia="Calibri" w:cs="Calibri" w:ascii="Times New Roman" w:hAnsi="Times New Roman"/>
        </w:rPr>
        <w:t xml:space="preserve"> Content-Security-Policy, secure + HttpOnly + SameSite cookies, no secrets in the client, tokens held in memory.</w:t>
      </w:r>
    </w:p>
    <w:p>
      <w:pPr>
        <w:pStyle w:val="Heading2"/>
        <w:keepNext w:val="true"/>
        <w:rPr>
          <w:rFonts w:ascii="Times New Roman" w:hAnsi="Times New Roman"/>
          <w:color w:val="000000"/>
        </w:rPr>
      </w:pPr>
      <w:r>
        <w:rPr>
          <w:rFonts w:eastAsia="Calibri" w:cs="Calibri" w:ascii="Times New Roman" w:hAnsi="Times New Roman"/>
          <w:color w:val="000000"/>
        </w:rPr>
        <w:t>4.2 API Gateway</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Validates the access token (signature, expiry, audience) before any request reaches a service.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Applies rate limits per IP and per user (e.g. 100 requests/min per user, stricter for login and OTP endpoints).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Rejects oversized or malformed requests; adds correlation ID to every request for tracing.</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Exposes versioned routes (/api/v1/...) so mobile or partner clients can evolve safely.</w:t>
      </w:r>
    </w:p>
    <w:p>
      <w:pPr>
        <w:pStyle w:val="Heading2"/>
        <w:keepNext w:val="true"/>
        <w:rPr>
          <w:rFonts w:ascii="Times New Roman" w:hAnsi="Times New Roman"/>
          <w:color w:val="000000"/>
        </w:rPr>
      </w:pPr>
      <w:r>
        <w:rPr>
          <w:rFonts w:eastAsia="Calibri" w:cs="Calibri" w:ascii="Times New Roman" w:hAnsi="Times New Roman"/>
          <w:color w:val="000000"/>
        </w:rPr>
        <w:t>4.3 Core Application Services</w:t>
      </w:r>
    </w:p>
    <w:tbl>
      <w:tblPr>
        <w:tblW w:w="9026" w:type="dxa"/>
        <w:jc w:val="start"/>
        <w:tblInd w:w="0" w:type="dxa"/>
        <w:tblLayout w:type="fixed"/>
        <w:tblCellMar>
          <w:top w:w="60" w:type="dxa"/>
          <w:start w:w="90" w:type="dxa"/>
          <w:bottom w:w="60" w:type="dxa"/>
          <w:end w:w="90" w:type="dxa"/>
        </w:tblCellMar>
      </w:tblPr>
      <w:tblGrid>
        <w:gridCol w:w="1899"/>
        <w:gridCol w:w="2901"/>
        <w:gridCol w:w="2000"/>
        <w:gridCol w:w="2226"/>
      </w:tblGrid>
      <w:tr>
        <w:trPr>
          <w:tblHeader w:val="true"/>
          <w:cantSplit/>
        </w:trPr>
        <w:tc>
          <w:tcPr>
            <w:tcW w:w="18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Service</w:t>
            </w:r>
          </w:p>
        </w:tc>
        <w:tc>
          <w:tcPr>
            <w:tcW w:w="29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Responsibility</w:t>
            </w:r>
          </w:p>
        </w:tc>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Owns data</w:t>
            </w:r>
          </w:p>
        </w:tc>
        <w:tc>
          <w:tcPr>
            <w:tcW w:w="22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Key APIs / events</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Identity &amp; Access</w:t>
            </w:r>
          </w:p>
        </w:tc>
        <w:tc>
          <w:tcPr>
            <w:tcW w:w="2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Registration, login, OTP/MFA, token issue, roles (FR-01, 14, 20)</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Users, credentials, roles</w:t>
            </w:r>
          </w:p>
        </w:tc>
        <w:tc>
          <w:tcPr>
            <w:tcW w:w="2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OIDC endpoints, /users, /roles</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Citizen Profile</w:t>
            </w:r>
          </w:p>
        </w:tc>
        <w:tc>
          <w:tcPr>
            <w:tcW w:w="2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View/update profile and contact preferences (FR-02)</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Profile, preferences</w:t>
            </w:r>
          </w:p>
        </w:tc>
        <w:tc>
          <w:tcPr>
            <w:tcW w:w="2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/profiles/me</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Service Catalogue</w:t>
            </w:r>
          </w:p>
        </w:tc>
        <w:tc>
          <w:tcPr>
            <w:tcW w:w="2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Services, eligibility, required documents, fees, form schema (FR-03, 18)</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Services, form schemas</w:t>
            </w:r>
          </w:p>
        </w:tc>
        <w:tc>
          <w:tcPr>
            <w:tcW w:w="2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/services, /services/{id}</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Application &amp; Workflow</w:t>
            </w:r>
          </w:p>
        </w:tc>
        <w:tc>
          <w:tcPr>
            <w:tcW w:w="2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Draft, validate, submit, assign, review, status history, queue (FR-04 to 11, 17)</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Applications, status history</w:t>
            </w:r>
          </w:p>
        </w:tc>
        <w:tc>
          <w:tcPr>
            <w:tcW w:w="2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/applications, /submit, /queue; emits ApplicationSubmitted, StatusChanged</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Document</w:t>
            </w:r>
          </w:p>
        </w:tc>
        <w:tc>
          <w:tcPr>
            <w:tcW w:w="2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Upload, validate, virus-scan, store, serve through signed URLs (FR-06)</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Document metadata, files</w:t>
            </w:r>
          </w:p>
        </w:tc>
        <w:tc>
          <w:tcPr>
            <w:tcW w:w="2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/documents; emits DocumentScanned</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Notification</w:t>
            </w:r>
          </w:p>
        </w:tc>
        <w:tc>
          <w:tcPr>
            <w:tcW w:w="2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Templates, channel choice, delivery, retry (FR-12)</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Notification log</w:t>
            </w:r>
          </w:p>
        </w:tc>
        <w:tc>
          <w:tcPr>
            <w:tcW w:w="2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Consumes events; calls SMS/e-mail adapters</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Grievance / Help</w:t>
            </w:r>
          </w:p>
        </w:tc>
        <w:tc>
          <w:tcPr>
            <w:tcW w:w="2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Complaint tickets and tracking reference (FR-13)</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Grievance tickets</w:t>
            </w:r>
          </w:p>
        </w:tc>
        <w:tc>
          <w:tcPr>
            <w:tcW w:w="2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/grievances; emits GrievanceRaised</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Reporting &amp; Analytics</w:t>
            </w:r>
          </w:p>
        </w:tc>
        <w:tc>
          <w:tcPr>
            <w:tcW w:w="2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Volumes, status, processing time, exports (FR-16)</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Aggregates (read-only)</w:t>
            </w:r>
          </w:p>
        </w:tc>
        <w:tc>
          <w:tcPr>
            <w:tcW w:w="2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/reports; reads replica + search index</w:t>
            </w:r>
          </w:p>
        </w:tc>
      </w:tr>
    </w:tbl>
    <w:p>
      <w:pPr>
        <w:pStyle w:val="Normal"/>
        <w:spacing w:before="0" w:after="60"/>
        <w:rPr>
          <w:rFonts w:ascii="Times New Roman" w:hAnsi="Times New Roman"/>
        </w:rPr>
      </w:pPr>
      <w:r>
        <w:rPr>
          <w:rFonts w:ascii="Times New Roman" w:hAnsi="Times New Roman"/>
        </w:rPr>
      </w:r>
    </w:p>
    <w:p>
      <w:pPr>
        <w:pStyle w:val="Normal"/>
        <w:spacing w:lineRule="auto" w:line="276" w:before="0" w:after="100"/>
        <w:jc w:val="start"/>
        <w:rPr>
          <w:rFonts w:ascii="Times New Roman" w:hAnsi="Times New Roman"/>
        </w:rPr>
      </w:pPr>
      <w:r>
        <w:rPr>
          <w:rFonts w:eastAsia="Calibri" w:cs="Calibri" w:ascii="Times New Roman" w:hAnsi="Times New Roman"/>
          <w:sz w:val="20"/>
          <w:szCs w:val="20"/>
        </w:rPr>
        <w:t xml:space="preserve">The </w:t>
      </w:r>
      <w:r>
        <w:rPr>
          <w:rFonts w:eastAsia="Calibri" w:cs="Calibri" w:ascii="Times New Roman" w:hAnsi="Times New Roman"/>
          <w:b/>
          <w:bCs/>
          <w:sz w:val="20"/>
          <w:szCs w:val="20"/>
        </w:rPr>
        <w:t>Audit</w:t>
      </w:r>
      <w:r>
        <w:rPr>
          <w:rFonts w:eastAsia="Calibri" w:cs="Calibri" w:ascii="Times New Roman" w:hAnsi="Times New Roman"/>
          <w:sz w:val="20"/>
          <w:szCs w:val="20"/>
        </w:rPr>
        <w:t xml:space="preserve"> capability (FR-15) is implemented as a pipeline in the middleware layer: every service publishes audit events that are written to an append-only store.</w:t>
      </w:r>
    </w:p>
    <w:p>
      <w:pPr>
        <w:pStyle w:val="Heading2"/>
        <w:keepNext w:val="true"/>
        <w:rPr>
          <w:rFonts w:ascii="Times New Roman" w:hAnsi="Times New Roman"/>
          <w:color w:val="000000"/>
        </w:rPr>
      </w:pPr>
      <w:r>
        <w:rPr>
          <w:rFonts w:eastAsia="Calibri" w:cs="Calibri" w:ascii="Times New Roman" w:hAnsi="Times New Roman"/>
          <w:color w:val="000000"/>
        </w:rPr>
        <w:t>4.4 Middleware and Integration</w:t>
      </w:r>
    </w:p>
    <w:tbl>
      <w:tblPr>
        <w:tblW w:w="9026" w:type="dxa"/>
        <w:jc w:val="start"/>
        <w:tblInd w:w="0" w:type="dxa"/>
        <w:tblLayout w:type="fixed"/>
        <w:tblCellMar>
          <w:top w:w="60" w:type="dxa"/>
          <w:start w:w="90" w:type="dxa"/>
          <w:bottom w:w="60" w:type="dxa"/>
          <w:end w:w="90" w:type="dxa"/>
        </w:tblCellMar>
      </w:tblPr>
      <w:tblGrid>
        <w:gridCol w:w="2400"/>
        <w:gridCol w:w="6626"/>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Component</w:t>
            </w:r>
          </w:p>
        </w:tc>
        <w:tc>
          <w:tcPr>
            <w:tcW w:w="6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Purpose and design</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Message broker (RabbitMQ)</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Durable queues and topics for domain events; retry with dead-letter queue; decouples slow tasks (SMS, scanning, indexing) from user requests</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Integration adapters</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One adapter per external system (SMS gateway, e-mail, payment, identity). Maps external formats to internal models, applies timeouts, retries and circuit breakers - an anti-corruption layer (NFR-12)</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External APIs (subject to approval)</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Optional DigiLocker / API Setu style document and identity verification; fall back to manual upload if unavailable</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Outbox pattern</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Events are first written to an outbox table in the same database transaction as the business change, then published - no lost events if the broker is briefly down</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Audit pipeline</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Consumes audit events, writes append-only hash-chained records, forwards copies to the SIEM</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4.5 Data Layer</w:t>
      </w:r>
    </w:p>
    <w:tbl>
      <w:tblPr>
        <w:tblW w:w="9026" w:type="dxa"/>
        <w:jc w:val="start"/>
        <w:tblInd w:w="0" w:type="dxa"/>
        <w:tblLayout w:type="fixed"/>
        <w:tblCellMar>
          <w:top w:w="60" w:type="dxa"/>
          <w:start w:w="90" w:type="dxa"/>
          <w:bottom w:w="60" w:type="dxa"/>
          <w:end w:w="90" w:type="dxa"/>
        </w:tblCellMar>
      </w:tblPr>
      <w:tblGrid>
        <w:gridCol w:w="2199"/>
        <w:gridCol w:w="3301"/>
        <w:gridCol w:w="3526"/>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Store</w:t>
            </w:r>
          </w:p>
        </w:tc>
        <w:tc>
          <w:tcPr>
            <w:tcW w:w="33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Used for</w:t>
            </w:r>
          </w:p>
        </w:tc>
        <w:tc>
          <w:tcPr>
            <w:tcW w:w="3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Why this store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PostgreSQL (primary + replica)</w:t>
            </w:r>
          </w:p>
        </w:tc>
        <w:tc>
          <w:tcPr>
            <w:tcW w:w="3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Users, applications, status history, catalogue, grievances, audit</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ACID transactions, constraints, JSONB for flexible form data, open source, mature replication</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Redis</w:t>
            </w:r>
          </w:p>
        </w:tc>
        <w:tc>
          <w:tcPr>
            <w:tcW w:w="3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Session data, catalogue cache, rate-limit counters, OTP expiry</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In-memory speed; reduces database load</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Object storage (S3-compatible)</w:t>
            </w:r>
          </w:p>
        </w:tc>
        <w:tc>
          <w:tcPr>
            <w:tcW w:w="3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Uploaded documents, generated certificates, backups</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Cheap, durable, scalable, per-object encryption and versioning</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OpenSearch</w:t>
            </w:r>
          </w:p>
        </w:tc>
        <w:tc>
          <w:tcPr>
            <w:tcW w:w="3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Staff search/filter (FR-17), centralised logs</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Fast full-text and faceted search without loading the primary database</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4.6 Infrastructure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Hosting:</w:t>
      </w:r>
      <w:r>
        <w:rPr>
          <w:rFonts w:eastAsia="Calibri" w:cs="Calibri" w:ascii="Times New Roman" w:hAnsi="Times New Roman"/>
        </w:rPr>
        <w:t xml:space="preserve"> MeitY-empanelled cloud or NIC / State Data Centre in India (final choice by department and procurement).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Runtime:</w:t>
      </w:r>
      <w:r>
        <w:rPr>
          <w:rFonts w:eastAsia="Calibri" w:cs="Calibri" w:ascii="Times New Roman" w:hAnsi="Times New Roman"/>
        </w:rPr>
        <w:t xml:space="preserve"> Docker containers orchestrated by Kubernetes; Helm charts and infrastructure-as-code for repeatable environments.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Supporting services:</w:t>
      </w:r>
      <w:r>
        <w:rPr>
          <w:rFonts w:eastAsia="Calibri" w:cs="Calibri" w:ascii="Times New Roman" w:hAnsi="Times New Roman"/>
        </w:rPr>
        <w:t xml:space="preserve"> Vault + KMS for secrets and keys; Prometheus, Grafana and OpenTelemetry for observability; ClamAV for malware scanning.</w:t>
      </w:r>
    </w:p>
    <w:p>
      <w:pPr>
        <w:pStyle w:val="Heading1"/>
        <w:keepNext w:val="true"/>
        <w:rPr>
          <w:rFonts w:ascii="Times New Roman" w:hAnsi="Times New Roman"/>
        </w:rPr>
      </w:pPr>
      <w:r>
        <w:rPr>
          <w:rFonts w:eastAsia="Calibri" w:cs="Calibri" w:ascii="Times New Roman" w:hAnsi="Times New Roman"/>
        </w:rPr>
        <w:t>5. Component Interactions</w:t>
      </w:r>
    </w:p>
    <w:p>
      <w:pPr>
        <w:pStyle w:val="Heading2"/>
        <w:keepNext w:val="true"/>
        <w:rPr>
          <w:rFonts w:ascii="Times New Roman" w:hAnsi="Times New Roman"/>
          <w:color w:val="000000"/>
        </w:rPr>
      </w:pPr>
      <w:r>
        <w:rPr>
          <w:rFonts w:eastAsia="Calibri" w:cs="Calibri" w:ascii="Times New Roman" w:hAnsi="Times New Roman"/>
          <w:color w:val="000000"/>
        </w:rPr>
        <w:t>5.1 Communication Patterns</w:t>
      </w:r>
    </w:p>
    <w:tbl>
      <w:tblPr>
        <w:tblW w:w="9026" w:type="dxa"/>
        <w:jc w:val="start"/>
        <w:tblInd w:w="0" w:type="dxa"/>
        <w:tblLayout w:type="fixed"/>
        <w:tblCellMar>
          <w:top w:w="60" w:type="dxa"/>
          <w:start w:w="90" w:type="dxa"/>
          <w:bottom w:w="60" w:type="dxa"/>
          <w:end w:w="90" w:type="dxa"/>
        </w:tblCellMar>
      </w:tblPr>
      <w:tblGrid>
        <w:gridCol w:w="1899"/>
        <w:gridCol w:w="2601"/>
        <w:gridCol w:w="4526"/>
      </w:tblGrid>
      <w:tr>
        <w:trPr>
          <w:tblHeader w:val="true"/>
          <w:cantSplit/>
        </w:trPr>
        <w:tc>
          <w:tcPr>
            <w:tcW w:w="18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Pattern</w:t>
            </w:r>
          </w:p>
        </w:tc>
        <w:tc>
          <w:tcPr>
            <w:tcW w:w="26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Used for</w:t>
            </w:r>
          </w:p>
        </w:tc>
        <w:tc>
          <w:tcPr>
            <w:tcW w:w="4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Rules</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Synchronous REST (HTTPS/JSON)</w:t>
            </w:r>
          </w:p>
        </w:tc>
        <w:tc>
          <w:tcPr>
            <w:tcW w:w="2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User-facing reads and writes that need an immediate answer</w:t>
            </w:r>
          </w:p>
        </w:tc>
        <w:tc>
          <w:tcPr>
            <w:tcW w:w="4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Always through the gateway; timeouts 3 s; idempotency keys on writes</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Asynchronous events (broker)</w:t>
            </w:r>
          </w:p>
        </w:tc>
        <w:tc>
          <w:tcPr>
            <w:tcW w:w="26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Notifications, audit, search indexing, reporting updates</w:t>
            </w:r>
          </w:p>
        </w:tc>
        <w:tc>
          <w:tcPr>
            <w:tcW w:w="4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At-least-once delivery; consumers are idempotent; failures go to dead-letter queue</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Scheduled batch</w:t>
            </w:r>
          </w:p>
        </w:tc>
        <w:tc>
          <w:tcPr>
            <w:tcW w:w="26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Retention clean-up, report pre-aggregation, backups</w:t>
            </w:r>
          </w:p>
        </w:tc>
        <w:tc>
          <w:tcPr>
            <w:tcW w:w="4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Run off-peak; logged and monitored</w:t>
            </w:r>
          </w:p>
        </w:tc>
      </w:tr>
    </w:tbl>
    <w:p>
      <w:pPr>
        <w:pStyle w:val="Normal"/>
        <w:spacing w:before="0" w:after="60"/>
        <w:rPr>
          <w:rFonts w:ascii="Times New Roman" w:hAnsi="Times New Roman"/>
        </w:rPr>
      </w:pPr>
      <w:r>
        <w:rPr>
          <w:rFonts w:ascii="Times New Roman" w:hAnsi="Times New Roman"/>
        </w:rPr>
      </w:r>
    </w:p>
    <w:tbl>
      <w:tblPr>
        <w:tblW w:w="9026" w:type="dxa"/>
        <w:jc w:val="start"/>
        <w:tblInd w:w="0" w:type="dxa"/>
        <w:tblLayout w:type="fixed"/>
        <w:tblCellMar>
          <w:top w:w="60" w:type="dxa"/>
          <w:start w:w="90" w:type="dxa"/>
          <w:bottom w:w="60" w:type="dxa"/>
          <w:end w:w="90" w:type="dxa"/>
        </w:tblCellMar>
      </w:tblPr>
      <w:tblGrid>
        <w:gridCol w:w="2299"/>
        <w:gridCol w:w="2400"/>
        <w:gridCol w:w="4327"/>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Event</w:t>
            </w:r>
          </w:p>
        </w:tc>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Published by</w:t>
            </w:r>
          </w:p>
        </w:tc>
        <w:tc>
          <w:tcPr>
            <w:tcW w:w="43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Consumed by</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ApplicationSubmitted</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Application Service</w:t>
            </w:r>
          </w:p>
        </w:tc>
        <w:tc>
          <w:tcPr>
            <w:tcW w:w="4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Notification (receipt), Audit, Search indexer, Reporting</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StatusChanged</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Application Service</w:t>
            </w:r>
          </w:p>
        </w:tc>
        <w:tc>
          <w:tcPr>
            <w:tcW w:w="4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Notification (status alert), Audit, Search indexer</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InfoRequested</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Application Service</w:t>
            </w:r>
          </w:p>
        </w:tc>
        <w:tc>
          <w:tcPr>
            <w:tcW w:w="4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Notification (action-required alert), Audit</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DocumentScanned</w:t>
            </w:r>
          </w:p>
        </w:tc>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Document Service</w:t>
            </w:r>
          </w:p>
        </w:tc>
        <w:tc>
          <w:tcPr>
            <w:tcW w:w="4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Application Service (unlock submission), Audit</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GrievanceRaised</w:t>
            </w:r>
          </w:p>
        </w:tc>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Grievance Service</w:t>
            </w:r>
          </w:p>
        </w:tc>
        <w:tc>
          <w:tcPr>
            <w:tcW w:w="4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Notification, Audit, Reporting</w:t>
            </w:r>
          </w:p>
        </w:tc>
      </w:tr>
    </w:tbl>
    <w:p>
      <w:pPr>
        <w:pStyle w:val="Normal"/>
        <w:spacing w:before="0" w:after="8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5.2 Worked Interaction: Submitting an Application</w:t>
      </w:r>
    </w:p>
    <w:p>
      <w:pPr>
        <w:pStyle w:val="Normal"/>
        <w:keepNext w:val="false"/>
        <w:spacing w:before="120" w:after="60"/>
        <w:jc w:val="center"/>
        <w:rPr>
          <w:rFonts w:ascii="Times New Roman" w:hAnsi="Times New Roman"/>
        </w:rPr>
      </w:pPr>
      <w:r>
        <w:rPr>
          <w:rFonts w:ascii="Times New Roman" w:hAnsi="Times New Roman"/>
        </w:rPr>
        <w:drawing>
          <wp:inline distT="0" distB="0" distL="0" distR="0">
            <wp:extent cx="5667375" cy="4400550"/>
            <wp:effectExtent l="0" t="0" r="0" b="0"/>
            <wp:docPr id="2" name="fig2_sequence" descr="fig2_sequence" title="fig2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equence" descr="fig2_sequence" title="fig2_sequence"/>
                    <pic:cNvPicPr>
                      <a:picLocks noChangeAspect="1" noChangeArrowheads="1"/>
                    </pic:cNvPicPr>
                  </pic:nvPicPr>
                  <pic:blipFill>
                    <a:blip r:embed="rId3"/>
                    <a:stretch>
                      <a:fillRect/>
                    </a:stretch>
                  </pic:blipFill>
                  <pic:spPr bwMode="auto">
                    <a:xfrm>
                      <a:off x="0" y="0"/>
                      <a:ext cx="5667375" cy="4400550"/>
                    </a:xfrm>
                    <a:prstGeom prst="rect">
                      <a:avLst/>
                    </a:prstGeom>
                    <a:noFill/>
                  </pic:spPr>
                </pic:pic>
              </a:graphicData>
            </a:graphic>
          </wp:inline>
        </w:drawing>
      </w:r>
    </w:p>
    <w:p>
      <w:pPr>
        <w:pStyle w:val="Normal"/>
        <w:keepNext w:val="true"/>
        <w:spacing w:lineRule="auto" w:line="276" w:before="0" w:after="40"/>
        <w:jc w:val="start"/>
        <w:rPr>
          <w:rFonts w:ascii="Times New Roman" w:hAnsi="Times New Roman"/>
        </w:rPr>
      </w:pPr>
      <w:r>
        <w:rPr>
          <w:rFonts w:eastAsia="Calibri" w:cs="Calibri" w:ascii="Times New Roman" w:hAnsi="Times New Roman"/>
          <w:b/>
          <w:bCs/>
        </w:rPr>
        <w:t>Key points: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Token is validated at the gateway (steps 3-4) so unauthenticated calls never reach services.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Draft and submission are separate ACID transactions; the reference number is created only after server-side validation (FR-07).</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The upload is virus-scanned and hashed before the application can be submitted (steps 9-10).</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Notification (steps 15-17) is asynchronous: if SMS is down, the citizen still receives the reference number on screen.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The Idempotency-Key header makes a repeated click or network retry return the original result, not a duplicate application.</w:t>
      </w:r>
    </w:p>
    <w:p>
      <w:pPr>
        <w:pStyle w:val="Heading2"/>
        <w:keepNext w:val="true"/>
        <w:rPr>
          <w:rFonts w:ascii="Times New Roman" w:hAnsi="Times New Roman"/>
          <w:color w:val="000000"/>
        </w:rPr>
      </w:pPr>
      <w:r>
        <w:rPr>
          <w:rFonts w:eastAsia="Calibri" w:cs="Calibri" w:ascii="Times New Roman" w:hAnsi="Times New Roman"/>
          <w:color w:val="000000"/>
        </w:rPr>
        <w:t>5.3 Application Lifecycle and Business Rules</w:t>
      </w:r>
    </w:p>
    <w:p>
      <w:pPr>
        <w:pStyle w:val="Normal"/>
        <w:keepNext w:val="false"/>
        <w:spacing w:before="120" w:after="60"/>
        <w:jc w:val="center"/>
        <w:rPr>
          <w:rFonts w:ascii="Times New Roman" w:hAnsi="Times New Roman"/>
        </w:rPr>
      </w:pPr>
      <w:r>
        <w:rPr>
          <w:rFonts w:ascii="Times New Roman" w:hAnsi="Times New Roman"/>
        </w:rPr>
        <w:drawing>
          <wp:inline distT="0" distB="0" distL="0" distR="0">
            <wp:extent cx="5762625" cy="1266825"/>
            <wp:effectExtent l="0" t="0" r="0" b="0"/>
            <wp:docPr id="3" name="fig4_state" descr="fig4_state" title="fig4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4_state" descr="fig4_state" title="fig4_state"/>
                    <pic:cNvPicPr>
                      <a:picLocks noChangeAspect="1" noChangeArrowheads="1"/>
                    </pic:cNvPicPr>
                  </pic:nvPicPr>
                  <pic:blipFill>
                    <a:blip r:embed="rId4"/>
                    <a:stretch>
                      <a:fillRect/>
                    </a:stretch>
                  </pic:blipFill>
                  <pic:spPr bwMode="auto">
                    <a:xfrm>
                      <a:off x="0" y="0"/>
                      <a:ext cx="5762625" cy="1266825"/>
                    </a:xfrm>
                    <a:prstGeom prst="rect">
                      <a:avLst/>
                    </a:prstGeom>
                    <a:noFill/>
                  </pic:spPr>
                </pic:pic>
              </a:graphicData>
            </a:graphic>
          </wp:inline>
        </w:drawing>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Only the transitions shown are allowed; any other change is rejected by the workflow engine (data integrity).</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Every transition writes a status-history row and an audit event with actor, role, time and remarks (FR-08, FR-15).</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Approve/Reject require the Case Officer or Supervisor role; Rejected needs a recorded reason.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Two officers cannot overwrite each other: updates carry a row version and a conflict returns HTTP 409.</w:t>
      </w:r>
    </w:p>
    <w:p>
      <w:pPr>
        <w:pStyle w:val="Heading2"/>
        <w:keepNext w:val="true"/>
        <w:rPr>
          <w:rFonts w:ascii="Times New Roman" w:hAnsi="Times New Roman"/>
          <w:color w:val="000000"/>
        </w:rPr>
      </w:pPr>
      <w:r>
        <w:rPr>
          <w:rFonts w:eastAsia="Calibri" w:cs="Calibri" w:ascii="Times New Roman" w:hAnsi="Times New Roman"/>
          <w:color w:val="000000"/>
        </w:rPr>
        <w:t>5.4 Failure Handling</w:t>
      </w:r>
    </w:p>
    <w:tbl>
      <w:tblPr>
        <w:tblW w:w="9026" w:type="dxa"/>
        <w:jc w:val="start"/>
        <w:tblInd w:w="0" w:type="dxa"/>
        <w:tblLayout w:type="fixed"/>
        <w:tblCellMar>
          <w:top w:w="60" w:type="dxa"/>
          <w:start w:w="90" w:type="dxa"/>
          <w:bottom w:w="60" w:type="dxa"/>
          <w:end w:w="90" w:type="dxa"/>
        </w:tblCellMar>
      </w:tblPr>
      <w:tblGrid>
        <w:gridCol w:w="3000"/>
        <w:gridCol w:w="6026"/>
      </w:tblGrid>
      <w:tr>
        <w:trPr>
          <w:tblHeader w:val="true"/>
          <w:cantSplit/>
        </w:trPr>
        <w:tc>
          <w:tcPr>
            <w:tcW w:w="3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Failure scenario</w:t>
            </w:r>
          </w:p>
        </w:tc>
        <w:tc>
          <w:tcPr>
            <w:tcW w:w="60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Designed behaviour</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SMS / e-mail provider unavailable</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Message stays queued; retries with exponential back-off; dead-letter queue after limit; in-portal notification still shown</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Virus-scan service unavailable</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File stays in Pending-scan state; submission blocked until clean; citizen sees a clear message</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Database primary fails</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Automatic promotion of replica; services reconnect with retry; no confirmed submission is lost (NFR-08)</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Message broker down</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Outbox table keeps events; publisher resumes when broker returns</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External verification API down</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Circuit breaker opens; citizen can upload documents manually; officer verifies</w:t>
            </w:r>
          </w:p>
        </w:tc>
      </w:tr>
      <w:tr>
        <w:trPr>
          <w:cantSplit/>
        </w:trPr>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Duplicate submit / double click</w:t>
            </w:r>
          </w:p>
        </w:tc>
        <w:tc>
          <w:tcPr>
            <w:tcW w:w="6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Idempotency key returns the original response</w:t>
            </w:r>
          </w:p>
        </w:tc>
      </w:tr>
      <w:tr>
        <w:trPr>
          <w:cantSplit/>
        </w:trPr>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Concurrent officer edits</w:t>
            </w:r>
          </w:p>
        </w:tc>
        <w:tc>
          <w:tcPr>
            <w:tcW w:w="6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Optimistic locking returns 409; officer reloads latest version</w:t>
            </w:r>
          </w:p>
        </w:tc>
      </w:tr>
    </w:tbl>
    <w:p>
      <w:pPr>
        <w:pStyle w:val="Heading1"/>
        <w:keepNext w:val="true"/>
        <w:rPr>
          <w:rFonts w:ascii="Times New Roman" w:hAnsi="Times New Roman"/>
        </w:rPr>
      </w:pPr>
      <w:r>
        <w:rPr>
          <w:rFonts w:eastAsia="Calibri" w:cs="Calibri" w:ascii="Times New Roman" w:hAnsi="Times New Roman"/>
        </w:rPr>
        <w:t>6. Data Architecture and Integrity</w:t>
      </w:r>
    </w:p>
    <w:p>
      <w:pPr>
        <w:pStyle w:val="Heading2"/>
        <w:keepNext w:val="true"/>
        <w:rPr>
          <w:rFonts w:ascii="Times New Roman" w:hAnsi="Times New Roman"/>
          <w:color w:val="000000"/>
        </w:rPr>
      </w:pPr>
      <w:r>
        <w:rPr>
          <w:rFonts w:eastAsia="Calibri" w:cs="Calibri" w:ascii="Times New Roman" w:hAnsi="Times New Roman"/>
          <w:color w:val="000000"/>
        </w:rPr>
        <w:t>6.1 Logical Data Model</w:t>
      </w:r>
    </w:p>
    <w:p>
      <w:pPr>
        <w:pStyle w:val="Normal"/>
        <w:keepNext w:val="false"/>
        <w:spacing w:before="120" w:after="60"/>
        <w:jc w:val="center"/>
        <w:rPr>
          <w:rFonts w:ascii="Times New Roman" w:hAnsi="Times New Roman"/>
        </w:rPr>
      </w:pPr>
      <w:r>
        <w:rPr>
          <w:rFonts w:ascii="Times New Roman" w:hAnsi="Times New Roman"/>
        </w:rPr>
        <w:drawing>
          <wp:inline distT="0" distB="0" distL="0" distR="0">
            <wp:extent cx="5486400" cy="4171950"/>
            <wp:effectExtent l="0" t="0" r="0" b="0"/>
            <wp:docPr id="4" name="fig3_erd" descr="fig3_erd" title="fig3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erd" descr="fig3_erd" title="fig3_erd"/>
                    <pic:cNvPicPr>
                      <a:picLocks noChangeAspect="1" noChangeArrowheads="1"/>
                    </pic:cNvPicPr>
                  </pic:nvPicPr>
                  <pic:blipFill>
                    <a:blip r:embed="rId5"/>
                    <a:stretch>
                      <a:fillRect/>
                    </a:stretch>
                  </pic:blipFill>
                  <pic:spPr bwMode="auto">
                    <a:xfrm>
                      <a:off x="0" y="0"/>
                      <a:ext cx="5486400" cy="4171950"/>
                    </a:xfrm>
                    <a:prstGeom prst="rect">
                      <a:avLst/>
                    </a:prstGeom>
                    <a:noFill/>
                  </pic:spPr>
                </pic:pic>
              </a:graphicData>
            </a:graphic>
          </wp:inline>
        </w:drawing>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Logical separation:</w:t>
      </w:r>
      <w:r>
        <w:rPr>
          <w:rFonts w:eastAsia="Calibri" w:cs="Calibri" w:ascii="Times New Roman" w:hAnsi="Times New Roman"/>
        </w:rPr>
        <w:t xml:space="preserve"> each service owns its own schema; no cross-schema joins. Services exchange data through APIs or events.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Hybrid form storage:</w:t>
      </w:r>
      <w:r>
        <w:rPr>
          <w:rFonts w:eastAsia="Calibri" w:cs="Calibri" w:ascii="Times New Roman" w:hAnsi="Times New Roman"/>
        </w:rPr>
        <w:t xml:space="preserve"> core fields (user, service, status, dates) are strict columns; service-specific form answers are stored as JSONB validated against the service's form schema, so new services need no database migration.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b/>
          <w:bCs/>
        </w:rPr>
        <w:t>Identifiers:</w:t>
      </w:r>
      <w:r>
        <w:rPr>
          <w:rFonts w:eastAsia="Calibri" w:cs="Calibri" w:ascii="Times New Roman" w:hAnsi="Times New Roman"/>
        </w:rPr>
        <w:t xml:space="preserve"> UUIDs for primary keys (non-guessable); a separate human-friendly reference number for citizens.</w:t>
      </w:r>
    </w:p>
    <w:p>
      <w:pPr>
        <w:pStyle w:val="Heading2"/>
        <w:keepNext w:val="true"/>
        <w:rPr>
          <w:rFonts w:ascii="Times New Roman" w:hAnsi="Times New Roman"/>
          <w:color w:val="000000"/>
        </w:rPr>
      </w:pPr>
      <w:r>
        <w:rPr>
          <w:rFonts w:eastAsia="Calibri" w:cs="Calibri" w:ascii="Times New Roman" w:hAnsi="Times New Roman"/>
          <w:color w:val="000000"/>
        </w:rPr>
        <w:t>6.2 Data Classification and Handling</w:t>
      </w:r>
    </w:p>
    <w:tbl>
      <w:tblPr>
        <w:tblW w:w="9026" w:type="dxa"/>
        <w:jc w:val="start"/>
        <w:tblInd w:w="0" w:type="dxa"/>
        <w:tblLayout w:type="fixed"/>
        <w:tblCellMar>
          <w:top w:w="60" w:type="dxa"/>
          <w:start w:w="90" w:type="dxa"/>
          <w:bottom w:w="60" w:type="dxa"/>
          <w:end w:w="90" w:type="dxa"/>
        </w:tblCellMar>
      </w:tblPr>
      <w:tblGrid>
        <w:gridCol w:w="1500"/>
        <w:gridCol w:w="2699"/>
        <w:gridCol w:w="4827"/>
      </w:tblGrid>
      <w:tr>
        <w:trPr>
          <w:tblHeader w:val="true"/>
          <w:cantSplit/>
        </w:trPr>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Class</w:t>
            </w:r>
          </w:p>
        </w:tc>
        <w:tc>
          <w:tcPr>
            <w:tcW w:w="2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Examples</w:t>
            </w:r>
          </w:p>
        </w:tc>
        <w:tc>
          <w:tcPr>
            <w:tcW w:w="4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Controls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Public</w:t>
            </w:r>
          </w:p>
        </w:tc>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Service catalogue, fee schedule, help text</w:t>
            </w:r>
          </w:p>
        </w:tc>
        <w:tc>
          <w:tcPr>
            <w:tcW w:w="4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Integrity protection; cacheable on CDN</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Internal</w:t>
            </w:r>
          </w:p>
        </w:tc>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Reports without personal data, system logs (masked)</w:t>
            </w:r>
          </w:p>
        </w:tc>
        <w:tc>
          <w:tcPr>
            <w:tcW w:w="4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Authenticated access; masking of identifiers in logs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Confidential (personal data)</w:t>
            </w:r>
          </w:p>
        </w:tc>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Name, address, mobile, e-mail, application answers</w:t>
            </w:r>
          </w:p>
        </w:tc>
        <w:tc>
          <w:tcPr>
            <w:tcW w:w="4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RBAC + ownership check, TLS, encrypted storage, access logged</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Restricted</w:t>
            </w:r>
          </w:p>
        </w:tc>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Uploaded identity/income documents, credentials, keys, audit log</w:t>
            </w:r>
          </w:p>
        </w:tc>
        <w:tc>
          <w:tcPr>
            <w:tcW w:w="4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Field/object encryption with KMS keys, tight access, no export without approval, tamper-evident logging</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6.3 Integrity Mechanisms</w:t>
      </w:r>
    </w:p>
    <w:tbl>
      <w:tblPr>
        <w:tblW w:w="9026" w:type="dxa"/>
        <w:jc w:val="start"/>
        <w:tblInd w:w="0" w:type="dxa"/>
        <w:tblLayout w:type="fixed"/>
        <w:tblCellMar>
          <w:top w:w="60" w:type="dxa"/>
          <w:start w:w="90" w:type="dxa"/>
          <w:bottom w:w="60" w:type="dxa"/>
          <w:end w:w="90" w:type="dxa"/>
        </w:tblCellMar>
      </w:tblPr>
      <w:tblGrid>
        <w:gridCol w:w="2699"/>
        <w:gridCol w:w="6327"/>
      </w:tblGrid>
      <w:tr>
        <w:trPr>
          <w:tblHeader w:val="true"/>
          <w:cantSplit/>
        </w:trPr>
        <w:tc>
          <w:tcPr>
            <w:tcW w:w="2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Mechanism</w:t>
            </w:r>
          </w:p>
        </w:tc>
        <w:tc>
          <w:tcPr>
            <w:tcW w:w="63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How it protects the data</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ACID transactions</w:t>
            </w:r>
          </w:p>
        </w:tc>
        <w:tc>
          <w:tcPr>
            <w:tcW w:w="6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Application, status history and outbox event are committed together or not at all</w:t>
            </w:r>
          </w:p>
        </w:tc>
      </w:tr>
      <w:tr>
        <w:trPr>
          <w:cantSplit/>
        </w:trPr>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Constraints</w:t>
            </w:r>
          </w:p>
        </w:tc>
        <w:tc>
          <w:tcPr>
            <w:tcW w:w="6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Primary/foreign keys, NOT NULL, unique reference number, CHECK on allowed status values</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Workflow state machine</w:t>
            </w:r>
          </w:p>
        </w:tc>
        <w:tc>
          <w:tcPr>
            <w:tcW w:w="6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Prevents illegal status jumps (e.g. Draft to Approved)</w:t>
            </w:r>
          </w:p>
        </w:tc>
      </w:tr>
      <w:tr>
        <w:trPr>
          <w:cantSplit/>
        </w:trPr>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Optimistic locking</w:t>
            </w:r>
          </w:p>
        </w:tc>
        <w:tc>
          <w:tcPr>
            <w:tcW w:w="6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row_version column prevents lost updates</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Idempotency keys</w:t>
            </w:r>
          </w:p>
        </w:tc>
        <w:tc>
          <w:tcPr>
            <w:tcW w:w="6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Prevents duplicate applications and double payments</w:t>
            </w:r>
          </w:p>
        </w:tc>
      </w:tr>
      <w:tr>
        <w:trPr>
          <w:cantSplit/>
        </w:trPr>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Input validation</w:t>
            </w:r>
          </w:p>
        </w:tc>
        <w:tc>
          <w:tcPr>
            <w:tcW w:w="6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Server-side validation against form schema; client validation only improves usability</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Document checksums</w:t>
            </w:r>
          </w:p>
        </w:tc>
        <w:tc>
          <w:tcPr>
            <w:tcW w:w="6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SHA-256 stored at upload; re-verified on download to detect tampering or corruption</w:t>
            </w:r>
          </w:p>
        </w:tc>
      </w:tr>
      <w:tr>
        <w:trPr>
          <w:cantSplit/>
        </w:trPr>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Hash-chained audit log</w:t>
            </w:r>
          </w:p>
        </w:tc>
        <w:tc>
          <w:tcPr>
            <w:tcW w:w="6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Each audit row stores the hash of the previous row; any edit or deletion breaks the chain and is detected</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Backups and restore tests</w:t>
            </w:r>
          </w:p>
        </w:tc>
        <w:tc>
          <w:tcPr>
            <w:tcW w:w="6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Verified, encrypted backups with scheduled restore drills</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6.4 Privacy and Retention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Collect only fields the service rule needs (data minimisation, NFR-05); show purpose and notice at the point of collection.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Retention schedule per record type approved by the department; scheduled jobs archive or delete after the period.</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Development and test environments use synthetic or anonymised data only.</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Aadhaar numbers or similar national identifiers are not stored unless the law and the department explicitly require it; if required, they are masked and field-encrypted.</w:t>
      </w:r>
    </w:p>
    <w:p>
      <w:pPr>
        <w:pStyle w:val="Heading1"/>
        <w:keepNext w:val="true"/>
        <w:rPr>
          <w:rFonts w:ascii="Times New Roman" w:hAnsi="Times New Roman"/>
        </w:rPr>
      </w:pPr>
      <w:r>
        <w:rPr>
          <w:rFonts w:eastAsia="Calibri" w:cs="Calibri" w:ascii="Times New Roman" w:hAnsi="Times New Roman"/>
        </w:rPr>
        <w:t>7. Technology Choices and Justification</w:t>
      </w:r>
    </w:p>
    <w:p>
      <w:pPr>
        <w:pStyle w:val="Normal"/>
        <w:keepNext w:val="true"/>
        <w:spacing w:lineRule="auto" w:line="276" w:before="0" w:after="100"/>
        <w:jc w:val="start"/>
        <w:rPr>
          <w:rFonts w:ascii="Times New Roman" w:hAnsi="Times New Roman"/>
        </w:rPr>
      </w:pPr>
      <w:r>
        <w:rPr>
          <w:rFonts w:eastAsia="Calibri" w:cs="Calibri" w:ascii="Times New Roman" w:hAnsi="Times New Roman"/>
        </w:rPr>
        <w:t xml:space="preserve">Selection criteria, in priority order: </w:t>
      </w:r>
      <w:r>
        <w:rPr>
          <w:rFonts w:eastAsia="Calibri" w:cs="Calibri" w:ascii="Times New Roman" w:hAnsi="Times New Roman"/>
          <w:b/>
          <w:bCs/>
        </w:rPr>
        <w:t>security, scalability, maintainability</w:t>
      </w:r>
      <w:r>
        <w:rPr>
          <w:rFonts w:eastAsia="Calibri" w:cs="Calibri" w:ascii="Times New Roman" w:hAnsi="Times New Roman"/>
        </w:rPr>
        <w:t>, then ecosystem and talent, cost, and fit with government practice (open source, India hosting).</w:t>
      </w:r>
    </w:p>
    <w:tbl>
      <w:tblPr>
        <w:tblW w:w="9026" w:type="dxa"/>
        <w:jc w:val="start"/>
        <w:tblInd w:w="0" w:type="dxa"/>
        <w:tblLayout w:type="fixed"/>
        <w:tblCellMar>
          <w:top w:w="60" w:type="dxa"/>
          <w:start w:w="90" w:type="dxa"/>
          <w:bottom w:w="60" w:type="dxa"/>
          <w:end w:w="90" w:type="dxa"/>
        </w:tblCellMar>
      </w:tblPr>
      <w:tblGrid>
        <w:gridCol w:w="1500"/>
        <w:gridCol w:w="1799"/>
        <w:gridCol w:w="2001"/>
        <w:gridCol w:w="3726"/>
      </w:tblGrid>
      <w:tr>
        <w:trPr>
          <w:tblHeader w:val="true"/>
          <w:cantSplit/>
        </w:trPr>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Layer</w:t>
            </w:r>
          </w:p>
        </w:tc>
        <w:tc>
          <w:tcPr>
            <w:tcW w:w="1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Choice</w:t>
            </w:r>
          </w:p>
        </w:tc>
        <w:tc>
          <w:tcPr>
            <w:tcW w:w="20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Alternatives considered</w:t>
            </w:r>
          </w:p>
        </w:tc>
        <w:tc>
          <w:tcPr>
            <w:tcW w:w="37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Justification</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Front-end</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React + TypeScript, accessible component library</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Angular, Vue, server-rendered pages</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Large ecosystem, component reuse across portal and console, type safety lowers defects, strong accessibility tooling (axe, ARIA patterns)</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Back-end</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Java 17 + Spring Boot</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Django, NestJS, .NET</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Mature security framework (Spring Security), proven at large scale, wide adoption in Indian government IT, strong tooling and talent pool (see 7.1)</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API style</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REST/JSON with OpenAPI 3</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GraphQL, SOAP</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Simple, cacheable, easy to secure and document; matches Open API practice</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Identity</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Keycloak (OIDC / OAuth 2.0, TOTP MFA)</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Custom auth, Auth0 (SaaS)</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Open source, self-hosted in India, standards-based, avoids writing risky custom authentication; integrates with national identity later</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Database</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PostgreSQL 15+</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MySQL, Oracle, MongoDB</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ACID, strong constraints, JSONB, row-level security, replication, no licence cost; relational model suits applications and audit</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Cache</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Redis</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Memcached</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Data structures for sessions, counters, TTLs; high availability options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Messaging</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RabbitMQ</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Apache Kafka, cloud queues</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Simpler to run for pilot volumes, durable queues, dead-letter support; Kafka is the upgrade path at state scale</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Documents</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S3-compatible object storage (MinIO / provider)</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Database BLOBs, file server</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Scales cheaply, versioning, per-object encryption, keeps database small</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Search / logs</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OpenSearch</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Elasticsearch, DB LIKE queries</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Open licence, fast filtering for work queues, shared platform for logs</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Gateway / edge</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Kong or Spring Cloud Gateway, NGINX, WAF</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Cloud-specific gateways</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Portable, plugin support for auth and rate limits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Containers</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Docker + Kubernetes + Helm</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VMs only, Docker Compose</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Autoscaling, self-healing, rolling updates; Compose acceptable for a developer machine only</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CI/CD</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GitHub Actions or GitLab CI, SonarQube, OWASP Dependency-Check, Trivy</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Manual deployments</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Automated, repeatable and secure delivery with scanning gates</w:t>
            </w:r>
          </w:p>
        </w:tc>
      </w:tr>
      <w:tr>
        <w:trPr>
          <w:cantSplit/>
        </w:trPr>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Observability</w:t>
            </w:r>
          </w:p>
        </w:tc>
        <w:tc>
          <w:tcPr>
            <w:tcW w:w="1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Prometheus, Grafana, OpenTelemetry, OpenSearch Dashboards</w:t>
            </w:r>
          </w:p>
        </w:tc>
        <w:tc>
          <w:tcPr>
            <w:tcW w:w="2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Proprietary APM</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Open source; covers metrics, traces and logs</w:t>
            </w:r>
          </w:p>
        </w:tc>
      </w:tr>
      <w:tr>
        <w:trPr>
          <w:cantSplit/>
        </w:trPr>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Secrets / keys</w:t>
            </w:r>
          </w:p>
        </w:tc>
        <w:tc>
          <w:tcPr>
            <w:tcW w:w="1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HashiCorp Vault + KMS/HSM</w:t>
            </w:r>
          </w:p>
        </w:tc>
        <w:tc>
          <w:tcPr>
            <w:tcW w:w="2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Environment variables, config files</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6"/>
                <w:szCs w:val="16"/>
              </w:rPr>
              <w:t>Central rotation, access policy and audit of secrets</w:t>
            </w:r>
          </w:p>
        </w:tc>
      </w:tr>
    </w:tbl>
    <w:p>
      <w:pPr>
        <w:pStyle w:val="Normal"/>
        <w:spacing w:before="0" w:after="8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7.1 Weighted Decision Matrix: Back-End Framework</w:t>
      </w:r>
    </w:p>
    <w:tbl>
      <w:tblPr>
        <w:tblW w:w="9026" w:type="dxa"/>
        <w:jc w:val="start"/>
        <w:tblInd w:w="0" w:type="dxa"/>
        <w:tblLayout w:type="fixed"/>
        <w:tblCellMar>
          <w:top w:w="60" w:type="dxa"/>
          <w:start w:w="90" w:type="dxa"/>
          <w:bottom w:w="60" w:type="dxa"/>
          <w:end w:w="90" w:type="dxa"/>
        </w:tblCellMar>
      </w:tblPr>
      <w:tblGrid>
        <w:gridCol w:w="1825"/>
        <w:gridCol w:w="1001"/>
        <w:gridCol w:w="1000"/>
        <w:gridCol w:w="1000"/>
        <w:gridCol w:w="1000"/>
        <w:gridCol w:w="1000"/>
        <w:gridCol w:w="1000"/>
        <w:gridCol w:w="1200"/>
      </w:tblGrid>
      <w:tr>
        <w:trPr>
          <w:tblHeader w:val="true"/>
          <w:cantSplit/>
        </w:trPr>
        <w:tc>
          <w:tcPr>
            <w:tcW w:w="182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Framework (score 1-5)</w:t>
            </w:r>
          </w:p>
        </w:tc>
        <w:tc>
          <w:tcPr>
            <w:tcW w:w="10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40"/>
              <w:jc w:val="start"/>
              <w:rPr>
                <w:rFonts w:ascii="Times New Roman" w:hAnsi="Times New Roman"/>
              </w:rPr>
            </w:pPr>
            <w:r>
              <w:rPr>
                <w:rFonts w:eastAsia="Calibri" w:cs="Calibri" w:ascii="Times New Roman" w:hAnsi="Times New Roman"/>
                <w:b/>
                <w:bCs/>
                <w:color w:val="FFFFFF"/>
                <w:sz w:val="16"/>
                <w:szCs w:val="16"/>
              </w:rPr>
              <w:t>Security</w:t>
            </w:r>
          </w:p>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(25%)</w:t>
            </w:r>
          </w:p>
        </w:tc>
        <w:tc>
          <w:tcPr>
            <w:tcW w:w="1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40"/>
              <w:jc w:val="start"/>
              <w:rPr>
                <w:rFonts w:ascii="Times New Roman" w:hAnsi="Times New Roman"/>
              </w:rPr>
            </w:pPr>
            <w:r>
              <w:rPr>
                <w:rFonts w:eastAsia="Calibri" w:cs="Calibri" w:ascii="Times New Roman" w:hAnsi="Times New Roman"/>
                <w:b/>
                <w:bCs/>
                <w:color w:val="FFFFFF"/>
                <w:sz w:val="16"/>
                <w:szCs w:val="16"/>
              </w:rPr>
              <w:t>Scalability</w:t>
            </w:r>
          </w:p>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(20%)</w:t>
            </w:r>
          </w:p>
        </w:tc>
        <w:tc>
          <w:tcPr>
            <w:tcW w:w="1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40"/>
              <w:jc w:val="start"/>
              <w:rPr>
                <w:rFonts w:ascii="Times New Roman" w:hAnsi="Times New Roman"/>
              </w:rPr>
            </w:pPr>
            <w:r>
              <w:rPr>
                <w:rFonts w:eastAsia="Calibri" w:cs="Calibri" w:ascii="Times New Roman" w:hAnsi="Times New Roman"/>
                <w:b/>
                <w:bCs/>
                <w:color w:val="FFFFFF"/>
                <w:sz w:val="16"/>
                <w:szCs w:val="16"/>
              </w:rPr>
              <w:t>Maintainability</w:t>
            </w:r>
          </w:p>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(20%)</w:t>
            </w:r>
          </w:p>
        </w:tc>
        <w:tc>
          <w:tcPr>
            <w:tcW w:w="1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40"/>
              <w:jc w:val="start"/>
              <w:rPr>
                <w:rFonts w:ascii="Times New Roman" w:hAnsi="Times New Roman"/>
              </w:rPr>
            </w:pPr>
            <w:r>
              <w:rPr>
                <w:rFonts w:eastAsia="Calibri" w:cs="Calibri" w:ascii="Times New Roman" w:hAnsi="Times New Roman"/>
                <w:b/>
                <w:bCs/>
                <w:color w:val="FFFFFF"/>
                <w:sz w:val="16"/>
                <w:szCs w:val="16"/>
              </w:rPr>
              <w:t>Ecosystem / talent</w:t>
            </w:r>
          </w:p>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(15%)</w:t>
            </w:r>
          </w:p>
        </w:tc>
        <w:tc>
          <w:tcPr>
            <w:tcW w:w="1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40"/>
              <w:jc w:val="start"/>
              <w:rPr>
                <w:rFonts w:ascii="Times New Roman" w:hAnsi="Times New Roman"/>
              </w:rPr>
            </w:pPr>
            <w:r>
              <w:rPr>
                <w:rFonts w:eastAsia="Calibri" w:cs="Calibri" w:ascii="Times New Roman" w:hAnsi="Times New Roman"/>
                <w:b/>
                <w:bCs/>
                <w:color w:val="FFFFFF"/>
                <w:sz w:val="16"/>
                <w:szCs w:val="16"/>
              </w:rPr>
              <w:t>Cost / licensing</w:t>
            </w:r>
          </w:p>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(10%)</w:t>
            </w:r>
          </w:p>
        </w:tc>
        <w:tc>
          <w:tcPr>
            <w:tcW w:w="1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40"/>
              <w:jc w:val="start"/>
              <w:rPr>
                <w:rFonts w:ascii="Times New Roman" w:hAnsi="Times New Roman"/>
              </w:rPr>
            </w:pPr>
            <w:r>
              <w:rPr>
                <w:rFonts w:eastAsia="Calibri" w:cs="Calibri" w:ascii="Times New Roman" w:hAnsi="Times New Roman"/>
                <w:b/>
                <w:bCs/>
                <w:color w:val="FFFFFF"/>
                <w:sz w:val="16"/>
                <w:szCs w:val="16"/>
              </w:rPr>
              <w:t>Government adoption</w:t>
            </w:r>
          </w:p>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(10%)</w:t>
            </w:r>
          </w:p>
        </w:tc>
        <w:tc>
          <w:tcPr>
            <w:tcW w:w="12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Weighted total</w:t>
            </w:r>
          </w:p>
        </w:tc>
      </w:tr>
      <w:tr>
        <w:trPr>
          <w:cantSplit/>
        </w:trPr>
        <w:tc>
          <w:tcPr>
            <w:tcW w:w="1825"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Spring Boot (Java)</w:t>
            </w:r>
          </w:p>
        </w:tc>
        <w:tc>
          <w:tcPr>
            <w:tcW w:w="1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2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4.80 / 5</w:t>
            </w:r>
          </w:p>
        </w:tc>
      </w:tr>
      <w:tr>
        <w:trPr>
          <w:cantSplit/>
        </w:trPr>
        <w:tc>
          <w:tcPr>
            <w:tcW w:w="1825"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ASP.NET Core</w:t>
            </w:r>
          </w:p>
        </w:tc>
        <w:tc>
          <w:tcPr>
            <w:tcW w:w="1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3</w:t>
            </w:r>
          </w:p>
        </w:tc>
        <w:tc>
          <w:tcPr>
            <w:tcW w:w="12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4.35 / 5</w:t>
            </w:r>
          </w:p>
        </w:tc>
      </w:tr>
      <w:tr>
        <w:trPr>
          <w:cantSplit/>
        </w:trPr>
        <w:tc>
          <w:tcPr>
            <w:tcW w:w="1825"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Django (Python)</w:t>
            </w:r>
          </w:p>
        </w:tc>
        <w:tc>
          <w:tcPr>
            <w:tcW w:w="10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3</w:t>
            </w:r>
          </w:p>
        </w:tc>
        <w:tc>
          <w:tcPr>
            <w:tcW w:w="12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4.20 / 5</w:t>
            </w:r>
          </w:p>
        </w:tc>
      </w:tr>
      <w:tr>
        <w:trPr>
          <w:cantSplit/>
        </w:trPr>
        <w:tc>
          <w:tcPr>
            <w:tcW w:w="1825"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6"/>
                <w:szCs w:val="16"/>
              </w:rPr>
              <w:t>NestJS (Node.js)</w:t>
            </w:r>
          </w:p>
        </w:tc>
        <w:tc>
          <w:tcPr>
            <w:tcW w:w="10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5</w:t>
            </w:r>
          </w:p>
        </w:tc>
        <w:tc>
          <w:tcPr>
            <w:tcW w:w="1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3</w:t>
            </w:r>
          </w:p>
        </w:tc>
        <w:tc>
          <w:tcPr>
            <w:tcW w:w="12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6"/>
                <w:szCs w:val="16"/>
              </w:rPr>
              <w:t>4.15 / 5</w:t>
            </w:r>
          </w:p>
        </w:tc>
      </w:tr>
    </w:tbl>
    <w:p>
      <w:pPr>
        <w:pStyle w:val="Normal"/>
        <w:spacing w:lineRule="auto" w:line="276" w:before="0" w:after="100"/>
        <w:jc w:val="start"/>
        <w:rPr>
          <w:rFonts w:ascii="Times New Roman" w:hAnsi="Times New Roman"/>
        </w:rPr>
      </w:pPr>
      <w:r>
        <w:rPr>
          <w:rFonts w:eastAsia="Calibri" w:cs="Calibri" w:ascii="Times New Roman" w:hAnsi="Times New Roman"/>
          <w:sz w:val="20"/>
          <w:szCs w:val="20"/>
        </w:rPr>
        <w:t>Scores are the author's engineering judgement for this context and should be validated with the project team. Spring Boot leads mainly on security tooling, scalability track record and government adoption. A team strong in another framework could still deliver the same architecture, because services interact only through REST and events.</w:t>
      </w:r>
    </w:p>
    <w:p>
      <w:pPr>
        <w:pStyle w:val="Heading1"/>
        <w:keepNext w:val="true"/>
        <w:rPr>
          <w:rFonts w:ascii="Times New Roman" w:hAnsi="Times New Roman"/>
        </w:rPr>
      </w:pPr>
      <w:r>
        <w:rPr>
          <w:rFonts w:eastAsia="Calibri" w:cs="Calibri" w:ascii="Times New Roman" w:hAnsi="Times New Roman"/>
        </w:rPr>
        <w:t>8. Security Architecture</w:t>
      </w:r>
    </w:p>
    <w:p>
      <w:pPr>
        <w:pStyle w:val="Heading2"/>
        <w:keepNext w:val="true"/>
        <w:rPr>
          <w:rFonts w:ascii="Times New Roman" w:hAnsi="Times New Roman"/>
          <w:color w:val="000000"/>
        </w:rPr>
      </w:pPr>
      <w:r>
        <w:rPr>
          <w:rFonts w:eastAsia="Calibri" w:cs="Calibri" w:ascii="Times New Roman" w:hAnsi="Times New Roman"/>
          <w:color w:val="000000"/>
        </w:rPr>
        <w:t>8.1 Defence in Depth: Network Zones</w:t>
      </w:r>
    </w:p>
    <w:p>
      <w:pPr>
        <w:pStyle w:val="Normal"/>
        <w:keepNext w:val="false"/>
        <w:spacing w:before="120" w:after="60"/>
        <w:jc w:val="center"/>
        <w:rPr>
          <w:rFonts w:ascii="Times New Roman" w:hAnsi="Times New Roman"/>
        </w:rPr>
      </w:pPr>
      <w:r>
        <w:rPr>
          <w:rFonts w:ascii="Times New Roman" w:hAnsi="Times New Roman"/>
        </w:rPr>
        <w:drawing>
          <wp:inline distT="0" distB="0" distL="0" distR="0">
            <wp:extent cx="5486400" cy="4191000"/>
            <wp:effectExtent l="0" t="0" r="0" b="0"/>
            <wp:docPr id="5" name="fig5_zones" descr="fig5_zones" title="fig5_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zones" descr="fig5_zones" title="fig5_zones"/>
                    <pic:cNvPicPr>
                      <a:picLocks noChangeAspect="1" noChangeArrowheads="1"/>
                    </pic:cNvPicPr>
                  </pic:nvPicPr>
                  <pic:blipFill>
                    <a:blip r:embed="rId6"/>
                    <a:stretch>
                      <a:fillRect/>
                    </a:stretch>
                  </pic:blipFill>
                  <pic:spPr bwMode="auto">
                    <a:xfrm>
                      <a:off x="0" y="0"/>
                      <a:ext cx="5486400" cy="4191000"/>
                    </a:xfrm>
                    <a:prstGeom prst="rect">
                      <a:avLst/>
                    </a:prstGeom>
                    <a:noFill/>
                  </pic:spPr>
                </pic:pic>
              </a:graphicData>
            </a:graphic>
          </wp:inline>
        </w:drawing>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Only the load balancer is reachable from the internet; the data tier has no internet route.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Firewall/security-group rules allow only the minimum flows (gateway to services, service accounts to database ports).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Administrators reach servers only through a VPN/bastion with MFA and session logging.</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Kubernetes network policies restrict pod-to-pod traffic; internal service calls use mutual TLS.</w:t>
      </w:r>
    </w:p>
    <w:p>
      <w:pPr>
        <w:pStyle w:val="Heading2"/>
        <w:keepNext w:val="true"/>
        <w:rPr>
          <w:rFonts w:ascii="Times New Roman" w:hAnsi="Times New Roman"/>
          <w:color w:val="000000"/>
        </w:rPr>
      </w:pPr>
      <w:r>
        <w:rPr>
          <w:rFonts w:eastAsia="Calibri" w:cs="Calibri" w:ascii="Times New Roman" w:hAnsi="Times New Roman"/>
          <w:color w:val="000000"/>
        </w:rPr>
        <w:t>8.2 Authentication and Session Management</w:t>
      </w:r>
    </w:p>
    <w:tbl>
      <w:tblPr>
        <w:tblW w:w="9026" w:type="dxa"/>
        <w:jc w:val="start"/>
        <w:tblInd w:w="0" w:type="dxa"/>
        <w:tblLayout w:type="fixed"/>
        <w:tblCellMar>
          <w:top w:w="60" w:type="dxa"/>
          <w:start w:w="90" w:type="dxa"/>
          <w:bottom w:w="60" w:type="dxa"/>
          <w:end w:w="90" w:type="dxa"/>
        </w:tblCellMar>
      </w:tblPr>
      <w:tblGrid>
        <w:gridCol w:w="2400"/>
        <w:gridCol w:w="6626"/>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Control</w:t>
            </w:r>
          </w:p>
        </w:tc>
        <w:tc>
          <w:tcPr>
            <w:tcW w:w="6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Design</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Protocol</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OpenID Connect / OAuth 2.0 (authorization-code flow with PKCE for the SPA)</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Citizen sign-in</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E-mail/mobile + password with OTP verification; optional approved national identity or DigiLocker sign-in, subject to department approval</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Staff sign-in</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Mandatory MFA (TOTP or hardware token); access only from approved networks/VPN</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Password policy</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Minimum 8 characters (citizens) / 12 (staff), breached-password check, no forced periodic rotation (NIST SP 800-63B)</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Password storage</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Salted, memory-hard hashing (Argon2id preferred; bcrypt/PBKDF2 as supported by the identity provider); never plain text</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Tokens</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Signed JWT (RS256/ES256), access token 15 min, refresh-token rotation, revocation on logout</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Session control (FR-20)</w:t>
            </w:r>
          </w:p>
        </w:tc>
        <w:tc>
          <w:tcPr>
            <w:tcW w:w="6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Proposed idle timeout 15 min citizens / 10 min staff, absolute limit 8 h, re-authentication before sensitive actions</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Brute-force defence</w:t>
            </w:r>
          </w:p>
        </w:tc>
        <w:tc>
          <w:tcPr>
            <w:tcW w:w="6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Account lock-out with back-off, CAPTCHA after repeated failures, OTP rate limits</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8.3 Authorization: Roles and Permissions</w:t>
      </w:r>
    </w:p>
    <w:p>
      <w:pPr>
        <w:pStyle w:val="Normal"/>
        <w:keepNext w:val="true"/>
        <w:spacing w:lineRule="auto" w:line="276" w:before="0" w:after="100"/>
        <w:jc w:val="start"/>
        <w:rPr>
          <w:rFonts w:ascii="Times New Roman" w:hAnsi="Times New Roman"/>
        </w:rPr>
      </w:pPr>
      <w:r>
        <w:rPr>
          <w:rFonts w:eastAsia="Calibri" w:cs="Calibri" w:ascii="Times New Roman" w:hAnsi="Times New Roman"/>
        </w:rPr>
        <w:t xml:space="preserve">Role-based access control (FR-14) is enforced at the gateway and again inside every service. Citizens can only reach their own records because services check </w:t>
      </w:r>
      <w:r>
        <w:rPr>
          <w:rFonts w:eastAsia="Calibri" w:cs="Calibri" w:ascii="Times New Roman" w:hAnsi="Times New Roman"/>
          <w:b/>
          <w:bCs/>
        </w:rPr>
        <w:t>ownership</w:t>
      </w:r>
      <w:r>
        <w:rPr>
          <w:rFonts w:eastAsia="Calibri" w:cs="Calibri" w:ascii="Times New Roman" w:hAnsi="Times New Roman"/>
        </w:rPr>
        <w:t xml:space="preserve"> on every request, so changing an ID in a URL returns nothing (Week 1 acceptance criterion).</w:t>
      </w:r>
    </w:p>
    <w:tbl>
      <w:tblPr>
        <w:tblW w:w="9026" w:type="dxa"/>
        <w:jc w:val="start"/>
        <w:tblInd w:w="0" w:type="dxa"/>
        <w:tblLayout w:type="fixed"/>
        <w:tblCellMar>
          <w:top w:w="60" w:type="dxa"/>
          <w:start w:w="90" w:type="dxa"/>
          <w:bottom w:w="60" w:type="dxa"/>
          <w:end w:w="90" w:type="dxa"/>
        </w:tblCellMar>
      </w:tblPr>
      <w:tblGrid>
        <w:gridCol w:w="2326"/>
        <w:gridCol w:w="799"/>
        <w:gridCol w:w="900"/>
        <w:gridCol w:w="901"/>
        <w:gridCol w:w="900"/>
        <w:gridCol w:w="900"/>
        <w:gridCol w:w="900"/>
        <w:gridCol w:w="1400"/>
      </w:tblGrid>
      <w:tr>
        <w:trPr>
          <w:tblHeader w:val="true"/>
          <w:cantSplit/>
        </w:trPr>
        <w:tc>
          <w:tcPr>
            <w:tcW w:w="23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Capability</w:t>
            </w:r>
          </w:p>
        </w:tc>
        <w:tc>
          <w:tcPr>
            <w:tcW w:w="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Citizen</w:t>
            </w:r>
          </w:p>
        </w:tc>
        <w:tc>
          <w:tcPr>
            <w:tcW w:w="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Case Officer</w:t>
            </w:r>
          </w:p>
        </w:tc>
        <w:tc>
          <w:tcPr>
            <w:tcW w:w="9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Super-visor</w:t>
            </w:r>
          </w:p>
        </w:tc>
        <w:tc>
          <w:tcPr>
            <w:tcW w:w="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Dept Admin</w:t>
            </w:r>
          </w:p>
        </w:tc>
        <w:tc>
          <w:tcPr>
            <w:tcW w:w="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System Admin</w:t>
            </w:r>
          </w:p>
        </w:tc>
        <w:tc>
          <w:tcPr>
            <w:tcW w:w="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Auditor</w:t>
            </w:r>
          </w:p>
        </w:tc>
        <w:tc>
          <w:tcPr>
            <w:tcW w:w="1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5"/>
                <w:szCs w:val="15"/>
              </w:rPr>
              <w:t>Help-desk</w:t>
            </w:r>
          </w:p>
        </w:tc>
      </w:tr>
      <w:tr>
        <w:trPr>
          <w:cantSplit/>
        </w:trPr>
        <w:tc>
          <w:tcPr>
            <w:tcW w:w="23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Submit and track own applications</w:t>
            </w:r>
          </w:p>
        </w:tc>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Own</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View queue (own department)</w:t>
            </w:r>
          </w:p>
        </w:tc>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Read</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Read</w:t>
            </w:r>
          </w:p>
        </w:tc>
        <w:tc>
          <w:tcPr>
            <w:tcW w:w="1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Status only</w:t>
            </w:r>
          </w:p>
        </w:tc>
      </w:tr>
      <w:tr>
        <w:trPr>
          <w:cantSplit/>
        </w:trPr>
        <w:tc>
          <w:tcPr>
            <w:tcW w:w="23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Approve / reject / request info</w:t>
            </w:r>
          </w:p>
        </w:tc>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Reassign cases</w:t>
            </w:r>
          </w:p>
        </w:tc>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1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Configure services and forms</w:t>
            </w:r>
          </w:p>
        </w:tc>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Manage users and roles</w:t>
            </w:r>
          </w:p>
        </w:tc>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Dept staff</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1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View audit logs</w:t>
            </w:r>
          </w:p>
        </w:tc>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Read</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Read</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Reports and dashboards</w:t>
            </w:r>
          </w:p>
        </w:tc>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Own queue</w:t>
            </w:r>
          </w:p>
        </w:tc>
        <w:tc>
          <w:tcPr>
            <w:tcW w:w="9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Read</w:t>
            </w:r>
          </w:p>
        </w:tc>
        <w:tc>
          <w:tcPr>
            <w:tcW w:w="1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r>
        <w:trPr>
          <w:cantSplit/>
        </w:trPr>
        <w:tc>
          <w:tcPr>
            <w:tcW w:w="23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5"/>
                <w:szCs w:val="15"/>
              </w:rPr>
              <w:t>Infrastructure and deployment</w:t>
            </w:r>
          </w:p>
        </w:tc>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Yes</w:t>
            </w:r>
          </w:p>
        </w:tc>
        <w:tc>
          <w:tcPr>
            <w:tcW w:w="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c>
          <w:tcPr>
            <w:tcW w:w="1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b w:val="false"/>
                <w:bCs w:val="false"/>
                <w:sz w:val="15"/>
                <w:szCs w:val="15"/>
              </w:rPr>
              <w:t>-</w:t>
            </w:r>
          </w:p>
        </w:tc>
      </w:tr>
    </w:tbl>
    <w:p>
      <w:pPr>
        <w:pStyle w:val="Normal"/>
        <w:spacing w:lineRule="auto" w:line="276" w:before="60" w:after="100"/>
        <w:jc w:val="start"/>
        <w:rPr>
          <w:rFonts w:ascii="Times New Roman" w:hAnsi="Times New Roman"/>
        </w:rPr>
      </w:pPr>
      <w:r>
        <w:rPr>
          <w:rFonts w:eastAsia="Calibri" w:cs="Calibri" w:ascii="Times New Roman" w:hAnsi="Times New Roman"/>
          <w:sz w:val="20"/>
          <w:szCs w:val="20"/>
        </w:rPr>
        <w:t>System Administrators manage the platform but have no routine access to citizen application data; break-glass access is time-limited, approved and fully logged.</w:t>
      </w:r>
    </w:p>
    <w:p>
      <w:pPr>
        <w:pStyle w:val="Heading2"/>
        <w:keepNext w:val="true"/>
        <w:rPr>
          <w:rFonts w:ascii="Times New Roman" w:hAnsi="Times New Roman"/>
          <w:color w:val="000000"/>
        </w:rPr>
      </w:pPr>
      <w:r>
        <w:rPr>
          <w:rFonts w:eastAsia="Calibri" w:cs="Calibri" w:ascii="Times New Roman" w:hAnsi="Times New Roman"/>
          <w:color w:val="000000"/>
        </w:rPr>
        <w:t>8.4 Encryption and Cryptography</w:t>
      </w:r>
    </w:p>
    <w:tbl>
      <w:tblPr>
        <w:tblW w:w="9026" w:type="dxa"/>
        <w:jc w:val="start"/>
        <w:tblInd w:w="0" w:type="dxa"/>
        <w:tblLayout w:type="fixed"/>
        <w:tblCellMar>
          <w:top w:w="60" w:type="dxa"/>
          <w:start w:w="90" w:type="dxa"/>
          <w:bottom w:w="60" w:type="dxa"/>
          <w:end w:w="90" w:type="dxa"/>
        </w:tblCellMar>
      </w:tblPr>
      <w:tblGrid>
        <w:gridCol w:w="2299"/>
        <w:gridCol w:w="3201"/>
        <w:gridCol w:w="3526"/>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Data state</w:t>
            </w:r>
          </w:p>
        </w:tc>
        <w:tc>
          <w:tcPr>
            <w:tcW w:w="32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Method</w:t>
            </w:r>
          </w:p>
        </w:tc>
        <w:tc>
          <w:tcPr>
            <w:tcW w:w="3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Key management</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 transit: user to edge</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TLS 1.2 minimum, TLS 1.3 preferred, HSTS, strong cipher suites, certificates from a trusted CA</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Certificate rotation, automated renewal</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 transit: service to service</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Mutual TLS inside the cluster; TLS to database, Redis and broker</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Short-lived service certificates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At rest: database and volumes</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AES-256 storage encryption</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Master keys in KMS/HSM</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At rest: sensitive fields</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Application-level AES-256-GCM for mobile, address, identifiers (envelope encryption)</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Data keys wrapped by master key; rotated periodically</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At rest: documents</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Server-side AES-256 per object</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Separate keys from database keys</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Passwords</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Argon2id / bcrypt with unique salt</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Handled by identity provider</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Backups</w:t>
            </w:r>
          </w:p>
        </w:tc>
        <w:tc>
          <w:tcPr>
            <w:tcW w:w="32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AES-256 encrypted, stored off-site in India</w:t>
            </w:r>
          </w:p>
        </w:tc>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Separate backup key, access restricted</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Integrity and signing</w:t>
            </w:r>
          </w:p>
        </w:tc>
        <w:tc>
          <w:tcPr>
            <w:tcW w:w="32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SHA-256 checksums; digital signature on issued certificates (subject to approval)</w:t>
            </w:r>
          </w:p>
        </w:tc>
        <w:tc>
          <w:tcPr>
            <w:tcW w:w="35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Signing keys in HSM</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8.5 Application and API Security</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Parameterised queries / ORM only - no string-built SQL; output encoding against XSS; CSRF tokens and SameSite cookies.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Server-side validation of every input against schema; request size limits; strict CORS allow-list.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Security headers: CSP, X-Content-Type-Options, X-Frame-Options/frame-ancestors, Referrer-Policy.</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Error messages are generic to users; details only in protected logs (no stack traces or personal data in responses).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Outbound calls from integration adapters use an allow-list (protection against SSRF).</w:t>
      </w:r>
    </w:p>
    <w:p>
      <w:pPr>
        <w:pStyle w:val="Heading3"/>
        <w:keepNext w:val="true"/>
        <w:rPr>
          <w:rFonts w:ascii="Times New Roman" w:hAnsi="Times New Roman"/>
        </w:rPr>
      </w:pPr>
      <w:r>
        <w:rPr>
          <w:rFonts w:eastAsia="Calibri" w:cs="Calibri" w:ascii="Times New Roman" w:hAnsi="Times New Roman"/>
        </w:rPr>
        <w:t>Secure document upload (FR-06)</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Allow-list of types (PDF, JPG, PNG) and size limit (proposed 5 MB per file, 10 files per application); check content signature, not just the extension.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File stored in a private bucket under a random name; scanned with ClamAV; quarantined until the scan is clean.</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Served only through short-lived signed URLs (e.g. 5 minutes) after an authorisation check; never from the web root.</w:t>
      </w:r>
    </w:p>
    <w:p>
      <w:pPr>
        <w:pStyle w:val="Heading2"/>
        <w:keepNext w:val="true"/>
        <w:rPr>
          <w:rFonts w:ascii="Times New Roman" w:hAnsi="Times New Roman"/>
          <w:color w:val="000000"/>
        </w:rPr>
      </w:pPr>
      <w:r>
        <w:rPr>
          <w:rFonts w:eastAsia="Calibri" w:cs="Calibri" w:ascii="Times New Roman" w:hAnsi="Times New Roman"/>
          <w:color w:val="000000"/>
        </w:rPr>
        <w:t>8.6 Audit, Logging and Monitoring</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Audit events: sign-in/out, failed logins, status changes, document access, role changes, configuration changes, report exports (FR-15, NFR-13).</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Append-only, hash-chained storage; auditors have read-only access; logs shipped to SIEM in near real time.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Retention: minimum 180 days of logs held in India as required by CERT-In directions (2022); department may require longer.</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Alerts on: repeated failed logins, privilege changes, unusual download volume, WAF block spikes, certificate expiry.</w:t>
      </w:r>
    </w:p>
    <w:p>
      <w:pPr>
        <w:pStyle w:val="Heading2"/>
        <w:keepNext w:val="true"/>
        <w:rPr>
          <w:rFonts w:ascii="Times New Roman" w:hAnsi="Times New Roman"/>
          <w:color w:val="000000"/>
        </w:rPr>
      </w:pPr>
      <w:r>
        <w:rPr>
          <w:rFonts w:eastAsia="Calibri" w:cs="Calibri" w:ascii="Times New Roman" w:hAnsi="Times New Roman"/>
          <w:color w:val="000000"/>
        </w:rPr>
        <w:t>8.7 Threat Model Summary (STRIDE)</w:t>
      </w:r>
    </w:p>
    <w:tbl>
      <w:tblPr>
        <w:tblW w:w="9026" w:type="dxa"/>
        <w:jc w:val="start"/>
        <w:tblInd w:w="0" w:type="dxa"/>
        <w:tblLayout w:type="fixed"/>
        <w:tblCellMar>
          <w:top w:w="60" w:type="dxa"/>
          <w:start w:w="90" w:type="dxa"/>
          <w:bottom w:w="60" w:type="dxa"/>
          <w:end w:w="90" w:type="dxa"/>
        </w:tblCellMar>
      </w:tblPr>
      <w:tblGrid>
        <w:gridCol w:w="2000"/>
        <w:gridCol w:w="3300"/>
        <w:gridCol w:w="3726"/>
      </w:tblGrid>
      <w:tr>
        <w:trPr>
          <w:tblHeader w:val="true"/>
          <w:cantSplit/>
        </w:trPr>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Threat</w:t>
            </w:r>
          </w:p>
        </w:tc>
        <w:tc>
          <w:tcPr>
            <w:tcW w:w="3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Example</w:t>
            </w:r>
          </w:p>
        </w:tc>
        <w:tc>
          <w:tcPr>
            <w:tcW w:w="37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Mitigation</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Spoofing</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Stolen password used to impersonate a citizen or officer</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OTP/MFA, short-lived tokens, lock-out, breached-password check</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Tampering</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Officer or attacker alters a status or document</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Workflow rules, DB constraints, hash chain, checksums, TLS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Repudiation</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User denies approving an application</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Immutable audit trail with actor, role, time and IP</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Information disclosure</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Citizen reads another's application</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Ownership checks, RBAC, encryption, masked logs, generic errors</w:t>
            </w:r>
          </w:p>
        </w:tc>
      </w:tr>
      <w:tr>
        <w:trPr>
          <w:cantSplit/>
        </w:trPr>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Denial of service</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Flood of requests during a deadline</w:t>
            </w:r>
          </w:p>
        </w:tc>
        <w:tc>
          <w:tcPr>
            <w:tcW w:w="37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CDN, DDoS protection, WAF, rate limits, autoscaling</w:t>
            </w:r>
          </w:p>
        </w:tc>
      </w:tr>
      <w:tr>
        <w:trPr>
          <w:cantSplit/>
        </w:trPr>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Elevation of privilege</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Citizen calls an admin API</w:t>
            </w:r>
          </w:p>
        </w:tc>
        <w:tc>
          <w:tcPr>
            <w:tcW w:w="37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Deny by default, role checks in every service, separate admin plane</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8.8 OWASP Top 10 (2021) Coverage</w:t>
      </w:r>
    </w:p>
    <w:tbl>
      <w:tblPr>
        <w:tblW w:w="9026" w:type="dxa"/>
        <w:jc w:val="start"/>
        <w:tblInd w:w="0" w:type="dxa"/>
        <w:tblLayout w:type="fixed"/>
        <w:tblCellMar>
          <w:top w:w="60" w:type="dxa"/>
          <w:start w:w="90" w:type="dxa"/>
          <w:bottom w:w="60" w:type="dxa"/>
          <w:end w:w="90" w:type="dxa"/>
        </w:tblCellMar>
      </w:tblPr>
      <w:tblGrid>
        <w:gridCol w:w="2900"/>
        <w:gridCol w:w="6126"/>
      </w:tblGrid>
      <w:tr>
        <w:trPr>
          <w:tblHeader w:val="true"/>
          <w:cantSplit/>
        </w:trPr>
        <w:tc>
          <w:tcPr>
            <w:tcW w:w="2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Risk</w:t>
            </w:r>
          </w:p>
        </w:tc>
        <w:tc>
          <w:tcPr>
            <w:tcW w:w="61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Control in this architecture</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A01 Broken Access Control</w:t>
            </w:r>
          </w:p>
        </w:tc>
        <w:tc>
          <w:tcPr>
            <w:tcW w:w="6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Deny by default, RBAC, ownership check per record, UUID identifiers</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A02 Cryptographic Failures</w:t>
            </w:r>
          </w:p>
        </w:tc>
        <w:tc>
          <w:tcPr>
            <w:tcW w:w="6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TLS 1.2/1.3, AES-256, Argon2id, KMS-managed keys</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A03 Injection</w:t>
            </w:r>
          </w:p>
        </w:tc>
        <w:tc>
          <w:tcPr>
            <w:tcW w:w="6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Parameterised queries, input validation, output encoding</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A04 Insecure Design</w:t>
            </w:r>
          </w:p>
        </w:tc>
        <w:tc>
          <w:tcPr>
            <w:tcW w:w="6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Threat modelling, decision records, security review gates (Week 1 plan)</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A05 Security Misconfiguration</w:t>
            </w:r>
          </w:p>
        </w:tc>
        <w:tc>
          <w:tcPr>
            <w:tcW w:w="6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Hardened images, infrastructure-as-code, CIS baselines, no default credentials</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A06 Vulnerable Components</w:t>
            </w:r>
          </w:p>
        </w:tc>
        <w:tc>
          <w:tcPr>
            <w:tcW w:w="6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Dependency and image scanning in CI, SBOM, patch SLAs</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A07 Identification and Authentication Failures</w:t>
            </w:r>
          </w:p>
        </w:tc>
        <w:tc>
          <w:tcPr>
            <w:tcW w:w="6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MFA, lock-out, session timeouts, token rotation</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A08 Software and Data Integrity Failures</w:t>
            </w:r>
          </w:p>
        </w:tc>
        <w:tc>
          <w:tcPr>
            <w:tcW w:w="6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Signed images, protected pipeline, approvals, checksums</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A09 Logging and Monitoring Failures</w:t>
            </w:r>
          </w:p>
        </w:tc>
        <w:tc>
          <w:tcPr>
            <w:tcW w:w="6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Central audit log, SIEM alerts, dashboards</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A10 Server-Side Request Forgery</w:t>
            </w:r>
          </w:p>
        </w:tc>
        <w:tc>
          <w:tcPr>
            <w:tcW w:w="6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Outbound allow-list, URL validation in adapters</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8.9 Incident Response and Compliance Alignment</w:t>
      </w:r>
    </w:p>
    <w:tbl>
      <w:tblPr>
        <w:tblW w:w="9026" w:type="dxa"/>
        <w:jc w:val="start"/>
        <w:tblInd w:w="0" w:type="dxa"/>
        <w:tblLayout w:type="fixed"/>
        <w:tblCellMar>
          <w:top w:w="100" w:type="dxa"/>
          <w:start w:w="180" w:type="dxa"/>
          <w:bottom w:w="100" w:type="dxa"/>
          <w:end w:w="140" w:type="dxa"/>
        </w:tblCellMar>
      </w:tblPr>
      <w:tblGrid>
        <w:gridCol w:w="9026"/>
      </w:tblGrid>
      <w:tr>
        <w:trPr>
          <w:cantSplit/>
        </w:trPr>
        <w:tc>
          <w:tcPr>
            <w:tcW w:w="9026" w:type="dxa"/>
            <w:tcBorders>
              <w:start w:val="single" w:sz="24" w:space="0" w:color="595959"/>
            </w:tcBorders>
            <w:shd w:color="auto" w:fill="F2F2F2" w:val="clear"/>
          </w:tcPr>
          <w:p>
            <w:pPr>
              <w:pStyle w:val="Normal"/>
              <w:spacing w:lineRule="auto" w:line="264" w:before="0" w:after="0"/>
              <w:rPr>
                <w:rFonts w:ascii="Times New Roman" w:hAnsi="Times New Roman"/>
              </w:rPr>
            </w:pPr>
            <w:r>
              <w:rPr>
                <w:rFonts w:eastAsia="Calibri" w:cs="Calibri" w:ascii="Times New Roman" w:hAnsi="Times New Roman"/>
                <w:b/>
                <w:bCs/>
                <w:sz w:val="21"/>
                <w:szCs w:val="21"/>
              </w:rPr>
              <w:t>Incident flow:</w:t>
            </w:r>
            <w:r>
              <w:rPr>
                <w:rFonts w:eastAsia="Calibri" w:cs="Calibri" w:ascii="Times New Roman" w:hAnsi="Times New Roman"/>
                <w:sz w:val="21"/>
                <w:szCs w:val="21"/>
              </w:rPr>
              <w:t xml:space="preserve"> Detect -&gt; Triage -&gt; Contain -&gt; Eradicate -&gt; Recover -&gt; Report (to CERT-In within 6 hours of noticing, as per its 2022 directions) -&gt; Post-incident review</w:t>
            </w:r>
          </w:p>
        </w:tc>
      </w:tr>
    </w:tbl>
    <w:p>
      <w:pPr>
        <w:pStyle w:val="Normal"/>
        <w:spacing w:before="0" w:after="80"/>
        <w:rPr>
          <w:rFonts w:ascii="Times New Roman" w:hAnsi="Times New Roman"/>
        </w:rPr>
      </w:pPr>
      <w:r>
        <w:rPr>
          <w:rFonts w:ascii="Times New Roman" w:hAnsi="Times New Roman"/>
        </w:rPr>
      </w:r>
    </w:p>
    <w:tbl>
      <w:tblPr>
        <w:tblW w:w="9026" w:type="dxa"/>
        <w:jc w:val="start"/>
        <w:tblInd w:w="0" w:type="dxa"/>
        <w:tblLayout w:type="fixed"/>
        <w:tblCellMar>
          <w:top w:w="60" w:type="dxa"/>
          <w:start w:w="90" w:type="dxa"/>
          <w:bottom w:w="60" w:type="dxa"/>
          <w:end w:w="90" w:type="dxa"/>
        </w:tblCellMar>
      </w:tblPr>
      <w:tblGrid>
        <w:gridCol w:w="3199"/>
        <w:gridCol w:w="5827"/>
      </w:tblGrid>
      <w:tr>
        <w:trPr>
          <w:tblHeader w:val="true"/>
          <w:cantSplit/>
        </w:trPr>
        <w:tc>
          <w:tcPr>
            <w:tcW w:w="3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Standard / law</w:t>
            </w:r>
          </w:p>
        </w:tc>
        <w:tc>
          <w:tcPr>
            <w:tcW w:w="5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How the architecture aligns</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Digital Personal Data Protection Act, 2023</w:t>
            </w:r>
          </w:p>
        </w:tc>
        <w:tc>
          <w:tcPr>
            <w:tcW w:w="5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Notice and purpose limitation, data minimisation, reasonable security safeguards, breach handling, erasure/retention jobs</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Information Technology Act, 2000 and rules</w:t>
            </w:r>
          </w:p>
        </w:tc>
        <w:tc>
          <w:tcPr>
            <w:tcW w:w="5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Security practices, audit logs, lawful handling of electronic records</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CERT-In directions (2022)</w:t>
            </w:r>
          </w:p>
        </w:tc>
        <w:tc>
          <w:tcPr>
            <w:tcW w:w="5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6-hour incident reporting, 180-day log retention in India</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GIGW 3.0 and WCAG 2.2 AA</w:t>
            </w:r>
          </w:p>
        </w:tc>
        <w:tc>
          <w:tcPr>
            <w:tcW w:w="5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Accessible, bilingual, usable portal (NFR-06, 14)</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MeitY cloud empanelment / NIC hosting</w:t>
            </w:r>
          </w:p>
        </w:tc>
        <w:tc>
          <w:tcPr>
            <w:tcW w:w="5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Data hosted in India with approved providers</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IndEA (India Enterprise Architecture) principles</w:t>
            </w:r>
          </w:p>
        </w:tc>
        <w:tc>
          <w:tcPr>
            <w:tcW w:w="5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Reusable services, open standards, interoperability, security by design</w:t>
            </w:r>
          </w:p>
        </w:tc>
      </w:tr>
      <w:tr>
        <w:trPr>
          <w:cantSplit/>
        </w:trPr>
        <w:tc>
          <w:tcPr>
            <w:tcW w:w="3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OWASP ASVS, NIST SP 800-63B, ISO/IEC 27001 controls</w:t>
            </w:r>
          </w:p>
        </w:tc>
        <w:tc>
          <w:tcPr>
            <w:tcW w:w="5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Verification checklist, authentication guidance, control framework</w:t>
            </w:r>
          </w:p>
        </w:tc>
      </w:tr>
      <w:tr>
        <w:trPr>
          <w:cantSplit/>
        </w:trPr>
        <w:tc>
          <w:tcPr>
            <w:tcW w:w="3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Third-party security audit</w:t>
            </w:r>
          </w:p>
        </w:tc>
        <w:tc>
          <w:tcPr>
            <w:tcW w:w="5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Audit by a CERT-In empanelled auditor before go-live (release gate from Week 1: no open critical/high findings)</w:t>
            </w:r>
          </w:p>
        </w:tc>
      </w:tr>
    </w:tbl>
    <w:p>
      <w:pPr>
        <w:pStyle w:val="Normal"/>
        <w:spacing w:lineRule="auto" w:line="276" w:before="60" w:after="100"/>
        <w:jc w:val="start"/>
        <w:rPr>
          <w:rFonts w:ascii="Times New Roman" w:hAnsi="Times New Roman"/>
        </w:rPr>
      </w:pPr>
      <w:r>
        <w:rPr>
          <w:rFonts w:eastAsia="Calibri" w:cs="Calibri" w:ascii="Times New Roman" w:hAnsi="Times New Roman"/>
          <w:i/>
          <w:iCs/>
          <w:color w:val="595959"/>
          <w:sz w:val="18"/>
          <w:szCs w:val="18"/>
        </w:rPr>
        <w:t>As noted in Week 1, applicability and retention periods must be confirmed with the department's legal and compliance officers.</w:t>
      </w:r>
    </w:p>
    <w:p>
      <w:pPr>
        <w:pStyle w:val="Heading1"/>
        <w:keepNext w:val="true"/>
        <w:rPr>
          <w:rFonts w:ascii="Times New Roman" w:hAnsi="Times New Roman"/>
        </w:rPr>
      </w:pPr>
      <w:r>
        <w:rPr>
          <w:rFonts w:eastAsia="Calibri" w:cs="Calibri" w:ascii="Times New Roman" w:hAnsi="Times New Roman"/>
        </w:rPr>
        <w:t>9. Scalability, Availability and Performance</w:t>
      </w:r>
    </w:p>
    <w:p>
      <w:pPr>
        <w:pStyle w:val="Heading2"/>
        <w:keepNext w:val="true"/>
        <w:rPr>
          <w:rFonts w:ascii="Times New Roman" w:hAnsi="Times New Roman"/>
          <w:color w:val="000000"/>
        </w:rPr>
      </w:pPr>
      <w:r>
        <w:rPr>
          <w:rFonts w:eastAsia="Calibri" w:cs="Calibri" w:ascii="Times New Roman" w:hAnsi="Times New Roman"/>
          <w:color w:val="000000"/>
        </w:rPr>
        <w:t>9.1 Scaling Techniques</w:t>
      </w:r>
    </w:p>
    <w:tbl>
      <w:tblPr>
        <w:tblW w:w="9026" w:type="dxa"/>
        <w:jc w:val="start"/>
        <w:tblInd w:w="0" w:type="dxa"/>
        <w:tblLayout w:type="fixed"/>
        <w:tblCellMar>
          <w:top w:w="60" w:type="dxa"/>
          <w:start w:w="90" w:type="dxa"/>
          <w:bottom w:w="60" w:type="dxa"/>
          <w:end w:w="90" w:type="dxa"/>
        </w:tblCellMar>
      </w:tblPr>
      <w:tblGrid>
        <w:gridCol w:w="2400"/>
        <w:gridCol w:w="2799"/>
        <w:gridCol w:w="3827"/>
      </w:tblGrid>
      <w:tr>
        <w:trPr>
          <w:tblHeader w:val="true"/>
          <w:cantSplit/>
        </w:trPr>
        <w:tc>
          <w:tcPr>
            <w:tcW w:w="24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Technique</w:t>
            </w:r>
          </w:p>
        </w:tc>
        <w:tc>
          <w:tcPr>
            <w:tcW w:w="2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Where applied</w:t>
            </w:r>
          </w:p>
        </w:tc>
        <w:tc>
          <w:tcPr>
            <w:tcW w:w="3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Benefit</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Horizontal scaling (HPA)</w:t>
            </w:r>
          </w:p>
        </w:tc>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Every service pod; scale on CPU and request rate</w:t>
            </w:r>
          </w:p>
        </w:tc>
        <w:tc>
          <w:tcPr>
            <w:tcW w:w="3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Capacity grows by adding replicas; handles deadline peaks</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Stateless services</w:t>
            </w:r>
          </w:p>
        </w:tc>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All services; session state in Redis/tokens</w:t>
            </w:r>
          </w:p>
        </w:tc>
        <w:tc>
          <w:tcPr>
            <w:tcW w:w="3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Any instance can serve any request; easy rolling updates</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Caching</w:t>
            </w:r>
          </w:p>
        </w:tc>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CDN for static files; Redis for catalogue and sessions</w:t>
            </w:r>
          </w:p>
        </w:tc>
        <w:tc>
          <w:tcPr>
            <w:tcW w:w="3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Lower latency and database load (NFR-01)</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Database read replicas</w:t>
            </w:r>
          </w:p>
        </w:tc>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Reporting, search, status-tracking reads</w:t>
            </w:r>
          </w:p>
        </w:tc>
        <w:tc>
          <w:tcPr>
            <w:tcW w:w="3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Keeps the primary free for writes</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Indexing and query tuning</w:t>
            </w:r>
          </w:p>
        </w:tc>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Reference number, user ID, status, date columns</w:t>
            </w:r>
          </w:p>
        </w:tc>
        <w:tc>
          <w:tcPr>
            <w:tcW w:w="3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Fast lookups as tables grow</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Asynchronous processing</w:t>
            </w:r>
          </w:p>
        </w:tc>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Notifications, virus scan, indexing, report generation</w:t>
            </w:r>
          </w:p>
        </w:tc>
        <w:tc>
          <w:tcPr>
            <w:tcW w:w="3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User requests return quickly; spikes absorbed by queues</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Connection pooling</w:t>
            </w:r>
          </w:p>
        </w:tc>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Services to PostgreSQL (e.g. PgBouncer)</w:t>
            </w:r>
          </w:p>
        </w:tc>
        <w:tc>
          <w:tcPr>
            <w:tcW w:w="3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Prevents connection exhaustion</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Rate limiting and back-pressure</w:t>
            </w:r>
          </w:p>
        </w:tc>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Gateway and adapters</w:t>
            </w:r>
          </w:p>
        </w:tc>
        <w:tc>
          <w:tcPr>
            <w:tcW w:w="3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Protects services from overload</w:t>
            </w:r>
          </w:p>
        </w:tc>
      </w:tr>
      <w:tr>
        <w:trPr>
          <w:cantSplit/>
        </w:trPr>
        <w:tc>
          <w:tcPr>
            <w:tcW w:w="24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Partitioning (later)</w:t>
            </w:r>
          </w:p>
        </w:tc>
        <w:tc>
          <w:tcPr>
            <w:tcW w:w="2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Large tables by year or department</w:t>
            </w:r>
          </w:p>
        </w:tc>
        <w:tc>
          <w:tcPr>
            <w:tcW w:w="3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Maintains performance at state scale</w:t>
            </w:r>
          </w:p>
        </w:tc>
      </w:tr>
      <w:tr>
        <w:trPr>
          <w:cantSplit/>
        </w:trPr>
        <w:tc>
          <w:tcPr>
            <w:tcW w:w="24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Graceful degradation</w:t>
            </w:r>
          </w:p>
        </w:tc>
        <w:tc>
          <w:tcPr>
            <w:tcW w:w="2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Feature flags, cached catalogue, queue-based notifications</w:t>
            </w:r>
          </w:p>
        </w:tc>
        <w:tc>
          <w:tcPr>
            <w:tcW w:w="3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Core submit/track flow survives partial failures</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9.2 Capacity Estimate (Illustrative Planning Assumptions)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 xml:space="preserve">Growth target: 100,000 registered citizens; peak concurrency 5% = </w:t>
      </w:r>
      <w:r>
        <w:rPr>
          <w:rFonts w:eastAsia="Calibri" w:cs="Calibri" w:ascii="Times New Roman" w:hAnsi="Times New Roman"/>
          <w:b/>
          <w:bCs/>
        </w:rPr>
        <w:t>5,000 users</w:t>
      </w:r>
      <w:r>
        <w:rPr>
          <w:rFonts w:eastAsia="Calibri" w:cs="Calibri" w:ascii="Times New Roman" w:hAnsi="Times New Roman"/>
        </w:rPr>
        <w: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 xml:space="preserve">If each active user makes one request every 10 s: 5,000 / 10 = </w:t>
      </w:r>
      <w:r>
        <w:rPr>
          <w:rFonts w:eastAsia="Calibri" w:cs="Calibri" w:ascii="Times New Roman" w:hAnsi="Times New Roman"/>
          <w:b/>
          <w:bCs/>
        </w:rPr>
        <w:t>500 requests/s</w:t>
      </w:r>
      <w:r>
        <w:rPr>
          <w:rFonts w:eastAsia="Calibri" w:cs="Calibri" w:ascii="Times New Roman" w:hAnsi="Times New Roman"/>
        </w:rPr>
        <w:t xml:space="preserve">; with 2x headroom the design target is </w:t>
      </w:r>
      <w:r>
        <w:rPr>
          <w:rFonts w:eastAsia="Calibri" w:cs="Calibri" w:ascii="Times New Roman" w:hAnsi="Times New Roman"/>
          <w:b/>
          <w:bCs/>
        </w:rPr>
        <w:t>1,000 requests/s</w:t>
      </w:r>
      <w:r>
        <w:rPr>
          <w:rFonts w:eastAsia="Calibri" w:cs="Calibri" w:ascii="Times New Roman" w:hAnsi="Times New Roman"/>
        </w:rPr>
        <w: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If one service pod handles about 100 requests/s (to be confirmed by load testing), roughly 10 pods across services cover the peak, with autoscaling above that.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 xml:space="preserve">Storage: 100,000 applications/year x 3 documents x 1 MB average = 300,000 MB, about </w:t>
      </w:r>
      <w:r>
        <w:rPr>
          <w:rFonts w:eastAsia="Calibri" w:cs="Calibri" w:ascii="Times New Roman" w:hAnsi="Times New Roman"/>
          <w:b/>
          <w:bCs/>
        </w:rPr>
        <w:t>0.3 TB per year</w:t>
      </w:r>
      <w:r>
        <w:rPr>
          <w:rFonts w:eastAsia="Calibri" w:cs="Calibri" w:ascii="Times New Roman" w:hAnsi="Times New Roman"/>
        </w:rPr>
        <w:t xml:space="preserve"> of documents.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Availability: 99.5% allows 216 minutes of downtime per 30-day month; multi-AZ design supports a later 99.9% goal (about 43 minutes).</w:t>
      </w:r>
    </w:p>
    <w:p>
      <w:pPr>
        <w:pStyle w:val="Heading2"/>
        <w:keepNext w:val="true"/>
        <w:rPr>
          <w:rFonts w:ascii="Times New Roman" w:hAnsi="Times New Roman"/>
          <w:color w:val="000000"/>
        </w:rPr>
      </w:pPr>
      <w:r>
        <w:rPr>
          <w:rFonts w:eastAsia="Calibri" w:cs="Calibri" w:ascii="Times New Roman" w:hAnsi="Times New Roman"/>
          <w:color w:val="000000"/>
        </w:rPr>
        <w:t>9.3 Scaling Roadmap</w:t>
      </w:r>
    </w:p>
    <w:tbl>
      <w:tblPr>
        <w:tblW w:w="9026" w:type="dxa"/>
        <w:jc w:val="start"/>
        <w:tblInd w:w="0" w:type="dxa"/>
        <w:tblLayout w:type="fixed"/>
        <w:tblCellMar>
          <w:top w:w="60" w:type="dxa"/>
          <w:start w:w="90" w:type="dxa"/>
          <w:bottom w:w="60" w:type="dxa"/>
          <w:end w:w="90" w:type="dxa"/>
        </w:tblCellMar>
      </w:tblPr>
      <w:tblGrid>
        <w:gridCol w:w="1699"/>
        <w:gridCol w:w="2301"/>
        <w:gridCol w:w="5026"/>
      </w:tblGrid>
      <w:tr>
        <w:trPr>
          <w:tblHeader w:val="true"/>
          <w:cantSplit/>
        </w:trPr>
        <w:tc>
          <w:tcPr>
            <w:tcW w:w="1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Stage</w:t>
            </w:r>
          </w:p>
        </w:tc>
        <w:tc>
          <w:tcPr>
            <w:tcW w:w="23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Scale</w:t>
            </w:r>
          </w:p>
        </w:tc>
        <w:tc>
          <w:tcPr>
            <w:tcW w:w="50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Infrastructure</w:t>
            </w:r>
          </w:p>
        </w:tc>
      </w:tr>
      <w:tr>
        <w:trPr>
          <w:cantSplit/>
        </w:trPr>
        <w:tc>
          <w:tcPr>
            <w:tcW w:w="1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Pilot</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About 100 users, 1 service, 5-10 officers</w:t>
            </w:r>
          </w:p>
        </w:tc>
        <w:tc>
          <w:tcPr>
            <w:tcW w:w="5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Small Kubernetes cluster (3 nodes), 2 replicas per service, PostgreSQL primary + 1 replica, single DR copy of backups</w:t>
            </w:r>
          </w:p>
        </w:tc>
      </w:tr>
      <w:tr>
        <w:trPr>
          <w:cantSplit/>
        </w:trPr>
        <w:tc>
          <w:tcPr>
            <w:tcW w:w="1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Growth</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About 100,000 citizens, 5-10 services</w:t>
            </w:r>
          </w:p>
        </w:tc>
        <w:tc>
          <w:tcPr>
            <w:tcW w:w="50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Autoscaling 2-10 pods per service, 2 read replicas, Redis cluster, 3-node OpenSearch, warm-standby DR site</w:t>
            </w:r>
          </w:p>
        </w:tc>
      </w:tr>
      <w:tr>
        <w:trPr>
          <w:cantSplit/>
        </w:trPr>
        <w:tc>
          <w:tcPr>
            <w:tcW w:w="1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State scale</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Millions of users, many departments</w:t>
            </w:r>
          </w:p>
        </w:tc>
        <w:tc>
          <w:tcPr>
            <w:tcW w:w="50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Multi-cluster / multi-region, table partitioning, Kafka for event streaming, data warehouse for analytics</w:t>
            </w:r>
          </w:p>
        </w:tc>
      </w:tr>
    </w:tbl>
    <w:p>
      <w:pPr>
        <w:pStyle w:val="Normal"/>
        <w:spacing w:lineRule="auto" w:line="276" w:before="60" w:after="100"/>
        <w:jc w:val="start"/>
        <w:rPr>
          <w:rFonts w:ascii="Times New Roman" w:hAnsi="Times New Roman"/>
        </w:rPr>
      </w:pPr>
      <w:r>
        <w:rPr>
          <w:rFonts w:eastAsia="Calibri" w:cs="Calibri" w:ascii="Times New Roman" w:hAnsi="Times New Roman"/>
          <w:i/>
          <w:iCs/>
          <w:color w:val="595959"/>
          <w:sz w:val="18"/>
          <w:szCs w:val="18"/>
        </w:rPr>
        <w:t>Figures are indicative planning values and must be validated by load testing and the hosting provider, as stated in Week 1.</w:t>
      </w:r>
    </w:p>
    <w:p>
      <w:pPr>
        <w:pStyle w:val="Heading2"/>
        <w:keepNext w:val="true"/>
        <w:rPr>
          <w:rFonts w:ascii="Times New Roman" w:hAnsi="Times New Roman"/>
          <w:color w:val="000000"/>
        </w:rPr>
      </w:pPr>
      <w:r>
        <w:rPr>
          <w:rFonts w:eastAsia="Calibri" w:cs="Calibri" w:ascii="Times New Roman" w:hAnsi="Times New Roman"/>
          <w:color w:val="000000"/>
        </w:rPr>
        <w:t>9.4 High Availability and Disaster Recovery</w:t>
      </w:r>
    </w:p>
    <w:tbl>
      <w:tblPr>
        <w:tblW w:w="9026" w:type="dxa"/>
        <w:jc w:val="start"/>
        <w:tblInd w:w="0" w:type="dxa"/>
        <w:tblLayout w:type="fixed"/>
        <w:tblCellMar>
          <w:top w:w="60" w:type="dxa"/>
          <w:start w:w="90" w:type="dxa"/>
          <w:bottom w:w="60" w:type="dxa"/>
          <w:end w:w="90" w:type="dxa"/>
        </w:tblCellMar>
      </w:tblPr>
      <w:tblGrid>
        <w:gridCol w:w="2500"/>
        <w:gridCol w:w="3300"/>
        <w:gridCol w:w="3226"/>
      </w:tblGrid>
      <w:tr>
        <w:trPr>
          <w:tblHeader w:val="true"/>
          <w:cantSplit/>
        </w:trPr>
        <w:tc>
          <w:tcPr>
            <w:tcW w:w="2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Item</w:t>
            </w:r>
          </w:p>
        </w:tc>
        <w:tc>
          <w:tcPr>
            <w:tcW w:w="3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Design</w:t>
            </w:r>
          </w:p>
        </w:tc>
        <w:tc>
          <w:tcPr>
            <w:tcW w:w="32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Target</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Compute</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At least 2 replicas per service across 2 availability zones; health checks; self-healing</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Supports NFR-02 (99.5%)</w:t>
            </w:r>
          </w:p>
        </w:tc>
      </w:tr>
      <w:tr>
        <w:trPr>
          <w:cantSplit/>
        </w:trPr>
        <w:tc>
          <w:tcPr>
            <w:tcW w:w="2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Database</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Primary + synchronous or asynchronous replica; automatic failover</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Failover in minutes</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Database backup</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Daily full backup + continuous WAL archiving</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Week 1 RPO 24 h; design allows 15 min or better</w:t>
            </w:r>
          </w:p>
        </w:tc>
      </w:tr>
      <w:tr>
        <w:trPr>
          <w:cantSplit/>
        </w:trPr>
        <w:tc>
          <w:tcPr>
            <w:tcW w:w="2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Document backup</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Versioned buckets, replicated to DR site</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RPO 24 h</w:t>
            </w:r>
          </w:p>
        </w:tc>
      </w:tr>
      <w:tr>
        <w:trPr>
          <w:cantSplit/>
        </w:trPr>
        <w:tc>
          <w:tcPr>
            <w:tcW w:w="2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Disaster recovery site</w:t>
            </w:r>
          </w:p>
        </w:tc>
        <w:tc>
          <w:tcPr>
            <w:tcW w:w="33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Warm standby in a different seismic/geographic zone within India; infrastructure-as-code rebuild</w:t>
            </w:r>
          </w:p>
        </w:tc>
        <w:tc>
          <w:tcPr>
            <w:tcW w:w="32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Week 1 RTO 8 h</w:t>
            </w:r>
          </w:p>
        </w:tc>
      </w:tr>
      <w:tr>
        <w:trPr>
          <w:cantSplit/>
        </w:trPr>
        <w:tc>
          <w:tcPr>
            <w:tcW w:w="2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Restore testing</w:t>
            </w:r>
          </w:p>
        </w:tc>
        <w:tc>
          <w:tcPr>
            <w:tcW w:w="33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Before launch and then quarterly</w:t>
            </w:r>
          </w:p>
        </w:tc>
        <w:tc>
          <w:tcPr>
            <w:tcW w:w="32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Evidence recorded (NFR-09)</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9.5 Performance and Observability</w:t>
      </w:r>
    </w:p>
    <w:tbl>
      <w:tblPr>
        <w:tblW w:w="9026" w:type="dxa"/>
        <w:jc w:val="start"/>
        <w:tblInd w:w="0" w:type="dxa"/>
        <w:tblLayout w:type="fixed"/>
        <w:tblCellMar>
          <w:top w:w="60" w:type="dxa"/>
          <w:start w:w="90" w:type="dxa"/>
          <w:bottom w:w="60" w:type="dxa"/>
          <w:end w:w="90" w:type="dxa"/>
        </w:tblCellMar>
      </w:tblPr>
      <w:tblGrid>
        <w:gridCol w:w="2299"/>
        <w:gridCol w:w="3700"/>
        <w:gridCol w:w="3027"/>
      </w:tblGrid>
      <w:tr>
        <w:trPr>
          <w:tblHeader w:val="true"/>
          <w:cantSplit/>
        </w:trPr>
        <w:tc>
          <w:tcPr>
            <w:tcW w:w="22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Signal</w:t>
            </w:r>
          </w:p>
        </w:tc>
        <w:tc>
          <w:tcPr>
            <w:tcW w:w="37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What is measured</w:t>
            </w:r>
          </w:p>
        </w:tc>
        <w:tc>
          <w:tcPr>
            <w:tcW w:w="30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Alert threshold (proposed)</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Latency</w:t>
            </w:r>
          </w:p>
        </w:tc>
        <w:tc>
          <w:tcPr>
            <w:tcW w:w="3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p50 / p95 response time per API</w:t>
            </w:r>
          </w:p>
        </w:tc>
        <w:tc>
          <w:tcPr>
            <w:tcW w:w="3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p95 above 2 s for 5 min</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Errors</w:t>
            </w:r>
          </w:p>
        </w:tc>
        <w:tc>
          <w:tcPr>
            <w:tcW w:w="3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5xx rate, failed logins, dead-letter queue depth</w:t>
            </w:r>
          </w:p>
        </w:tc>
        <w:tc>
          <w:tcPr>
            <w:tcW w:w="3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Error rate above 2%</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Saturation</w:t>
            </w:r>
          </w:p>
        </w:tc>
        <w:tc>
          <w:tcPr>
            <w:tcW w:w="3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CPU, memory, DB connections, disk</w:t>
            </w:r>
          </w:p>
        </w:tc>
        <w:tc>
          <w:tcPr>
            <w:tcW w:w="3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Above 80%</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Replication</w:t>
            </w:r>
          </w:p>
        </w:tc>
        <w:tc>
          <w:tcPr>
            <w:tcW w:w="3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Database replication lag</w:t>
            </w:r>
          </w:p>
        </w:tc>
        <w:tc>
          <w:tcPr>
            <w:tcW w:w="3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Above 60 s</w:t>
            </w:r>
          </w:p>
        </w:tc>
      </w:tr>
      <w:tr>
        <w:trPr>
          <w:cantSplit/>
        </w:trPr>
        <w:tc>
          <w:tcPr>
            <w:tcW w:w="22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Availability</w:t>
            </w:r>
          </w:p>
        </w:tc>
        <w:tc>
          <w:tcPr>
            <w:tcW w:w="3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Synthetic checks of login, search and submit flow</w:t>
            </w:r>
          </w:p>
        </w:tc>
        <w:tc>
          <w:tcPr>
            <w:tcW w:w="3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Any failure twice in a row</w:t>
            </w:r>
          </w:p>
        </w:tc>
      </w:tr>
      <w:tr>
        <w:trPr>
          <w:cantSplit/>
        </w:trPr>
        <w:tc>
          <w:tcPr>
            <w:tcW w:w="22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Security</w:t>
            </w:r>
          </w:p>
        </w:tc>
        <w:tc>
          <w:tcPr>
            <w:tcW w:w="3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WAF blocks, privilege changes, abnormal downloads</w:t>
            </w:r>
          </w:p>
        </w:tc>
        <w:tc>
          <w:tcPr>
            <w:tcW w:w="3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Spike versus baseline</w:t>
            </w:r>
          </w:p>
        </w:tc>
      </w:tr>
    </w:tbl>
    <w:p>
      <w:pPr>
        <w:pStyle w:val="Normal"/>
        <w:spacing w:lineRule="auto" w:line="276" w:before="60" w:after="100"/>
        <w:jc w:val="start"/>
        <w:rPr>
          <w:rFonts w:ascii="Times New Roman" w:hAnsi="Times New Roman"/>
        </w:rPr>
      </w:pPr>
      <w:r>
        <w:rPr>
          <w:rFonts w:eastAsia="Calibri" w:cs="Calibri" w:ascii="Times New Roman" w:hAnsi="Times New Roman"/>
          <w:i/>
          <w:iCs/>
          <w:color w:val="595959"/>
          <w:sz w:val="18"/>
          <w:szCs w:val="18"/>
        </w:rPr>
        <w:t>Design target is p95 of 2 s (Week 1 performance bullet); the 3 s value in NFR-01 is treated as the maximum acceptance limit for pilot testing.</w:t>
      </w:r>
    </w:p>
    <w:p>
      <w:pPr>
        <w:pStyle w:val="Heading1"/>
        <w:keepNext w:val="true"/>
        <w:rPr>
          <w:rFonts w:ascii="Times New Roman" w:hAnsi="Times New Roman"/>
        </w:rPr>
      </w:pPr>
      <w:r>
        <w:rPr>
          <w:rFonts w:eastAsia="Calibri" w:cs="Calibri" w:ascii="Times New Roman" w:hAnsi="Times New Roman"/>
        </w:rPr>
        <w:t>10. Deployment and DevOps</w:t>
      </w:r>
    </w:p>
    <w:tbl>
      <w:tblPr>
        <w:tblW w:w="9026" w:type="dxa"/>
        <w:jc w:val="start"/>
        <w:tblInd w:w="0" w:type="dxa"/>
        <w:tblLayout w:type="fixed"/>
        <w:tblCellMar>
          <w:top w:w="60" w:type="dxa"/>
          <w:start w:w="90" w:type="dxa"/>
          <w:bottom w:w="60" w:type="dxa"/>
          <w:end w:w="90" w:type="dxa"/>
        </w:tblCellMar>
      </w:tblPr>
      <w:tblGrid>
        <w:gridCol w:w="1899"/>
        <w:gridCol w:w="3501"/>
        <w:gridCol w:w="3626"/>
      </w:tblGrid>
      <w:tr>
        <w:trPr>
          <w:tblHeader w:val="true"/>
          <w:cantSplit/>
        </w:trPr>
        <w:tc>
          <w:tcPr>
            <w:tcW w:w="18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Environment</w:t>
            </w:r>
          </w:p>
        </w:tc>
        <w:tc>
          <w:tcPr>
            <w:tcW w:w="35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Purpose</w:t>
            </w:r>
          </w:p>
        </w:tc>
        <w:tc>
          <w:tcPr>
            <w:tcW w:w="36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Data</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Development</w:t>
            </w:r>
          </w:p>
        </w:tc>
        <w:tc>
          <w:tcPr>
            <w:tcW w:w="3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Developer integration and feature work</w:t>
            </w:r>
          </w:p>
        </w:tc>
        <w:tc>
          <w:tcPr>
            <w:tcW w:w="3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Synthetic only</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Test / QA</w:t>
            </w:r>
          </w:p>
        </w:tc>
        <w:tc>
          <w:tcPr>
            <w:tcW w:w="35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Automated and manual testing</w:t>
            </w:r>
          </w:p>
        </w:tc>
        <w:tc>
          <w:tcPr>
            <w:tcW w:w="3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Synthetic only</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Staging</w:t>
            </w:r>
          </w:p>
        </w:tc>
        <w:tc>
          <w:tcPr>
            <w:tcW w:w="3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Production-like rehearsal, performance and security tests, UAT</w:t>
            </w:r>
          </w:p>
        </w:tc>
        <w:tc>
          <w:tcPr>
            <w:tcW w:w="3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Anonymised</w:t>
            </w:r>
          </w:p>
        </w:tc>
      </w:tr>
      <w:tr>
        <w:trPr>
          <w:cantSplit/>
        </w:trPr>
        <w:tc>
          <w:tcPr>
            <w:tcW w:w="18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Production</w:t>
            </w:r>
          </w:p>
        </w:tc>
        <w:tc>
          <w:tcPr>
            <w:tcW w:w="35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Live service (3 network zones)</w:t>
            </w:r>
          </w:p>
        </w:tc>
        <w:tc>
          <w:tcPr>
            <w:tcW w:w="36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Real citizen data, fully protected</w:t>
            </w:r>
          </w:p>
        </w:tc>
      </w:tr>
      <w:tr>
        <w:trPr>
          <w:cantSplit/>
        </w:trPr>
        <w:tc>
          <w:tcPr>
            <w:tcW w:w="18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8"/>
                <w:szCs w:val="18"/>
              </w:rPr>
              <w:t>Disaster recovery</w:t>
            </w:r>
          </w:p>
        </w:tc>
        <w:tc>
          <w:tcPr>
            <w:tcW w:w="35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Warm standby</w:t>
            </w:r>
          </w:p>
        </w:tc>
        <w:tc>
          <w:tcPr>
            <w:tcW w:w="36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8"/>
                <w:szCs w:val="18"/>
              </w:rPr>
              <w:t>Replicated, encrypted</w:t>
            </w:r>
          </w:p>
        </w:tc>
      </w:tr>
    </w:tbl>
    <w:p>
      <w:pPr>
        <w:pStyle w:val="Normal"/>
        <w:keepNext w:val="false"/>
        <w:spacing w:before="120" w:after="60"/>
        <w:jc w:val="center"/>
        <w:rPr>
          <w:rFonts w:ascii="Times New Roman" w:hAnsi="Times New Roman"/>
        </w:rPr>
      </w:pPr>
      <w:r>
        <w:rPr>
          <w:rFonts w:ascii="Times New Roman" w:hAnsi="Times New Roman"/>
        </w:rPr>
        <w:drawing>
          <wp:inline distT="0" distB="0" distL="0" distR="0">
            <wp:extent cx="5762625" cy="1600200"/>
            <wp:effectExtent l="0" t="0" r="0" b="0"/>
            <wp:docPr id="6" name="fig6_cicd" descr="fig6_cicd" title="fig6_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cicd" descr="fig6_cicd" title="fig6_cicd"/>
                    <pic:cNvPicPr>
                      <a:picLocks noChangeAspect="1" noChangeArrowheads="1"/>
                    </pic:cNvPicPr>
                  </pic:nvPicPr>
                  <pic:blipFill>
                    <a:blip r:embed="rId7"/>
                    <a:stretch>
                      <a:fillRect/>
                    </a:stretch>
                  </pic:blipFill>
                  <pic:spPr bwMode="auto">
                    <a:xfrm>
                      <a:off x="0" y="0"/>
                      <a:ext cx="5762625" cy="1600200"/>
                    </a:xfrm>
                    <a:prstGeom prst="rect">
                      <a:avLst/>
                    </a:prstGeom>
                    <a:noFill/>
                  </pic:spPr>
                </pic:pic>
              </a:graphicData>
            </a:graphic>
          </wp:inline>
        </w:drawing>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Protected main branch, mandatory code review, signed commits; infrastructure and Helm charts stored in Git (infrastructure-as-code).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Security gates fail the build on critical findings; production release needs security and service-owner approval.</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Rolling or blue-green deployments with automated rollback; database migrations versioned and backward compatible.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OpenAPI contracts are published for every service (NFR-10); unit-test coverage target of at least 70% (proposed).</w:t>
      </w:r>
    </w:p>
    <w:p>
      <w:pPr>
        <w:pStyle w:val="Heading1"/>
        <w:keepNext w:val="true"/>
        <w:rPr>
          <w:rFonts w:ascii="Times New Roman" w:hAnsi="Times New Roman"/>
        </w:rPr>
      </w:pPr>
      <w:r>
        <w:rPr>
          <w:rFonts w:eastAsia="Calibri" w:cs="Calibri" w:ascii="Times New Roman" w:hAnsi="Times New Roman"/>
        </w:rPr>
        <w:t>11. Design Justification: Requirement Traceability</w:t>
      </w:r>
    </w:p>
    <w:p>
      <w:pPr>
        <w:pStyle w:val="Normal"/>
        <w:keepNext w:val="true"/>
        <w:spacing w:lineRule="auto" w:line="276" w:before="0" w:after="100"/>
        <w:jc w:val="start"/>
        <w:rPr>
          <w:rFonts w:ascii="Times New Roman" w:hAnsi="Times New Roman"/>
        </w:rPr>
      </w:pPr>
      <w:r>
        <w:rPr>
          <w:rFonts w:eastAsia="Calibri" w:cs="Calibri" w:ascii="Times New Roman" w:hAnsi="Times New Roman"/>
        </w:rPr>
        <w:t>Every Week 1 requirement maps to an architectural element, which shows that the design meets both functional and non-functional needs.</w:t>
      </w:r>
    </w:p>
    <w:p>
      <w:pPr>
        <w:pStyle w:val="Heading2"/>
        <w:keepNext w:val="true"/>
        <w:rPr>
          <w:rFonts w:ascii="Times New Roman" w:hAnsi="Times New Roman"/>
          <w:color w:val="000000"/>
        </w:rPr>
      </w:pPr>
      <w:r>
        <w:rPr>
          <w:rFonts w:eastAsia="Calibri" w:cs="Calibri" w:ascii="Times New Roman" w:hAnsi="Times New Roman"/>
          <w:color w:val="000000"/>
        </w:rPr>
        <w:t>11.1 Functional Requirements to Architecture</w:t>
      </w:r>
    </w:p>
    <w:tbl>
      <w:tblPr>
        <w:tblW w:w="9026" w:type="dxa"/>
        <w:jc w:val="start"/>
        <w:tblInd w:w="0" w:type="dxa"/>
        <w:tblLayout w:type="fixed"/>
        <w:tblCellMar>
          <w:top w:w="60" w:type="dxa"/>
          <w:start w:w="90" w:type="dxa"/>
          <w:bottom w:w="60" w:type="dxa"/>
          <w:end w:w="90" w:type="dxa"/>
        </w:tblCellMar>
      </w:tblPr>
      <w:tblGrid>
        <w:gridCol w:w="799"/>
        <w:gridCol w:w="2301"/>
        <w:gridCol w:w="699"/>
        <w:gridCol w:w="5227"/>
      </w:tblGrid>
      <w:tr>
        <w:trPr>
          <w:tblHeader w:val="true"/>
          <w:cantSplit/>
        </w:trPr>
        <w:tc>
          <w:tcPr>
            <w:tcW w:w="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ID</w:t>
            </w:r>
          </w:p>
        </w:tc>
        <w:tc>
          <w:tcPr>
            <w:tcW w:w="23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Requirement</w:t>
            </w:r>
          </w:p>
        </w:tc>
        <w:tc>
          <w:tcPr>
            <w:tcW w:w="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Priority</w:t>
            </w:r>
          </w:p>
        </w:tc>
        <w:tc>
          <w:tcPr>
            <w:tcW w:w="52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Architectural element that satisfies it</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FR-01</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Register and sign in</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Identity Service (Keycloak, OIDC, OTP); Citizen Portal</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FR-02</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Profile management</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Should</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Citizen Profile Service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FR-03</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Service catalogue</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Service Catalogue Service; Redis/CDN cache</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FR-04</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Application form with validation</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Form schema from Catalogue; client and server validation in Application Service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FR-05</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Save draft</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Should</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Draft status in Application Service; state saved server-side</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FR-06</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Safe document upload</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Document Service: type/size checks, ClamAV, SHA-256, private storage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FR-07</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Unique reference and timestamp</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Application Service: DB sequence-based reference, committed in transaction</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FR-08</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Status tracking and history</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Status-history table, My Applications API, Notification events</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FR-09</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Staff work queue</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Queue API with role and department filters; OpenSearch</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FR-10</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Review, decide, request information</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Workflow engine, Staff Console, Document Service</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FR-11</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Citizen response to requests</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Action Required to Under Review transition; document re-upload</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FR-12</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Notifications</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Should</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Message broker, Notification Service, SMS/e-mail adapters</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FR-13</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Complaint / help request</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Should</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Grievance Service with tracking reference</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FR-14</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Role management</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Keycloak roles, RBAC matrix, admin APIs</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FR-15</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Audit trail</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Audit pipeline, append-only hash-chained log</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FR-16</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Reports</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Should</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Reporting Service on read replica / search index</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FR-17</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Search and filtering</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Should</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OpenSearch index fed by events</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FR-18</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Service configuration</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Could</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Catalogue admin APIs under change control and audit</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FR-19</w:t>
            </w:r>
          </w:p>
        </w:tc>
        <w:tc>
          <w:tcPr>
            <w:tcW w:w="230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Accessibility support</w:t>
            </w:r>
          </w:p>
        </w:tc>
        <w:tc>
          <w:tcPr>
            <w:tcW w:w="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Accessible component library, axe tests in CI, manual screen-reader tests</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FR-20</w:t>
            </w:r>
          </w:p>
        </w:tc>
        <w:tc>
          <w:tcPr>
            <w:tcW w:w="2301"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Session control</w:t>
            </w:r>
          </w:p>
        </w:tc>
        <w:tc>
          <w:tcPr>
            <w:tcW w:w="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Must</w:t>
            </w:r>
          </w:p>
        </w:tc>
        <w:tc>
          <w:tcPr>
            <w:tcW w:w="52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Token expiry, idle timeout, re-authentication in Identity Service and gateway</w:t>
            </w:r>
          </w:p>
        </w:tc>
      </w:tr>
    </w:tbl>
    <w:p>
      <w:pPr>
        <w:pStyle w:val="Normal"/>
        <w:spacing w:before="0" w:after="8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11.2 Non-Functional Requirements to Architecture</w:t>
      </w:r>
    </w:p>
    <w:tbl>
      <w:tblPr>
        <w:tblW w:w="9026" w:type="dxa"/>
        <w:jc w:val="start"/>
        <w:tblInd w:w="0" w:type="dxa"/>
        <w:tblLayout w:type="fixed"/>
        <w:tblCellMar>
          <w:top w:w="60" w:type="dxa"/>
          <w:start w:w="90" w:type="dxa"/>
          <w:bottom w:w="60" w:type="dxa"/>
          <w:end w:w="90" w:type="dxa"/>
        </w:tblCellMar>
      </w:tblPr>
      <w:tblGrid>
        <w:gridCol w:w="799"/>
        <w:gridCol w:w="1500"/>
        <w:gridCol w:w="4027"/>
        <w:gridCol w:w="2700"/>
      </w:tblGrid>
      <w:tr>
        <w:trPr>
          <w:tblHeader w:val="true"/>
          <w:cantSplit/>
        </w:trPr>
        <w:tc>
          <w:tcPr>
            <w:tcW w:w="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ID</w:t>
            </w:r>
          </w:p>
        </w:tc>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Attribute</w:t>
            </w:r>
          </w:p>
        </w:tc>
        <w:tc>
          <w:tcPr>
            <w:tcW w:w="40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Design decision</w:t>
            </w:r>
          </w:p>
        </w:tc>
        <w:tc>
          <w:tcPr>
            <w:tcW w:w="27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6"/>
                <w:szCs w:val="16"/>
              </w:rPr>
              <w:t>Verification</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NFR-01</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Performance</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CDN, Redis cache, indexes, async side-effects, connection pools</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Load test, p95 report</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NFR-02</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Availability</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Multi-AZ, 2+ replicas, health checks, DB failover, rolling deploys</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Uptime monitoring</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NFR-03</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Scalability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Stateless containers, HPA, read replicas, broker, object storage</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Load test, capacity review</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NFR-04</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Security</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Section 8: zones, OIDC/MFA, RBAC, encryption, scanning, secrets vault</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Security review, audit</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NFR-05</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Privacy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Data minimisation, classification, field encryption, retention jobs, synthetic test data</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Privacy impact review</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NFR-06</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Accessibility</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WCAG 2.2 AA components, keyboard navigation, ARIA</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Automated + manual tests</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NFR-07</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Usability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Guided forms, drafts, status tracker, plain language, assisted channel</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Moderated usability tests</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NFR-08</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Reliability</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Idempotency, retries, circuit breakers, outbox, dead-letter queue</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Failure-path tests</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NFR-09</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Backup / recovery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Daily backup, WAL archive, DR site, restore drills</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Restore test evidence</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NFR-10</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Maintainability</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Modular services, OpenAPI, CI, code review, tests</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Code review, documentation</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NFR-11</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Compatibility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Responsive design, browser matrix, progressive enhancement</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Browser/device matrix</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NFR-12</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Interoperability</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REST/OpenAPI, adapters with fallback behaviour</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Integration tests</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NFR-13</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Auditability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Hash-chained audit store, restricted access, SIEM</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Audit-log inspection</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NFR-14</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Localization</w:t>
            </w:r>
          </w:p>
        </w:tc>
        <w:tc>
          <w:tcPr>
            <w:tcW w:w="40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i18n bundles, UTF-8, English + Hindi, Unicode fonts</w:t>
            </w:r>
          </w:p>
        </w:tc>
        <w:tc>
          <w:tcPr>
            <w:tcW w:w="27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Language review</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NFR-15</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Data integrity</w:t>
            </w:r>
          </w:p>
        </w:tc>
        <w:tc>
          <w:tcPr>
            <w:tcW w:w="40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ACID, constraints, state machine, optimistic locking, checksums</w:t>
            </w:r>
          </w:p>
        </w:tc>
        <w:tc>
          <w:tcPr>
            <w:tcW w:w="27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6"/>
                <w:szCs w:val="16"/>
              </w:rPr>
              <w:t>Data validation tests</w:t>
            </w:r>
          </w:p>
        </w:tc>
      </w:tr>
    </w:tbl>
    <w:p>
      <w:pPr>
        <w:pStyle w:val="Normal"/>
        <w:spacing w:before="0" w:after="80"/>
        <w:rPr>
          <w:rFonts w:ascii="Times New Roman" w:hAnsi="Times New Roman"/>
        </w:rPr>
      </w:pPr>
      <w:r>
        <w:rPr>
          <w:rFonts w:ascii="Times New Roman" w:hAnsi="Times New Roman"/>
        </w:rPr>
      </w:r>
    </w:p>
    <w:p>
      <w:pPr>
        <w:pStyle w:val="Heading1"/>
        <w:keepNext w:val="true"/>
        <w:rPr>
          <w:rFonts w:ascii="Times New Roman" w:hAnsi="Times New Roman"/>
        </w:rPr>
      </w:pPr>
      <w:r>
        <w:rPr>
          <w:rFonts w:eastAsia="Calibri" w:cs="Calibri" w:ascii="Times New Roman" w:hAnsi="Times New Roman"/>
        </w:rPr>
        <w:t>12. Risks, Trade-offs and Assumptions</w:t>
      </w:r>
    </w:p>
    <w:p>
      <w:pPr>
        <w:pStyle w:val="Heading2"/>
        <w:keepNext w:val="true"/>
        <w:rPr>
          <w:rFonts w:ascii="Times New Roman" w:hAnsi="Times New Roman"/>
          <w:color w:val="000000"/>
        </w:rPr>
      </w:pPr>
      <w:r>
        <w:rPr>
          <w:rFonts w:eastAsia="Calibri" w:cs="Calibri" w:ascii="Times New Roman" w:hAnsi="Times New Roman"/>
          <w:color w:val="000000"/>
        </w:rPr>
        <w:t>12.1 Architectural Risks and Mitigations</w:t>
      </w:r>
    </w:p>
    <w:tbl>
      <w:tblPr>
        <w:tblW w:w="9026" w:type="dxa"/>
        <w:jc w:val="start"/>
        <w:tblInd w:w="0" w:type="dxa"/>
        <w:tblLayout w:type="fixed"/>
        <w:tblCellMar>
          <w:top w:w="60" w:type="dxa"/>
          <w:start w:w="90" w:type="dxa"/>
          <w:bottom w:w="60" w:type="dxa"/>
          <w:end w:w="90" w:type="dxa"/>
        </w:tblCellMar>
      </w:tblPr>
      <w:tblGrid>
        <w:gridCol w:w="2900"/>
        <w:gridCol w:w="2000"/>
        <w:gridCol w:w="4126"/>
      </w:tblGrid>
      <w:tr>
        <w:trPr>
          <w:tblHeader w:val="true"/>
          <w:cantSplit/>
        </w:trPr>
        <w:tc>
          <w:tcPr>
            <w:tcW w:w="2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Risk</w:t>
            </w:r>
          </w:p>
        </w:tc>
        <w:tc>
          <w:tcPr>
            <w:tcW w:w="2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Impact</w:t>
            </w:r>
          </w:p>
        </w:tc>
        <w:tc>
          <w:tcPr>
            <w:tcW w:w="41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Mitigation</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Over-engineering for a small pilot</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Delay, cost</w:t>
            </w:r>
          </w:p>
        </w:tc>
        <w:tc>
          <w:tcPr>
            <w:tcW w:w="4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Coarse-grained services; start with minimum replicas; add components only when needed</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Kubernetes operational complexity</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Outages, skill gap</w:t>
            </w:r>
          </w:p>
        </w:tc>
        <w:tc>
          <w:tcPr>
            <w:tcW w:w="4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Managed Kubernetes where available; runbooks; training; Compose only for local development</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Dependence on external APIs</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Feature failures</w:t>
            </w:r>
          </w:p>
        </w:tc>
        <w:tc>
          <w:tcPr>
            <w:tcW w:w="4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Adapters, circuit breakers, manual fallback, contracts and test environments</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Vendor lock-in</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Cost, flexibility</w:t>
            </w:r>
          </w:p>
        </w:tc>
        <w:tc>
          <w:tcPr>
            <w:tcW w:w="4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Open-source stack, S3-compatible storage, containers, infrastructure-as-code</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Data-residency or hosting rules change</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Re-hosting effort</w:t>
            </w:r>
          </w:p>
        </w:tc>
        <w:tc>
          <w:tcPr>
            <w:tcW w:w="4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Portable design; confirm hosting policy early</w:t>
            </w:r>
          </w:p>
        </w:tc>
      </w:tr>
      <w:tr>
        <w:trPr>
          <w:cantSplit/>
        </w:trPr>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Flexible JSONB form data hard to query</w:t>
            </w:r>
          </w:p>
        </w:tc>
        <w:tc>
          <w:tcPr>
            <w:tcW w:w="2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Slow reports</w:t>
            </w:r>
          </w:p>
        </w:tc>
        <w:tc>
          <w:tcPr>
            <w:tcW w:w="4126"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Index key fields, copy reporting fields into columns, use search index</w:t>
            </w:r>
          </w:p>
        </w:tc>
      </w:tr>
      <w:tr>
        <w:trPr>
          <w:cantSplit/>
        </w:trPr>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Security misconfiguration</w:t>
            </w:r>
          </w:p>
        </w:tc>
        <w:tc>
          <w:tcPr>
            <w:tcW w:w="2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Breach</w:t>
            </w:r>
          </w:p>
        </w:tc>
        <w:tc>
          <w:tcPr>
            <w:tcW w:w="4126"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Infrastructure-as-code, hardening baselines, pre-go-live third-party audit</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12.2 Key Trade-offs</w:t>
      </w:r>
    </w:p>
    <w:tbl>
      <w:tblPr>
        <w:tblW w:w="9026" w:type="dxa"/>
        <w:jc w:val="start"/>
        <w:tblInd w:w="0" w:type="dxa"/>
        <w:tblLayout w:type="fixed"/>
        <w:tblCellMar>
          <w:top w:w="60" w:type="dxa"/>
          <w:start w:w="90" w:type="dxa"/>
          <w:bottom w:w="60" w:type="dxa"/>
          <w:end w:w="90" w:type="dxa"/>
        </w:tblCellMar>
      </w:tblPr>
      <w:tblGrid>
        <w:gridCol w:w="2699"/>
        <w:gridCol w:w="3000"/>
        <w:gridCol w:w="3327"/>
      </w:tblGrid>
      <w:tr>
        <w:trPr>
          <w:tblHeader w:val="true"/>
          <w:cantSplit/>
        </w:trPr>
        <w:tc>
          <w:tcPr>
            <w:tcW w:w="2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Decision</w:t>
            </w:r>
          </w:p>
        </w:tc>
        <w:tc>
          <w:tcPr>
            <w:tcW w:w="30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Chosen</w:t>
            </w:r>
          </w:p>
        </w:tc>
        <w:tc>
          <w:tcPr>
            <w:tcW w:w="33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Trade-off accepted</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Service granularity</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8 coarse-grained services</w:t>
            </w:r>
          </w:p>
        </w:tc>
        <w:tc>
          <w:tcPr>
            <w:tcW w:w="3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Less independent than microservices, but far simpler to operate</w:t>
            </w:r>
          </w:p>
        </w:tc>
      </w:tr>
      <w:tr>
        <w:trPr>
          <w:cantSplit/>
        </w:trPr>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Authentication</w:t>
            </w:r>
          </w:p>
        </w:tc>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Keycloak (buy/reuse)</w:t>
            </w:r>
          </w:p>
        </w:tc>
        <w:tc>
          <w:tcPr>
            <w:tcW w:w="3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Less custom control, much lower security risk than custom code</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Messaging</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RabbitMQ</w:t>
            </w:r>
          </w:p>
        </w:tc>
        <w:tc>
          <w:tcPr>
            <w:tcW w:w="3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Lower peak throughput than Kafka, simpler for pilot; upgrade path defined</w:t>
            </w:r>
          </w:p>
        </w:tc>
      </w:tr>
      <w:tr>
        <w:trPr>
          <w:cantSplit/>
        </w:trPr>
        <w:tc>
          <w:tcPr>
            <w:tcW w:w="26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Form storage</w:t>
            </w:r>
          </w:p>
        </w:tc>
        <w:tc>
          <w:tcPr>
            <w:tcW w:w="30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Hybrid columns + JSONB</w:t>
            </w:r>
          </w:p>
        </w:tc>
        <w:tc>
          <w:tcPr>
            <w:tcW w:w="33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Some query complexity in exchange for configurable services</w:t>
            </w:r>
          </w:p>
        </w:tc>
      </w:tr>
      <w:tr>
        <w:trPr>
          <w:cantSplit/>
        </w:trPr>
        <w:tc>
          <w:tcPr>
            <w:tcW w:w="26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Consistency</w:t>
            </w:r>
          </w:p>
        </w:tc>
        <w:tc>
          <w:tcPr>
            <w:tcW w:w="30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Strong in core workflow, eventual for notifications/search</w:t>
            </w:r>
          </w:p>
        </w:tc>
        <w:tc>
          <w:tcPr>
            <w:tcW w:w="33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Search and alerts may lag by seconds</w:t>
            </w:r>
          </w:p>
        </w:tc>
      </w:tr>
    </w:tbl>
    <w:p>
      <w:pPr>
        <w:pStyle w:val="Normal"/>
        <w:spacing w:before="0" w:after="60"/>
        <w:rPr>
          <w:rFonts w:ascii="Times New Roman" w:hAnsi="Times New Roman"/>
        </w:rPr>
      </w:pPr>
      <w:r>
        <w:rPr>
          <w:rFonts w:ascii="Times New Roman" w:hAnsi="Times New Roman"/>
        </w:rPr>
      </w:r>
    </w:p>
    <w:p>
      <w:pPr>
        <w:pStyle w:val="Heading2"/>
        <w:keepNext w:val="true"/>
        <w:rPr>
          <w:rFonts w:ascii="Times New Roman" w:hAnsi="Times New Roman"/>
          <w:color w:val="000000"/>
        </w:rPr>
      </w:pPr>
      <w:r>
        <w:rPr>
          <w:rFonts w:eastAsia="Calibri" w:cs="Calibri" w:ascii="Times New Roman" w:hAnsi="Times New Roman"/>
          <w:color w:val="000000"/>
        </w:rPr>
        <w:t>12.3 Assumptions and Items to Confirm with the Department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Hosting provider, network zones and procurement route; availability of a DR site in India.</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Identity options (OTP only, DigiLocker, other) and whether any national ID data may be handled.</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SMS/e-mail gateway and payment gateway providers, with test environments.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Data-retention periods, languages beyond English and Hindi, and expected volumes beyond the pilot.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Final choice of technology stack with the development team; the architecture remains valid if a different back-end framework is selected.</w:t>
      </w:r>
    </w:p>
    <w:p>
      <w:pPr>
        <w:pStyle w:val="Heading1"/>
        <w:keepNext w:val="true"/>
        <w:rPr>
          <w:rFonts w:ascii="Times New Roman" w:hAnsi="Times New Roman"/>
        </w:rPr>
      </w:pPr>
      <w:r>
        <w:rPr>
          <w:rFonts w:eastAsia="Calibri" w:cs="Calibri" w:ascii="Times New Roman" w:hAnsi="Times New Roman"/>
        </w:rPr>
        <w:t>13. Conclusion and Next Steps</w:t>
      </w:r>
    </w:p>
    <w:p>
      <w:pPr>
        <w:pStyle w:val="Normal"/>
        <w:spacing w:lineRule="auto" w:line="276" w:before="0" w:after="100"/>
        <w:jc w:val="start"/>
        <w:rPr>
          <w:rFonts w:ascii="Times New Roman" w:hAnsi="Times New Roman"/>
        </w:rPr>
      </w:pPr>
      <w:r>
        <w:rPr>
          <w:rFonts w:eastAsia="Calibri" w:cs="Calibri" w:ascii="Times New Roman" w:hAnsi="Times New Roman"/>
        </w:rPr>
        <w:t>The proposed architecture gives the e-Governance portal a secure, scalable and maintainable foundation: a layered design with domain services, event-driven integration, strong data-integrity controls and a defence-in-depth security model. Each decision is traceable to a Week 1 requirement and justified against security, scalability and maintainability.</w:t>
      </w:r>
    </w:p>
    <w:p>
      <w:pPr>
        <w:pStyle w:val="Normal"/>
        <w:keepNext w:val="true"/>
        <w:spacing w:lineRule="auto" w:line="276" w:before="0" w:after="40"/>
        <w:jc w:val="start"/>
        <w:rPr>
          <w:rFonts w:ascii="Times New Roman" w:hAnsi="Times New Roman"/>
        </w:rPr>
      </w:pPr>
      <w:r>
        <w:rPr>
          <w:rFonts w:eastAsia="Calibri" w:cs="Calibri" w:ascii="Times New Roman" w:hAnsi="Times New Roman"/>
          <w:b/>
          <w:bCs/>
        </w:rPr>
        <w:t>Next steps: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Review this blueprint with the supervisor and service owner; resolve the open items in 12.3.</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Produce detailed API specifications (OpenAPI) and the physical database schema.</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Build wireframes and a clickable prototype of the citizen journey and staff console.</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Set up the CI/CD pipeline and a development environment, then implement the Identity and Application services first.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Plan performance, security and accessibility test cases using the targets in Sections 8 and 9.</w:t>
      </w:r>
    </w:p>
    <w:p>
      <w:pPr>
        <w:pStyle w:val="Normal"/>
        <w:rPr>
          <w:rFonts w:ascii="Times New Roman" w:hAnsi="Times New Roman"/>
        </w:rPr>
      </w:pPr>
      <w:r>
        <w:rPr>
          <w:rFonts w:ascii="Times New Roman" w:hAnsi="Times New Roman"/>
        </w:rPr>
      </w:r>
      <w:r>
        <w:br w:type="page"/>
      </w:r>
    </w:p>
    <w:p>
      <w:pPr>
        <w:pStyle w:val="Heading1"/>
        <w:keepNext w:val="true"/>
        <w:spacing w:before="0" w:after="140"/>
        <w:rPr>
          <w:rFonts w:ascii="Times New Roman" w:hAnsi="Times New Roman"/>
        </w:rPr>
      </w:pPr>
      <w:r>
        <w:rPr>
          <w:rFonts w:eastAsia="Calibri" w:cs="Calibri" w:ascii="Times New Roman" w:hAnsi="Times New Roman"/>
        </w:rPr>
        <w:t>Appendix A: Architecture Decision Log</w:t>
      </w:r>
    </w:p>
    <w:tbl>
      <w:tblPr>
        <w:tblW w:w="9026" w:type="dxa"/>
        <w:jc w:val="start"/>
        <w:tblInd w:w="0" w:type="dxa"/>
        <w:tblLayout w:type="fixed"/>
        <w:tblCellMar>
          <w:top w:w="60" w:type="dxa"/>
          <w:start w:w="90" w:type="dxa"/>
          <w:bottom w:w="60" w:type="dxa"/>
          <w:end w:w="90" w:type="dxa"/>
        </w:tblCellMar>
      </w:tblPr>
      <w:tblGrid>
        <w:gridCol w:w="799"/>
        <w:gridCol w:w="2800"/>
        <w:gridCol w:w="2900"/>
        <w:gridCol w:w="2527"/>
      </w:tblGrid>
      <w:tr>
        <w:trPr>
          <w:tblHeader w:val="true"/>
          <w:cantSplit/>
        </w:trPr>
        <w:tc>
          <w:tcPr>
            <w:tcW w:w="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ID</w:t>
            </w:r>
          </w:p>
        </w:tc>
        <w:tc>
          <w:tcPr>
            <w:tcW w:w="28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Decision</w:t>
            </w:r>
          </w:p>
        </w:tc>
        <w:tc>
          <w:tcPr>
            <w:tcW w:w="2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Main reason</w:t>
            </w:r>
          </w:p>
        </w:tc>
        <w:tc>
          <w:tcPr>
            <w:tcW w:w="25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Requirement link</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ADR-01</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Coarse-grained domain services behind an API gateway</w:t>
            </w:r>
          </w:p>
        </w:tc>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Balance of scalability and simplicity</w:t>
            </w:r>
          </w:p>
        </w:tc>
        <w:tc>
          <w:tcPr>
            <w:tcW w:w="2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NFR-03, NFR-10</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ADR-02</w:t>
            </w:r>
          </w:p>
        </w:tc>
        <w:tc>
          <w:tcPr>
            <w:tcW w:w="2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React SPA with accessible component library</w:t>
            </w:r>
          </w:p>
        </w:tc>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Reuse, accessibility, responsive UI</w:t>
            </w:r>
          </w:p>
        </w:tc>
        <w:tc>
          <w:tcPr>
            <w:tcW w:w="2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FR-19, NFR-06, NFR-11</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ADR-03</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Spring Boot back-end</w:t>
            </w:r>
          </w:p>
        </w:tc>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Security tooling, scale, government adoption</w:t>
            </w:r>
          </w:p>
        </w:tc>
        <w:tc>
          <w:tcPr>
            <w:tcW w:w="2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NFR-04, NFR-10</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ADR-04</w:t>
            </w:r>
          </w:p>
        </w:tc>
        <w:tc>
          <w:tcPr>
            <w:tcW w:w="2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Keycloak for identity (OIDC, MFA)</w:t>
            </w:r>
          </w:p>
        </w:tc>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Avoid custom authentication risk</w:t>
            </w:r>
          </w:p>
        </w:tc>
        <w:tc>
          <w:tcPr>
            <w:tcW w:w="2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FR-01, FR-14, FR-20</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ADR-05</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PostgreSQL as system of record</w:t>
            </w:r>
          </w:p>
        </w:tc>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ACID, constraints, JSONB</w:t>
            </w:r>
          </w:p>
        </w:tc>
        <w:tc>
          <w:tcPr>
            <w:tcW w:w="2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NFR-15</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ADR-06</w:t>
            </w:r>
          </w:p>
        </w:tc>
        <w:tc>
          <w:tcPr>
            <w:tcW w:w="2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Event-driven side effects with outbox</w:t>
            </w:r>
          </w:p>
        </w:tc>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Reliability and fast responses</w:t>
            </w:r>
          </w:p>
        </w:tc>
        <w:tc>
          <w:tcPr>
            <w:tcW w:w="2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NFR-08, FR-12</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ADR-07</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Object storage for documents, encrypted</w:t>
            </w:r>
          </w:p>
        </w:tc>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Scalability and security</w:t>
            </w:r>
          </w:p>
        </w:tc>
        <w:tc>
          <w:tcPr>
            <w:tcW w:w="2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FR-06, NFR-04</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ADR-08</w:t>
            </w:r>
          </w:p>
        </w:tc>
        <w:tc>
          <w:tcPr>
            <w:tcW w:w="2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Hash-chained audit log</w:t>
            </w:r>
          </w:p>
        </w:tc>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Tamper evidence</w:t>
            </w:r>
          </w:p>
        </w:tc>
        <w:tc>
          <w:tcPr>
            <w:tcW w:w="2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FR-15, NFR-13</w:t>
            </w:r>
          </w:p>
        </w:tc>
      </w:tr>
      <w:tr>
        <w:trPr>
          <w:cantSplit/>
        </w:trPr>
        <w:tc>
          <w:tcPr>
            <w:tcW w:w="7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ADR-09</w:t>
            </w:r>
          </w:p>
        </w:tc>
        <w:tc>
          <w:tcPr>
            <w:tcW w:w="28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Three-zone network with WAF and mTLS</w:t>
            </w:r>
          </w:p>
        </w:tc>
        <w:tc>
          <w:tcPr>
            <w:tcW w:w="29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Defence in depth</w:t>
            </w:r>
          </w:p>
        </w:tc>
        <w:tc>
          <w:tcPr>
            <w:tcW w:w="2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NFR-04</w:t>
            </w:r>
          </w:p>
        </w:tc>
      </w:tr>
      <w:tr>
        <w:trPr>
          <w:cantSplit/>
        </w:trPr>
        <w:tc>
          <w:tcPr>
            <w:tcW w:w="7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ADR-10</w:t>
            </w:r>
          </w:p>
        </w:tc>
        <w:tc>
          <w:tcPr>
            <w:tcW w:w="28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Kubernetes with autoscaling and multi-AZ</w:t>
            </w:r>
          </w:p>
        </w:tc>
        <w:tc>
          <w:tcPr>
            <w:tcW w:w="29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Availability and elasticity</w:t>
            </w:r>
          </w:p>
        </w:tc>
        <w:tc>
          <w:tcPr>
            <w:tcW w:w="2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NFR-02, NFR-03</w:t>
            </w:r>
          </w:p>
        </w:tc>
      </w:tr>
    </w:tbl>
    <w:p>
      <w:pPr>
        <w:pStyle w:val="Heading1"/>
        <w:keepNext w:val="true"/>
        <w:rPr>
          <w:rFonts w:ascii="Times New Roman" w:hAnsi="Times New Roman"/>
        </w:rPr>
      </w:pPr>
      <w:r>
        <w:rPr>
          <w:rFonts w:eastAsia="Calibri" w:cs="Calibri" w:ascii="Times New Roman" w:hAnsi="Times New Roman"/>
        </w:rPr>
        <w:t>Appendix B: Glossary</w:t>
      </w:r>
    </w:p>
    <w:tbl>
      <w:tblPr>
        <w:tblW w:w="9026" w:type="dxa"/>
        <w:jc w:val="start"/>
        <w:tblInd w:w="0" w:type="dxa"/>
        <w:tblLayout w:type="fixed"/>
        <w:tblCellMar>
          <w:top w:w="60" w:type="dxa"/>
          <w:start w:w="90" w:type="dxa"/>
          <w:bottom w:w="60" w:type="dxa"/>
          <w:end w:w="90" w:type="dxa"/>
        </w:tblCellMar>
      </w:tblPr>
      <w:tblGrid>
        <w:gridCol w:w="2199"/>
        <w:gridCol w:w="6827"/>
      </w:tblGrid>
      <w:tr>
        <w:trPr>
          <w:tblHeader w:val="true"/>
          <w:cantSplit/>
        </w:trPr>
        <w:tc>
          <w:tcPr>
            <w:tcW w:w="2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Term</w:t>
            </w:r>
          </w:p>
        </w:tc>
        <w:tc>
          <w:tcPr>
            <w:tcW w:w="68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7"/>
                <w:szCs w:val="17"/>
              </w:rPr>
              <w:t>Meaning</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ACID</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Atomicity, Consistency, Isolation, Durability - reliable database transaction properties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API Gateway</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Single entry point that authenticates, routes and limits API traffic</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CDN</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Content Delivery Network that serves static files from locations near users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HPA</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Horizontal Pod Autoscaler - Kubernetes feature that adds or removes replicas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Idempotency</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Repeating a request gives the same result and no duplicate effect</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JWT</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JSON Web Token used to carry signed identity claims</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KMS / HSM</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Key Management Service / Hardware Security Module for protecting encryption keys</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mTLS</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Mutual TLS - both client and server authenticate each other</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OIDC / OAuth 2.0</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Open standards for authentication and delegated authorisation</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Outbox pattern</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Writing events to a database table in the same transaction, then publishing them</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RBAC</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Role-Based Access Control</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RPO / RTO</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Recovery Point Objective (data loss tolerance) / Recovery Time Objective (downtime tolerance)</w:t>
            </w:r>
          </w:p>
        </w:tc>
      </w:tr>
      <w:tr>
        <w:trPr>
          <w:cantSplit/>
        </w:trPr>
        <w:tc>
          <w:tcPr>
            <w:tcW w:w="21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SIEM</w:t>
            </w:r>
          </w:p>
        </w:tc>
        <w:tc>
          <w:tcPr>
            <w:tcW w:w="68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Security Information and Event Management system</w:t>
            </w:r>
          </w:p>
        </w:tc>
      </w:tr>
      <w:tr>
        <w:trPr>
          <w:cantSplit/>
        </w:trPr>
        <w:tc>
          <w:tcPr>
            <w:tcW w:w="21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sz w:val="17"/>
                <w:szCs w:val="17"/>
              </w:rPr>
              <w:t>WAF</w:t>
            </w:r>
          </w:p>
        </w:tc>
        <w:tc>
          <w:tcPr>
            <w:tcW w:w="68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val="false"/>
                <w:bCs w:val="false"/>
                <w:sz w:val="17"/>
                <w:szCs w:val="17"/>
              </w:rPr>
              <w:t>Web Application Firewall that blocks common web attacks</w:t>
            </w:r>
          </w:p>
        </w:tc>
      </w:tr>
    </w:tbl>
    <w:p>
      <w:pPr>
        <w:pStyle w:val="Heading1"/>
        <w:keepNext w:val="true"/>
        <w:rPr>
          <w:rFonts w:ascii="Times New Roman" w:hAnsi="Times New Roman"/>
        </w:rPr>
      </w:pPr>
      <w:r>
        <w:rPr>
          <w:rFonts w:eastAsia="Calibri" w:cs="Calibri" w:ascii="Times New Roman" w:hAnsi="Times New Roman"/>
        </w:rPr>
        <w:t>Appendix C: References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Week 1 - Requirement Analysis and Planning, Unified e-Governance Service Portal (FR-01 to FR-20, NFR-01 to NFR-15).</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OWASP Top 10 (2021) and OWASP Application Security Verification Standard (ASVS).</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NIST SP 800-63B, Digital Identity Guidelines: Authentication and Lifecycle Management.</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Digital Personal Data Protection Act, 2023; Information Technology Act, 2000; CERT-In Directions of 28 April 2022.</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Guidelines for Indian Government Websites and Apps (GIGW 3.0); W3C WCAG 2.2.</w:t>
      </w:r>
    </w:p>
    <w:p>
      <w:pPr>
        <w:pStyle w:val="ListParagraph"/>
        <w:numPr>
          <w:ilvl w:val="0"/>
          <w:numId w:val="1"/>
        </w:numPr>
        <w:spacing w:lineRule="auto" w:line="264" w:before="0" w:after="60"/>
        <w:rPr>
          <w:rFonts w:ascii="Times New Roman" w:hAnsi="Times New Roman"/>
        </w:rPr>
      </w:pPr>
      <w:r>
        <w:rPr>
          <w:rFonts w:eastAsia="Calibri" w:cs="Calibri" w:ascii="Times New Roman" w:hAnsi="Times New Roman"/>
        </w:rPr>
        <w:t>MeitY: India Enterprise Architecture (IndEA); MeghRaj cloud empanelment; Policy on Adoption of Open Source Software for Government of India.</w:t>
      </w:r>
    </w:p>
    <w:p>
      <w:pPr>
        <w:pStyle w:val="Heading1"/>
        <w:keepNext w:val="true"/>
        <w:rPr>
          <w:rFonts w:ascii="Times New Roman" w:hAnsi="Times New Roman"/>
        </w:rPr>
      </w:pPr>
      <w:r>
        <w:rPr>
          <w:rFonts w:eastAsia="Calibri" w:cs="Calibri" w:ascii="Times New Roman" w:hAnsi="Times New Roman"/>
        </w:rPr>
        <w:t>Document Review Checklist</w:t>
      </w:r>
    </w:p>
    <w:tbl>
      <w:tblPr>
        <w:tblW w:w="9026" w:type="dxa"/>
        <w:jc w:val="start"/>
        <w:tblInd w:w="0" w:type="dxa"/>
        <w:tblLayout w:type="fixed"/>
        <w:tblCellMar>
          <w:top w:w="60" w:type="dxa"/>
          <w:start w:w="90" w:type="dxa"/>
          <w:bottom w:w="60" w:type="dxa"/>
          <w:end w:w="90" w:type="dxa"/>
        </w:tblCellMar>
      </w:tblPr>
      <w:tblGrid>
        <w:gridCol w:w="5999"/>
        <w:gridCol w:w="1500"/>
        <w:gridCol w:w="1527"/>
      </w:tblGrid>
      <w:tr>
        <w:trPr>
          <w:tblHeader w:val="true"/>
          <w:cantSplit/>
        </w:trPr>
        <w:tc>
          <w:tcPr>
            <w:tcW w:w="59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Check</w:t>
            </w:r>
          </w:p>
        </w:tc>
        <w:tc>
          <w:tcPr>
            <w:tcW w:w="15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Status</w:t>
            </w:r>
          </w:p>
        </w:tc>
        <w:tc>
          <w:tcPr>
            <w:tcW w:w="15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b/>
                <w:bCs/>
                <w:color w:val="FFFFFF"/>
                <w:sz w:val="18"/>
                <w:szCs w:val="18"/>
              </w:rPr>
              <w:t>Section</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System architecture described with components, modules and interactions</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3-5</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Diagrams included (layered, sequence, state, data, security zones, CI/CD)</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Figs 1-6</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Technology choices justified with alternatives</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7</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Security protocols and encryption methods covered</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8</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Scalable infrastructure and availability design</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9</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Design decisions traced to functional and non-functional requirements</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11</w:t>
            </w:r>
          </w:p>
        </w:tc>
      </w:tr>
      <w:tr>
        <w:trPr>
          <w:cantSplit/>
        </w:trPr>
        <w:tc>
          <w:tcPr>
            <w:tcW w:w="599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Risks, assumptions and open items stated</w:t>
            </w:r>
          </w:p>
        </w:tc>
        <w:tc>
          <w:tcPr>
            <w:tcW w:w="150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12</w:t>
            </w:r>
          </w:p>
        </w:tc>
      </w:tr>
      <w:tr>
        <w:trPr>
          <w:cantSplit/>
        </w:trPr>
        <w:tc>
          <w:tcPr>
            <w:tcW w:w="5999"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start"/>
              <w:rPr>
                <w:rFonts w:ascii="Times New Roman" w:hAnsi="Times New Roman"/>
              </w:rPr>
            </w:pPr>
            <w:r>
              <w:rPr>
                <w:rFonts w:eastAsia="Calibri" w:cs="Calibri" w:ascii="Times New Roman" w:hAnsi="Times New Roman"/>
                <w:sz w:val="18"/>
                <w:szCs w:val="18"/>
              </w:rPr>
              <w:t>Consistent with Week 1 IDs and targets</w:t>
            </w:r>
          </w:p>
        </w:tc>
        <w:tc>
          <w:tcPr>
            <w:tcW w:w="1500"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Complete</w:t>
            </w:r>
          </w:p>
        </w:tc>
        <w:tc>
          <w:tcPr>
            <w:tcW w:w="1527" w:type="dxa"/>
            <w:tcBorders>
              <w:top w:val="single" w:sz="4" w:space="0" w:color="BFBFBF"/>
              <w:start w:val="single" w:sz="4" w:space="0" w:color="BFBFBF"/>
              <w:bottom w:val="single" w:sz="4" w:space="0" w:color="BFBFBF"/>
              <w:end w:val="single" w:sz="4" w:space="0" w:color="BFBFBF"/>
            </w:tcBorders>
            <w:shd w:color="auto" w:fill="F7F9FC" w:val="clear"/>
            <w:vAlign w:val="center"/>
          </w:tcPr>
          <w:p>
            <w:pPr>
              <w:pStyle w:val="Normal"/>
              <w:spacing w:lineRule="auto" w:line="252" w:before="0" w:after="0"/>
              <w:jc w:val="center"/>
              <w:rPr>
                <w:rFonts w:ascii="Times New Roman" w:hAnsi="Times New Roman"/>
              </w:rPr>
            </w:pPr>
            <w:r>
              <w:rPr>
                <w:rFonts w:eastAsia="Calibri" w:cs="Calibri" w:ascii="Times New Roman" w:hAnsi="Times New Roman"/>
                <w:sz w:val="18"/>
                <w:szCs w:val="18"/>
              </w:rPr>
              <w:t>2.3, 11</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08" w:top="1440" w:footer="708" w:bottom="13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Week 2 Task  |  Anshika Sharma  |  Page </w:t>
    </w:r>
    <w:r>
      <w:rPr/>
      <w:fldChar w:fldCharType="begin"/>
    </w:r>
    <w:r>
      <w:rPr/>
      <w:instrText xml:space="preserve"> PAGE </w:instrText>
    </w:r>
    <w:r>
      <w:rPr/>
      <w:fldChar w:fldCharType="separate"/>
    </w:r>
    <w:r>
      <w:rPr/>
      <w:t>25</w:t>
    </w:r>
    <w:r>
      <w:rPr/>
      <w:fldChar w:fldCharType="end"/>
    </w:r>
    <w:r>
      <w:rPr>
        <w:rFonts w:eastAsia="Calibri" w:cs="Calibri"/>
        <w:color w:val="595959"/>
        <w:sz w:val="18"/>
        <w:szCs w:val="18"/>
      </w:rPr>
      <w:t xml:space="preserve"> of </w:t>
    </w:r>
    <w:r>
      <w:rPr/>
      <w:fldChar w:fldCharType="begin"/>
    </w:r>
    <w:r>
      <w:rPr/>
      <w:instrText xml:space="preserve"> NUMPAGES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Calibri" w:cs="Calibri"/>
        <w:color w:val="595959"/>
        <w:sz w:val="18"/>
        <w:szCs w:val="18"/>
      </w:rPr>
      <w:t>Unified e-Governance Service Portal  |  System Architecture &amp; Design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0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Heading1">
    <w:name w:val="heading 1"/>
    <w:basedOn w:val="Heading"/>
    <w:qFormat/>
    <w:pPr>
      <w:pBdr>
        <w:bottom w:val="single" w:sz="8" w:space="4" w:color="2E75B6"/>
      </w:pBdr>
      <w:spacing w:before="360" w:after="140"/>
      <w:outlineLvl w:val="0"/>
    </w:pPr>
    <w:rPr>
      <w:rFonts w:ascii="Calibri" w:hAnsi="Calibri" w:eastAsia="Calibri" w:cs="Calibri"/>
      <w:b/>
      <w:bCs/>
      <w:color w:val="1F3864"/>
      <w:sz w:val="34"/>
      <w:szCs w:val="34"/>
    </w:rPr>
  </w:style>
  <w:style w:type="paragraph" w:styleId="Heading2">
    <w:name w:val="heading 2"/>
    <w:basedOn w:val="Heading"/>
    <w:qFormat/>
    <w:pPr>
      <w:spacing w:before="240" w:after="100"/>
      <w:outlineLvl w:val="1"/>
    </w:pPr>
    <w:rPr>
      <w:rFonts w:ascii="Calibri" w:hAnsi="Calibri" w:eastAsia="Calibri" w:cs="Calibri"/>
      <w:b/>
      <w:bCs/>
      <w:color w:val="2E75B6"/>
      <w:sz w:val="26"/>
      <w:szCs w:val="26"/>
    </w:rPr>
  </w:style>
  <w:style w:type="paragraph" w:styleId="Heading3">
    <w:name w:val="heading 3"/>
    <w:basedOn w:val="Heading"/>
    <w:qFormat/>
    <w:pPr>
      <w:spacing w:before="160" w:after="80"/>
      <w:outlineLvl w:val="2"/>
    </w:pPr>
    <w:rPr>
      <w:rFonts w:ascii="Calibri" w:hAnsi="Calibri" w:eastAsia="Calibri" w:cs="Calibri"/>
      <w:b/>
      <w:bCs/>
      <w:color w:val="1F3864"/>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LibreOffice/26.2.6.3$Windows_X86_64 LibreOffice_project/8221e31b3ac356a1623c672912a3d2b492f7e3d1</Application>
  <AppVersion>15.0000</AppVersion>
  <Pages>25</Pages>
  <Words>6479</Words>
  <Characters>39974</Characters>
  <CharactersWithSpaces>45159</CharactersWithSpaces>
  <Paragraphs>1224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2026-10-28T14:23:51Z</dcterms:created>
  <dc:creator>Anshika Sharma</dc:creator>
  <dc:description/>
  <dc:language>en-IN</dc:language>
  <cp:lastModifiedBy/>
  <dcterms:modified xsi:type="dcterms:W3CDTF">2026-10-28T20:02:23Z</dcterms:modified>
  <cp:revision>2</cp:revision>
  <dc:subject/>
  <dc:title>Week 2 - System Architecture and Design - Unified e-Governance Service Portal</dc:title>
</cp:coreProperties>
</file>