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02" w:rsidRPr="001F597C" w:rsidRDefault="00DC41DE">
      <w:pPr>
        <w:rPr>
          <w:rFonts w:ascii="Times New Roman" w:hAnsi="Times New Roman" w:cs="Times New Roman"/>
          <w:b/>
          <w:sz w:val="28"/>
          <w:szCs w:val="28"/>
        </w:rPr>
      </w:pPr>
      <w:r w:rsidRPr="001F597C">
        <w:rPr>
          <w:rFonts w:ascii="Times New Roman" w:hAnsi="Times New Roman" w:cs="Times New Roman"/>
          <w:b/>
          <w:sz w:val="28"/>
          <w:szCs w:val="28"/>
        </w:rPr>
        <w:t>Prostate Cancer Dataset</w:t>
      </w:r>
    </w:p>
    <w:p w:rsidR="00DC41DE" w:rsidRPr="00DC41DE" w:rsidRDefault="00DC41DE" w:rsidP="00DC41DE">
      <w:pPr>
        <w:rPr>
          <w:rFonts w:ascii="Times-Roman" w:hAnsi="Times-Roman"/>
          <w:sz w:val="24"/>
          <w:szCs w:val="24"/>
        </w:rPr>
      </w:pPr>
      <w:r w:rsidRPr="00DC41DE">
        <w:rPr>
          <w:rFonts w:ascii="Times-Roman" w:hAnsi="Times-Roman"/>
          <w:sz w:val="24"/>
          <w:szCs w:val="24"/>
        </w:rPr>
        <w:t xml:space="preserve">The problem consists of finding meaningful biomarkers in prostate cancer. This can be done via classification and feature selection for selecting genes that contribute to one or more different classifications. A dataset of 494 samples downloaded from the Genomic Data Commons (formerly </w:t>
      </w:r>
      <w:proofErr w:type="spellStart"/>
      <w:r w:rsidRPr="00DC41DE">
        <w:rPr>
          <w:rFonts w:ascii="Times-Roman" w:hAnsi="Times-Roman"/>
          <w:sz w:val="24"/>
          <w:szCs w:val="24"/>
        </w:rPr>
        <w:t>cBioPortal</w:t>
      </w:r>
      <w:proofErr w:type="spellEnd"/>
      <w:r w:rsidRPr="00DC41DE">
        <w:rPr>
          <w:rFonts w:ascii="Times-Roman" w:hAnsi="Times-Roman"/>
          <w:sz w:val="24"/>
          <w:szCs w:val="24"/>
        </w:rPr>
        <w:t>) contains gene expressions for a few dozen thousand genes. Y</w:t>
      </w:r>
      <w:r w:rsidRPr="00DC41DE">
        <w:rPr>
          <w:rFonts w:ascii="Times-Roman" w:hAnsi="Times-Roman" w:hint="eastAsia"/>
          <w:sz w:val="24"/>
          <w:szCs w:val="24"/>
        </w:rPr>
        <w:t>o</w:t>
      </w:r>
      <w:r w:rsidRPr="00DC41DE">
        <w:rPr>
          <w:rFonts w:ascii="Times-Roman" w:hAnsi="Times-Roman"/>
          <w:sz w:val="24"/>
          <w:szCs w:val="24"/>
        </w:rPr>
        <w:t>u are free to work on one or more problems as discussed in class: classification,</w:t>
      </w:r>
      <w:bookmarkStart w:id="0" w:name="_GoBack"/>
      <w:bookmarkEnd w:id="0"/>
      <w:r w:rsidRPr="00DC41DE">
        <w:rPr>
          <w:rFonts w:ascii="Times-Roman" w:hAnsi="Times-Roman"/>
          <w:sz w:val="24"/>
          <w:szCs w:val="24"/>
        </w:rPr>
        <w:t xml:space="preserve"> solving the multi-class problem, feature selection, other aspects, or a combination of these, by using one or more clinical variables (e.g., clinical stage of progression, primary site, Gleason score, etc.).</w:t>
      </w:r>
    </w:p>
    <w:p w:rsidR="00DC41DE" w:rsidRPr="00DC41DE" w:rsidRDefault="00DC41DE" w:rsidP="00DC41DE">
      <w:pPr>
        <w:rPr>
          <w:rFonts w:ascii="Times-Roman" w:hAnsi="Times-Roman"/>
          <w:sz w:val="24"/>
          <w:szCs w:val="24"/>
        </w:rPr>
      </w:pPr>
    </w:p>
    <w:p w:rsidR="00DC41DE" w:rsidRPr="00DC41DE" w:rsidRDefault="00DC41DE" w:rsidP="00DC41DE">
      <w:pPr>
        <w:rPr>
          <w:rFonts w:ascii="Times-Roman" w:hAnsi="Times-Roman"/>
          <w:sz w:val="24"/>
          <w:szCs w:val="24"/>
        </w:rPr>
      </w:pPr>
      <w:r w:rsidRPr="00DC41DE">
        <w:rPr>
          <w:rFonts w:ascii="Times-Roman" w:hAnsi="Times-Roman"/>
          <w:sz w:val="24"/>
          <w:szCs w:val="24"/>
        </w:rPr>
        <w:t>prad_tcga_clinical_data.xlsx contains the clinical variables for all 494 samples (patients) in the dataset.</w:t>
      </w:r>
      <w:r w:rsidRPr="00DC41DE">
        <w:rPr>
          <w:rFonts w:ascii="Times-Roman" w:hAnsi="Times-Roman"/>
          <w:sz w:val="24"/>
          <w:szCs w:val="24"/>
        </w:rPr>
        <w:br/>
      </w:r>
    </w:p>
    <w:p w:rsidR="00DC41DE" w:rsidRPr="00DC41DE" w:rsidRDefault="00DC41DE" w:rsidP="00DC41DE">
      <w:pPr>
        <w:rPr>
          <w:rFonts w:ascii="Times-Roman" w:hAnsi="Times-Roman"/>
          <w:sz w:val="24"/>
          <w:szCs w:val="24"/>
        </w:rPr>
      </w:pPr>
      <w:r w:rsidRPr="00DC41DE">
        <w:rPr>
          <w:rFonts w:ascii="Times-Roman" w:hAnsi="Times-Roman"/>
          <w:sz w:val="24"/>
          <w:szCs w:val="24"/>
        </w:rPr>
        <w:t xml:space="preserve">prad_tcga_genes.xlsx contains gene expression ratios for a few dozen thousand genes. </w:t>
      </w:r>
    </w:p>
    <w:p w:rsidR="00DC41DE" w:rsidRPr="00DC41DE" w:rsidRDefault="00DC41DE" w:rsidP="00DC41DE">
      <w:pPr>
        <w:rPr>
          <w:sz w:val="24"/>
          <w:szCs w:val="24"/>
        </w:rPr>
      </w:pPr>
      <w:r w:rsidRPr="00DC41DE">
        <w:rPr>
          <w:rFonts w:ascii="Times-Roman" w:hAnsi="Times-Roman"/>
          <w:sz w:val="24"/>
          <w:szCs w:val="24"/>
        </w:rPr>
        <w:t xml:space="preserve">More details of the clinical variables and the gene expression tables can be found at </w:t>
      </w:r>
      <w:hyperlink r:id="rId4" w:history="1">
        <w:r w:rsidRPr="00DC41DE">
          <w:rPr>
            <w:rStyle w:val="Hyperlink"/>
            <w:rFonts w:ascii="Times-Roman" w:hAnsi="Times-Roman"/>
            <w:sz w:val="24"/>
            <w:szCs w:val="24"/>
          </w:rPr>
          <w:t>http://www.cbioportal.org/data_sets.jsp</w:t>
        </w:r>
      </w:hyperlink>
      <w:r w:rsidRPr="00DC41DE">
        <w:rPr>
          <w:rFonts w:ascii="Times-Roman" w:hAnsi="Times-Roman"/>
          <w:sz w:val="24"/>
          <w:szCs w:val="24"/>
        </w:rPr>
        <w:t xml:space="preserve"> . Once there, search for “prostate adenocarcinoma” and choose “Prostate Adenocarcinoma (TCGA, Provisional)” that contains 499 samples.</w:t>
      </w:r>
    </w:p>
    <w:sectPr w:rsidR="00DC41DE" w:rsidRPr="00DC4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9A"/>
    <w:rsid w:val="001F597C"/>
    <w:rsid w:val="00C85502"/>
    <w:rsid w:val="00D92B9A"/>
    <w:rsid w:val="00DC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4758"/>
  <w15:chartTrackingRefBased/>
  <w15:docId w15:val="{CDE2FF74-D567-467F-B237-CE2DC736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bioportal.org/data_set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Rueda</dc:creator>
  <cp:keywords/>
  <dc:description/>
  <cp:lastModifiedBy>Luis Rueda</cp:lastModifiedBy>
  <cp:revision>2</cp:revision>
  <dcterms:created xsi:type="dcterms:W3CDTF">2017-06-07T14:33:00Z</dcterms:created>
  <dcterms:modified xsi:type="dcterms:W3CDTF">2017-06-07T14:46:00Z</dcterms:modified>
</cp:coreProperties>
</file>