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cf2ced5500e66c49f0df142a2f665f40b7449d"/>
    <w:p>
      <w:pPr>
        <w:pStyle w:val="Heading1"/>
        <w:spacing w:before="20" w:after="40"/>
      </w:pPr>
      <w:r>
        <w:t xml:space="preserve">Growth Plan: 500 Final-Year Registrations in 7 Days</w:t>
      </w:r>
    </w:p>
    <w:p>
      <w:pPr>
        <w:pStyle w:val="FirstParagraph"/>
        <w:spacing w:before="20" w:after="40"/>
      </w:pPr>
      <w:r>
        <w:rPr>
          <w:bCs/>
          <w:b/>
          <w:sz w:val="17"/>
        </w:rPr>
        <w:t xml:space="preserve">Workshop:</w:t>
      </w:r>
      <w:r>
        <w:rPr>
          <w:sz w:val="17"/>
        </w:rPr>
        <w:t xml:space="preserve"> </w:t>
      </w:r>
      <w:r>
        <w:rPr>
          <w:sz w:val="17"/>
        </w:rPr>
        <w:t xml:space="preserve">“</w:t>
      </w:r>
      <w:r>
        <w:rPr>
          <w:sz w:val="17"/>
        </w:rPr>
        <w:t xml:space="preserve">Build Your First AI Project in 60 Minutes</w:t>
      </w:r>
      <w:r>
        <w:rPr>
          <w:sz w:val="17"/>
        </w:rPr>
        <w:t xml:space="preserve">”</w:t>
      </w:r>
      <w:r>
        <w:rPr>
          <w:sz w:val="17"/>
        </w:rPr>
        <w:t xml:space="preserve"> </w:t>
      </w:r>
      <w:r>
        <w:rPr>
          <w:sz w:val="17"/>
        </w:rPr>
        <w:t xml:space="preserve">·</w:t>
      </w:r>
      <w:r>
        <w:rPr>
          <w:sz w:val="17"/>
        </w:rPr>
        <w:t xml:space="preserve"> </w:t>
      </w:r>
      <w:r>
        <w:rPr>
          <w:bCs/>
          <w:b/>
          <w:sz w:val="17"/>
        </w:rPr>
        <w:t xml:space="preserve">Budget:</w:t>
      </w:r>
      <w:r>
        <w:rPr>
          <w:sz w:val="17"/>
        </w:rPr>
        <w:t xml:space="preserve"> </w:t>
      </w:r>
      <w:r>
        <w:rPr>
          <w:sz w:val="17"/>
        </w:rPr>
        <w:t xml:space="preserve">₹2,000 ·</w:t>
      </w:r>
      <w:r>
        <w:rPr>
          <w:sz w:val="17"/>
        </w:rPr>
        <w:t xml:space="preserve"> </w:t>
      </w:r>
      <w:r>
        <w:rPr>
          <w:bCs/>
          <w:b/>
          <w:sz w:val="17"/>
        </w:rPr>
        <w:t xml:space="preserve">Author:</w:t>
      </w:r>
      <w:r>
        <w:rPr>
          <w:sz w:val="17"/>
        </w:rPr>
        <w:t xml:space="preserve"> </w:t>
      </w:r>
      <w:r>
        <w:rPr>
          <w:sz w:val="17"/>
        </w:rPr>
        <w:t xml:space="preserve">Sinchana Shetty</w:t>
      </w:r>
    </w:p>
    <w:p>
      <w:pPr>
        <w:spacing w:before="20" w:after="40"/>
      </w:pPr>
      <w:r>
        <w:rPr>
          <w:sz w:val="17"/>
        </w:rPr>
        <w:pict>
          <v:rect style="width:0;height:1.5pt" o:hralign="center" o:hrstd="t" o:hr="t"/>
        </w:pict>
      </w:r>
    </w:p>
    <w:bookmarkStart w:id="20" w:name="who-im-targeting"/>
    <w:p>
      <w:pPr>
        <w:pStyle w:val="Heading2"/>
        <w:spacing w:before="20" w:after="40"/>
      </w:pPr>
      <w:r>
        <w:t xml:space="preserve">1. Who I’m targeting</w:t>
      </w:r>
    </w:p>
    <w:p>
      <w:pPr>
        <w:pStyle w:val="FirstParagraph"/>
        <w:spacing w:before="20" w:after="40"/>
      </w:pPr>
      <w:r>
        <w:rPr>
          <w:bCs/>
          <w:b/>
          <w:sz w:val="17"/>
        </w:rPr>
        <w:t xml:space="preserve">Primary persona:</w:t>
      </w:r>
      <w:r>
        <w:rPr>
          <w:bCs/>
          <w:b/>
          <w:sz w:val="17"/>
        </w:rPr>
        <w:t xml:space="preserve"> </w:t>
      </w:r>
      <w:r>
        <w:rPr>
          <w:bCs/>
          <w:b/>
          <w:sz w:val="17"/>
        </w:rPr>
        <w:t xml:space="preserve">“</w:t>
      </w:r>
      <w:r>
        <w:rPr>
          <w:bCs/>
          <w:b/>
          <w:sz w:val="17"/>
        </w:rPr>
        <w:t xml:space="preserve">Placement-anxious Priya/Ravi</w:t>
      </w:r>
      <w:r>
        <w:rPr>
          <w:bCs/>
          <w:b/>
          <w:sz w:val="17"/>
        </w:rPr>
        <w:t xml:space="preserve">”</w:t>
      </w:r>
      <w:r>
        <w:rPr>
          <w:sz w:val="17"/>
        </w:rPr>
        <w:t xml:space="preserve">: a final-year engineering student (CSE/IT/AIML first, ECE/EEE second) at a tier-2 or tier-3 college, in the middle of campus placement season.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6"/>
              </w:rPr>
              <w:t xml:space="preserve">What they feel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“</w:t>
            </w:r>
            <w:r>
              <w:rPr>
                <w:sz w:val="16"/>
              </w:rPr>
              <w:t xml:space="preserve">Everyone says AI, I have no project to show. I’m late.</w:t>
            </w:r>
            <w:r>
              <w:rPr>
                <w:sz w:val="16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6"/>
              </w:rPr>
              <w:t xml:space="preserve">What they’ve tried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YouTube playlists, half-finished courses, copy-paste mini-projects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6"/>
              </w:rPr>
              <w:t xml:space="preserve">Biggest fear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Being asked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“</w:t>
            </w:r>
            <w:r>
              <w:rPr>
                <w:sz w:val="16"/>
              </w:rPr>
              <w:t xml:space="preserve">what have you built?</w:t>
            </w:r>
            <w:r>
              <w:rPr>
                <w:sz w:val="16"/>
              </w:rPr>
              <w:t xml:space="preserve">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in an interview and having nothing real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6"/>
              </w:rPr>
              <w:t xml:space="preserve">Where they live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College WhatsApp groups, club/department groups, Instagram, LinkedIn, Telegram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6"/>
              </w:rPr>
              <w:t xml:space="preserve">Who they trust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Classmates and seniors, not ads</w:t>
            </w:r>
          </w:p>
        </w:tc>
      </w:tr>
    </w:tbl>
    <w:p>
      <w:pPr>
        <w:pStyle w:val="BodyText"/>
        <w:spacing w:before="20" w:after="40"/>
      </w:pPr>
      <w:r>
        <w:rPr>
          <w:bCs/>
          <w:b/>
          <w:sz w:val="17"/>
        </w:rPr>
        <w:t xml:space="preserve">Why they’d care:</w:t>
      </w:r>
      <w:r>
        <w:rPr>
          <w:sz w:val="17"/>
        </w:rPr>
        <w:t xml:space="preserve"> </w:t>
      </w:r>
      <w:r>
        <w:rPr>
          <w:sz w:val="17"/>
        </w:rPr>
        <w:t xml:space="preserve">a project is the one thing that moves interview outcomes, and this promises one in an hour, for free.</w:t>
      </w:r>
    </w:p>
    <w:p>
      <w:pPr>
        <w:pStyle w:val="BodyText"/>
        <w:spacing w:before="20" w:after="40"/>
      </w:pPr>
      <w:r>
        <w:rPr>
          <w:bCs/>
          <w:b/>
          <w:sz w:val="17"/>
        </w:rPr>
        <w:t xml:space="preserve">What makes them register (4 triggers):</w:t>
      </w:r>
      <w:r>
        <w:rPr>
          <w:sz w:val="17"/>
        </w:rPr>
        <w:t xml:space="preserve"> </w:t>
      </w:r>
      <w:r>
        <w:rPr>
          <w:sz w:val="17"/>
        </w:rPr>
        <w:t xml:space="preserve">1.</w:t>
      </w:r>
      <w:r>
        <w:rPr>
          <w:sz w:val="17"/>
        </w:rPr>
        <w:t xml:space="preserve"> </w:t>
      </w:r>
      <w:r>
        <w:rPr>
          <w:bCs/>
          <w:b/>
          <w:sz w:val="17"/>
        </w:rPr>
        <w:t xml:space="preserve">Concrete outcome</w:t>
      </w:r>
      <w:r>
        <w:rPr>
          <w:sz w:val="17"/>
        </w:rPr>
        <w:t xml:space="preserve">:</w:t>
      </w:r>
      <w:r>
        <w:rPr>
          <w:sz w:val="17"/>
        </w:rPr>
        <w:t xml:space="preserve"> </w:t>
      </w:r>
      <w:r>
        <w:rPr>
          <w:sz w:val="17"/>
        </w:rPr>
        <w:t xml:space="preserve">“</w:t>
      </w:r>
      <w:r>
        <w:rPr>
          <w:sz w:val="17"/>
        </w:rPr>
        <w:t xml:space="preserve">leave with a working project + GitHub link + a resume line</w:t>
      </w:r>
      <w:r>
        <w:rPr>
          <w:sz w:val="17"/>
        </w:rPr>
        <w:t xml:space="preserve">”</w:t>
      </w:r>
      <w:r>
        <w:rPr>
          <w:sz w:val="17"/>
        </w:rPr>
        <w:t xml:space="preserve">, not</w:t>
      </w:r>
      <w:r>
        <w:rPr>
          <w:sz w:val="17"/>
        </w:rPr>
        <w:t xml:space="preserve"> </w:t>
      </w:r>
      <w:r>
        <w:rPr>
          <w:sz w:val="17"/>
        </w:rPr>
        <w:t xml:space="preserve">“</w:t>
      </w:r>
      <w:r>
        <w:rPr>
          <w:sz w:val="17"/>
        </w:rPr>
        <w:t xml:space="preserve">learn AI</w:t>
      </w:r>
      <w:r>
        <w:rPr>
          <w:sz w:val="17"/>
        </w:rPr>
        <w:t xml:space="preserve">”</w:t>
      </w:r>
      <w:r>
        <w:rPr>
          <w:sz w:val="17"/>
        </w:rPr>
        <w:t xml:space="preserve">.</w:t>
      </w:r>
      <w:r>
        <w:rPr>
          <w:sz w:val="17"/>
        </w:rPr>
        <w:t xml:space="preserve"> </w:t>
      </w:r>
      <w:r>
        <w:rPr>
          <w:sz w:val="17"/>
        </w:rPr>
        <w:t xml:space="preserve">2.</w:t>
      </w:r>
      <w:r>
        <w:rPr>
          <w:sz w:val="17"/>
        </w:rPr>
        <w:t xml:space="preserve"> </w:t>
      </w:r>
      <w:r>
        <w:rPr>
          <w:bCs/>
          <w:b/>
          <w:sz w:val="17"/>
        </w:rPr>
        <w:t xml:space="preserve">Low risk</w:t>
      </w:r>
      <w:r>
        <w:rPr>
          <w:sz w:val="17"/>
        </w:rPr>
        <w:t xml:space="preserve">: free, 60 minutes, no experience needed.</w:t>
      </w:r>
      <w:r>
        <w:rPr>
          <w:sz w:val="17"/>
        </w:rPr>
        <w:t xml:space="preserve"> </w:t>
      </w:r>
      <w:r>
        <w:rPr>
          <w:sz w:val="17"/>
        </w:rPr>
        <w:t xml:space="preserve">3.</w:t>
      </w:r>
      <w:r>
        <w:rPr>
          <w:sz w:val="17"/>
        </w:rPr>
        <w:t xml:space="preserve"> </w:t>
      </w:r>
      <w:r>
        <w:rPr>
          <w:bCs/>
          <w:b/>
          <w:sz w:val="17"/>
        </w:rPr>
        <w:t xml:space="preserve">Personal relevance</w:t>
      </w:r>
      <w:r>
        <w:rPr>
          <w:sz w:val="17"/>
        </w:rPr>
        <w:t xml:space="preserve">: the project picker shows</w:t>
      </w:r>
      <w:r>
        <w:rPr>
          <w:sz w:val="17"/>
        </w:rPr>
        <w:t xml:space="preserve"> </w:t>
      </w:r>
      <w:r>
        <w:rPr>
          <w:iCs/>
          <w:i/>
          <w:sz w:val="17"/>
        </w:rPr>
        <w:t xml:space="preserve">their</w:t>
      </w:r>
      <w:r>
        <w:rPr>
          <w:sz w:val="17"/>
        </w:rPr>
        <w:t xml:space="preserve"> </w:t>
      </w:r>
      <w:r>
        <w:rPr>
          <w:sz w:val="17"/>
        </w:rPr>
        <w:t xml:space="preserve">branch and</w:t>
      </w:r>
      <w:r>
        <w:rPr>
          <w:sz w:val="17"/>
        </w:rPr>
        <w:t xml:space="preserve"> </w:t>
      </w:r>
      <w:r>
        <w:rPr>
          <w:iCs/>
          <w:i/>
          <w:sz w:val="17"/>
        </w:rPr>
        <w:t xml:space="preserve">their</w:t>
      </w:r>
      <w:r>
        <w:rPr>
          <w:sz w:val="17"/>
        </w:rPr>
        <w:t xml:space="preserve"> </w:t>
      </w:r>
      <w:r>
        <w:rPr>
          <w:sz w:val="17"/>
        </w:rPr>
        <w:t xml:space="preserve">topic.</w:t>
      </w:r>
      <w:r>
        <w:rPr>
          <w:sz w:val="17"/>
        </w:rPr>
        <w:t xml:space="preserve"> </w:t>
      </w:r>
      <w:r>
        <w:rPr>
          <w:sz w:val="17"/>
        </w:rPr>
        <w:t xml:space="preserve">4.</w:t>
      </w:r>
      <w:r>
        <w:rPr>
          <w:sz w:val="17"/>
        </w:rPr>
        <w:t xml:space="preserve"> </w:t>
      </w:r>
      <w:r>
        <w:rPr>
          <w:bCs/>
          <w:b/>
          <w:sz w:val="17"/>
        </w:rPr>
        <w:t xml:space="preserve">Friends</w:t>
      </w:r>
      <w:r>
        <w:rPr>
          <w:sz w:val="17"/>
        </w:rPr>
        <w:t xml:space="preserve">: a friend sent it and a friend is going.</w:t>
      </w:r>
    </w:p>
    <w:p>
      <w:pPr>
        <w:spacing w:before="20" w:after="40"/>
      </w:pPr>
      <w:r>
        <w:rPr>
          <w:sz w:val="17"/>
        </w:rPr>
        <w:pict>
          <v:rect style="width:0;height:1.5pt" o:hralign="center" o:hrstd="t" o:hr="t"/>
        </w:pict>
      </w:r>
    </w:p>
    <w:bookmarkEnd w:id="20"/>
    <w:bookmarkStart w:id="25" w:name="campaign-4-channels-no-more"/>
    <w:p>
      <w:pPr>
        <w:pStyle w:val="Heading2"/>
        <w:spacing w:before="20" w:after="40"/>
      </w:pPr>
      <w:r>
        <w:t xml:space="preserve">2. Campaign: 4 channels, no more</w:t>
      </w:r>
    </w:p>
    <w:p>
      <w:pPr>
        <w:pStyle w:val="FirstParagraph"/>
        <w:spacing w:before="20" w:after="40"/>
      </w:pPr>
      <w:r>
        <w:rPr>
          <w:sz w:val="17"/>
        </w:rPr>
        <w:t xml:space="preserve">Insight: this audience registers when</w:t>
      </w:r>
      <w:r>
        <w:rPr>
          <w:sz w:val="17"/>
        </w:rPr>
        <w:t xml:space="preserve"> </w:t>
      </w:r>
      <w:r>
        <w:rPr>
          <w:bCs/>
          <w:b/>
          <w:sz w:val="17"/>
        </w:rPr>
        <w:t xml:space="preserve">a peer sends it in a group they already read</w:t>
      </w:r>
      <w:r>
        <w:rPr>
          <w:sz w:val="17"/>
        </w:rPr>
        <w:t xml:space="preserve">. So paid ads get the smallest share of budget and peer distribution gets most of the effort.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#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Channel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What I do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Why it works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Regs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6"/>
              </w:rPr>
              <w:t xml:space="preserve">WhatsApp via campus ambassadors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Recruit 30 final-years (class reps, club leads) via LinkedIn/Instagram DMs. Give each a ready message, poster and a personal tracked link. They post in ~3 groups each.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Trusted sender, group the student already reads, zero cost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6"/>
              </w:rPr>
              <w:t xml:space="preserve">170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6"/>
              </w:rPr>
              <w:t xml:space="preserve">Email to clubs, TPOs and HODs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AI-personalised email to 200 coding/AI/IEEE clubs and placement cells using public contact pages. Ask for one forward to their student group. Two waves (Day 2, Day 5).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Faculty/club forwards carry authority; ~20% respond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6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6"/>
              </w:rPr>
              <w:t xml:space="preserve">Referral loop (built into landing page)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Every registrant gets a personal link + share card. Unlocks: 1 friend = Starter Kit, 3 = Interview Cheat-Sheet, 5 = priority Q&amp;A, top 5 = ₹100 voucher.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Turns each signup into a distributor; the tiers reward small effort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6"/>
              </w:rPr>
              <w:t xml:space="preserve">110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6"/>
              </w:rPr>
              <w:t xml:space="preserve">Social media (Instagram Reels, YouTube Shorts, WhatsApp Status, LinkedIn)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5 short reels (finished project demo,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“</w:t>
            </w:r>
            <w:r>
              <w:rPr>
                <w:sz w:val="16"/>
              </w:rPr>
              <w:t xml:space="preserve">pick your project</w:t>
            </w:r>
            <w:r>
              <w:rPr>
                <w:sz w:val="16"/>
              </w:rPr>
              <w:t xml:space="preserve">”</w:t>
            </w:r>
            <w:r>
              <w:rPr>
                <w:sz w:val="16"/>
              </w:rPr>
              <w:t xml:space="preserve">, rewards reveal, before/after resume) made with the Poster Studio + a content pack; ambassadors and campus pages repost; boost the best reel with ₹1,000.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Where students already scroll; reels show the outcome and the rewards in 15 seconds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6"/>
              </w:rPr>
              <w:t xml:space="preserve">130</w:t>
            </w:r>
          </w:p>
        </w:tc>
      </w:tr>
      <w:tr>
        <w:tc>
          <w:tcPr/>
          <w:p>
            <w:pPr>
              <w:pStyle w:val="Compact"/>
              <w:spacing w:before="0" w:after="0"/>
            </w:pPr>
          </w:p>
        </w:tc>
        <w:tc>
          <w:tcPr/>
          <w:p>
            <w:pPr>
              <w:pStyle w:val="Compact"/>
              <w:spacing w:before="0" w:after="0"/>
            </w:pPr>
          </w:p>
        </w:tc>
        <w:tc>
          <w:tcPr/>
          <w:p>
            <w:pPr>
              <w:pStyle w:val="Compact"/>
              <w:spacing w:before="0" w:after="0"/>
            </w:pP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6"/>
              </w:rPr>
              <w:t xml:space="preserve">Total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6"/>
              </w:rPr>
              <w:t xml:space="preserve">500</w:t>
            </w:r>
          </w:p>
        </w:tc>
      </w:tr>
    </w:tbl>
    <w:bookmarkStart w:id="21" w:name="day-calendar"/>
    <w:p>
      <w:pPr>
        <w:pStyle w:val="Heading3"/>
        <w:spacing w:before="20" w:after="40"/>
      </w:pPr>
      <w:r>
        <w:t xml:space="preserve">7-day calendar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Day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Focus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Finish page, tracker, posters. Recruit ambassadors. Seed 20 registrations from friends/network. Story teaser.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Ambassadors go live. Email wave 1.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Reel 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+ LinkedIn post.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Nudge #1 in groups. Share first leaderboard. Check dashboard: which source leads?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6"/>
              </w:rPr>
              <w:t xml:space="preserve">Reel 2</w:t>
            </w:r>
            <w:r>
              <w:rPr>
                <w:sz w:val="16"/>
              </w:rPr>
              <w:t xml:space="preserve">; boost the best performer at ₹1,000. Telegram groups.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Email wave 2.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Reel 3 (rewards)</w:t>
            </w:r>
            <w:r>
              <w:rPr>
                <w:sz w:val="16"/>
              </w:rPr>
              <w:t xml:space="preserve">. Referral push to existing registrants.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6"/>
              </w:rPr>
              <w:t xml:space="preserve">Reel 4</w:t>
            </w:r>
            <w:r>
              <w:rPr>
                <w:sz w:val="16"/>
              </w:rPr>
              <w:t xml:space="preserve">. DMs to ambassadors who are behind.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“</w:t>
            </w:r>
            <w:r>
              <w:rPr>
                <w:sz w:val="16"/>
              </w:rPr>
              <w:t xml:space="preserve">Last 48 hours</w:t>
            </w:r>
            <w:r>
              <w:rPr>
                <w:sz w:val="16"/>
              </w:rPr>
              <w:t xml:space="preserve">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status.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7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6"/>
              </w:rPr>
              <w:t xml:space="preserve">Reel 5</w:t>
            </w:r>
            <w:r>
              <w:rPr>
                <w:sz w:val="16"/>
              </w:rPr>
              <w:t xml:space="preserve">, final call, reminder with joining link to all registrants.</w:t>
            </w:r>
          </w:p>
        </w:tc>
      </w:tr>
    </w:tbl>
    <w:bookmarkEnd w:id="21"/>
    <w:bookmarkStart w:id="22" w:name="math-so-500-is-not-a-wish"/>
    <w:p>
      <w:pPr>
        <w:pStyle w:val="Heading3"/>
        <w:spacing w:before="20" w:after="40"/>
      </w:pPr>
      <w:r>
        <w:t xml:space="preserve">Math (so 500 is not a wish)</w:t>
      </w:r>
    </w:p>
    <w:p>
      <w:pPr>
        <w:numPr>
          <w:ilvl w:val="0"/>
          <w:numId w:val="1001"/>
        </w:numPr>
        <w:pStyle w:val="Compact"/>
        <w:spacing w:before="20" w:after="40"/>
      </w:pPr>
      <w:r>
        <w:rPr>
          <w:sz w:val="17"/>
        </w:rPr>
        <w:t xml:space="preserve">500 registrations ÷ ~30% visit-to-register (warm, peer-sent traffic) ≈</w:t>
      </w:r>
      <w:r>
        <w:rPr>
          <w:sz w:val="17"/>
        </w:rPr>
        <w:t xml:space="preserve"> </w:t>
      </w:r>
      <w:r>
        <w:rPr>
          <w:bCs/>
          <w:b/>
          <w:sz w:val="17"/>
        </w:rPr>
        <w:t xml:space="preserve">1,650 visits</w:t>
      </w:r>
      <w:r>
        <w:rPr>
          <w:sz w:val="17"/>
        </w:rPr>
        <w:t xml:space="preserve"> </w:t>
      </w:r>
      <w:r>
        <w:rPr>
          <w:sz w:val="17"/>
        </w:rPr>
        <w:t xml:space="preserve">needed.</w:t>
      </w:r>
    </w:p>
    <w:p>
      <w:pPr>
        <w:numPr>
          <w:ilvl w:val="0"/>
          <w:numId w:val="1001"/>
        </w:numPr>
        <w:pStyle w:val="Compact"/>
        <w:spacing w:before="20" w:after="40"/>
      </w:pPr>
      <w:r>
        <w:rPr>
          <w:sz w:val="17"/>
        </w:rPr>
        <w:t xml:space="preserve">Ambassadors: 30 × 3 groups × ~60 members ≈ 5,400 views → ~3% register ≈ 170.</w:t>
      </w:r>
    </w:p>
    <w:p>
      <w:pPr>
        <w:numPr>
          <w:ilvl w:val="0"/>
          <w:numId w:val="1001"/>
        </w:numPr>
        <w:pStyle w:val="Compact"/>
        <w:spacing w:before="20" w:after="40"/>
      </w:pPr>
      <w:r>
        <w:rPr>
          <w:sz w:val="17"/>
        </w:rPr>
        <w:t xml:space="preserve">Emails: 200 sent → ~28 forwards × ~80-member groups → ≈ 90.</w:t>
      </w:r>
    </w:p>
    <w:p>
      <w:pPr>
        <w:numPr>
          <w:ilvl w:val="0"/>
          <w:numId w:val="1001"/>
        </w:numPr>
        <w:pStyle w:val="Compact"/>
        <w:spacing w:before="20" w:after="40"/>
      </w:pPr>
      <w:r>
        <w:rPr>
          <w:sz w:val="17"/>
        </w:rPr>
        <w:t xml:space="preserve">Referrals: ~30% of the first ~390 share and bring ~1 each ≈ 110.</w:t>
      </w:r>
    </w:p>
    <w:p>
      <w:pPr>
        <w:numPr>
          <w:ilvl w:val="0"/>
          <w:numId w:val="1001"/>
        </w:numPr>
        <w:pStyle w:val="Compact"/>
        <w:spacing w:before="20" w:after="40"/>
      </w:pPr>
      <w:r>
        <w:rPr>
          <w:sz w:val="17"/>
        </w:rPr>
        <w:t xml:space="preserve">Social: ~15,000 organic views × ~0.5% register ≈ 75, plus the ₹1,000 boost (~140 clicks at ~₹7, ~35% register ≈ 50) ≈ 125–130. These are estimates; reach varies a lot.</w:t>
      </w:r>
    </w:p>
    <w:p>
      <w:pPr>
        <w:numPr>
          <w:ilvl w:val="0"/>
          <w:numId w:val="1001"/>
        </w:numPr>
        <w:pStyle w:val="Compact"/>
        <w:spacing w:before="20" w:after="40"/>
      </w:pPr>
      <w:r>
        <w:rPr>
          <w:sz w:val="17"/>
        </w:rPr>
        <w:t xml:space="preserve">If a channel runs 30% short, the dashboard shows it by Day 3 and I move effort to the best performer.</w:t>
      </w:r>
    </w:p>
    <w:bookmarkEnd w:id="22"/>
    <w:bookmarkStart w:id="23" w:name="budget-2000"/>
    <w:p>
      <w:pPr>
        <w:pStyle w:val="Heading3"/>
        <w:spacing w:before="20" w:after="40"/>
      </w:pPr>
      <w:r>
        <w:t xml:space="preserve">Budget: ₹2,000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Item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₹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Top-5 referral vouchers (₹100 each)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Boost the best-performing reel (Day 4–5)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1,000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Buffer (domain / tools / replacement vouchers)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6"/>
              </w:rPr>
              <w:t xml:space="preserve">500</w:t>
            </w:r>
          </w:p>
        </w:tc>
      </w:tr>
    </w:tbl>
    <w:p>
      <w:pPr>
        <w:pStyle w:val="BodyText"/>
        <w:spacing w:before="20" w:after="40"/>
      </w:pPr>
      <w:r>
        <w:rPr>
          <w:sz w:val="17"/>
        </w:rPr>
        <w:t xml:space="preserve">Everything else is free: AI for copy and personalisation, Canva free, GitHub Pages for hosting.</w:t>
      </w:r>
    </w:p>
    <w:bookmarkEnd w:id="23"/>
    <w:bookmarkStart w:id="24" w:name="X634f795cc815897e79e32c4424113612deb3cad"/>
    <w:p>
      <w:pPr>
        <w:pStyle w:val="Heading3"/>
        <w:spacing w:before="20" w:after="40"/>
      </w:pPr>
      <w:r>
        <w:t xml:space="preserve">How I’ll know it’s working (checked daily in the dashboard)</w:t>
      </w:r>
    </w:p>
    <w:p>
      <w:pPr>
        <w:pStyle w:val="FirstParagraph"/>
        <w:spacing w:before="20" w:after="40"/>
      </w:pPr>
      <w:r>
        <w:rPr>
          <w:sz w:val="17"/>
        </w:rPr>
        <w:t xml:space="preserve">Registrations per day, source mix, referral share, projected finish. Target by end of Day 3: 150+. If below 100, I cut the weakest channel and re-push the strongest.</w:t>
      </w:r>
    </w:p>
    <w:p>
      <w:pPr>
        <w:spacing w:before="20" w:after="40"/>
      </w:pPr>
      <w:r>
        <w:rPr>
          <w:sz w:val="17"/>
        </w:rPr>
        <w:pict>
          <v:rect style="width:0;height:1.5pt" o:hralign="center" o:hrstd="t" o:hr="t"/>
        </w:pict>
      </w:r>
    </w:p>
    <w:bookmarkEnd w:id="24"/>
    <w:bookmarkEnd w:id="25"/>
    <w:bookmarkStart w:id="26" w:name="what-i-built"/>
    <w:p>
      <w:pPr>
        <w:pStyle w:val="Heading2"/>
        <w:spacing w:before="20" w:after="40"/>
      </w:pPr>
      <w:r>
        <w:t xml:space="preserve">3. What I built</w:t>
      </w:r>
    </w:p>
    <w:p>
      <w:pPr>
        <w:pStyle w:val="FirstParagraph"/>
        <w:spacing w:before="20" w:after="40"/>
      </w:pPr>
      <w:r>
        <w:rPr>
          <w:sz w:val="17"/>
        </w:rPr>
        <w:t xml:space="preserve">A</w:t>
      </w:r>
      <w:r>
        <w:rPr>
          <w:sz w:val="17"/>
        </w:rPr>
        <w:t xml:space="preserve"> </w:t>
      </w:r>
      <w:r>
        <w:rPr>
          <w:bCs/>
          <w:b/>
          <w:sz w:val="17"/>
        </w:rPr>
        <w:t xml:space="preserve">landing page + referral engine + control-room dashboard</w:t>
      </w:r>
      <w:r>
        <w:rPr>
          <w:sz w:val="17"/>
        </w:rPr>
        <w:t xml:space="preserve"> </w:t>
      </w:r>
      <w:r>
        <w:rPr>
          <w:sz w:val="17"/>
        </w:rPr>
        <w:t xml:space="preserve">(see</w:t>
      </w:r>
      <w:r>
        <w:rPr>
          <w:sz w:val="17"/>
        </w:rPr>
        <w:t xml:space="preserve"> </w:t>
      </w:r>
      <w:r>
        <w:rPr>
          <w:rStyle w:val="VerbatimChar"/>
          <w:sz w:val="17"/>
        </w:rPr>
        <w:t xml:space="preserve">/landing</w:t>
      </w:r>
      <w:r>
        <w:rPr>
          <w:sz w:val="17"/>
        </w:rPr>
        <w:t xml:space="preserve">). Highlights: a lab-themed</w:t>
      </w:r>
      <w:r>
        <w:rPr>
          <w:sz w:val="17"/>
        </w:rPr>
        <w:t xml:space="preserve"> </w:t>
      </w:r>
      <w:r>
        <w:rPr>
          <w:sz w:val="17"/>
        </w:rPr>
        <w:t xml:space="preserve">“</w:t>
      </w:r>
      <w:r>
        <w:rPr>
          <w:sz w:val="17"/>
        </w:rPr>
        <w:t xml:space="preserve">Builder ID</w:t>
      </w:r>
      <w:r>
        <w:rPr>
          <w:sz w:val="17"/>
        </w:rPr>
        <w:t xml:space="preserve">”</w:t>
      </w:r>
      <w:r>
        <w:rPr>
          <w:sz w:val="17"/>
        </w:rPr>
        <w:t xml:space="preserve"> </w:t>
      </w:r>
      <w:r>
        <w:rPr>
          <w:sz w:val="17"/>
        </w:rPr>
        <w:t xml:space="preserve">sign-up where each student gets a codename and class, personal referral link, ranks that unlock rewards (Recruit → Pioneer), downloadable share card, branch-specific project picker, live seat meter and leaderboard, and a dashboard that tracks channel performance and projects whether 500 will be hit. Plus a</w:t>
      </w:r>
      <w:r>
        <w:rPr>
          <w:sz w:val="17"/>
        </w:rPr>
        <w:t xml:space="preserve"> </w:t>
      </w:r>
      <w:r>
        <w:rPr>
          <w:bCs/>
          <w:b/>
          <w:sz w:val="17"/>
        </w:rPr>
        <w:t xml:space="preserve">Poster &amp; Caption Studio</w:t>
      </w:r>
      <w:r>
        <w:rPr>
          <w:sz w:val="17"/>
        </w:rPr>
        <w:t xml:space="preserve"> </w:t>
      </w:r>
      <w:r>
        <w:rPr>
          <w:sz w:val="17"/>
        </w:rPr>
        <w:t xml:space="preserve">(</w:t>
      </w:r>
      <w:r>
        <w:rPr>
          <w:rStyle w:val="VerbatimChar"/>
          <w:sz w:val="17"/>
        </w:rPr>
        <w:t xml:space="preserve">/social</w:t>
      </w:r>
      <w:r>
        <w:rPr>
          <w:sz w:val="17"/>
        </w:rPr>
        <w:t xml:space="preserve">) that makes post/story/LinkedIn graphics with the rewards strip, and per-platform captions with tracked links.</w:t>
      </w:r>
    </w:p>
    <w:bookmarkEnd w:id="26"/>
    <w:bookmarkEnd w:id="27"/>
    <w:sectPr>
      <w:pgMar w:left="792" w:right="792" w:top="720" w:bottom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17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17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17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17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themeColor="accent1" w:themeShade="B5" w:val="345A8A"/>
      <w:sz w:val="17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sz w:val="17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/>
      <w:sz w:val="17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/>
      <w:sz w:val="17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17"/>
      <w:szCs w:val="20"/>
      <w:rFonts w:ascii="Calibri" w:hAnsi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/>
      <w:sz w:val="17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/>
      <w:sz w:val="17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/>
      <w:b/>
      <w:bCs/>
      <w:color w:themeColor="accent1" w:val="4F81BD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/>
      <w:b/>
      <w:bCs/>
      <w:color w:themeColor="accent1" w:val="4F81BD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/>
      <w:b/>
      <w:bCs/>
      <w:color w:themeColor="accent1" w:val="4F81BD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/>
      <w:i/>
      <w:bCs/>
      <w:color w:themeColor="accent1" w:val="4F81BD"/>
      <w:sz w:val="17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/>
      <w:iCs/>
      <w:color w:themeColor="accent1" w:val="4F81BD"/>
      <w:sz w:val="17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/>
      <w:color w:themeColor="accent1" w:val="4F81BD"/>
      <w:sz w:val="17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/>
      <w:color w:themeColor="accent1" w:val="4F81BD"/>
      <w:sz w:val="17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/>
      <w:color w:themeColor="accent1" w:val="4F81BD"/>
      <w:sz w:val="17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/>
      <w:color w:themeColor="accent1" w:val="4F81BD"/>
      <w:sz w:val="17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sz w:val="17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/>
      <w:sz w:val="17"/>
    </w:rPr>
  </w:style>
  <w:style w:default="1" w:styleId="DefaultParagraphFont" w:type="character">
    <w:name w:val="Default Paragraph Font"/>
    <w:semiHidden/>
    <w:unhideWhenUsed/>
    <w:rPr>
      <w:rFonts w:ascii="Calibri" w:hAnsi="Calibri"/>
      <w:sz w:val="17"/>
    </w:rPr>
  </w:style>
  <w:style w:default="1" w:styleId="Table" w:type="table">
    <w:name w:val="Table"/>
    <w:basedOn w:val="TableNormal"/>
    <w:semiHidden/>
    <w:unhideWhenUsed/>
    <w:qFormat/>
    <w:rPr>
      <w:rFonts w:ascii="Calibri" w:hAnsi="Calibri"/>
      <w:sz w:val="17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/>
      <w:b/>
      <w:sz w:val="17"/>
    </w:rPr>
  </w:style>
  <w:style w:customStyle="1" w:styleId="Definition" w:type="paragraph">
    <w:name w:val="Definition"/>
    <w:basedOn w:val="Normal"/>
    <w:rPr>
      <w:rFonts w:ascii="Calibri" w:hAnsi="Calibri"/>
      <w:sz w:val="17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/>
      <w:i/>
      <w:sz w:val="17"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/>
      <w:sz w:val="17"/>
    </w:rPr>
  </w:style>
  <w:style w:customStyle="1" w:styleId="ImageCaption" w:type="paragraph">
    <w:name w:val="Image Caption"/>
    <w:basedOn w:val="Caption"/>
    <w:rPr>
      <w:rFonts w:ascii="Calibri" w:hAnsi="Calibri"/>
      <w:sz w:val="17"/>
    </w:rPr>
  </w:style>
  <w:style w:customStyle="1" w:styleId="Figure" w:type="paragraph">
    <w:name w:val="Figure"/>
    <w:basedOn w:val="Normal"/>
    <w:rPr>
      <w:rFonts w:ascii="Calibri" w:hAnsi="Calibri"/>
      <w:sz w:val="17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/>
      <w:sz w:val="17"/>
    </w:rPr>
  </w:style>
  <w:style w:customStyle="1" w:styleId="BodyTextChar" w:type="character">
    <w:name w:val="Body Text Char"/>
    <w:basedOn w:val="DefaultParagraphFont"/>
    <w:link w:val="BodyText"/>
    <w:rPr>
      <w:rFonts w:ascii="Calibri" w:hAnsi="Calibri"/>
      <w:sz w:val="17"/>
    </w:rPr>
  </w:style>
  <w:style w:customStyle="1" w:styleId="VerbatimChar" w:type="character">
    <w:name w:val="Verbatim Char"/>
    <w:basedOn w:val="BodyTextChar"/>
    <w:rPr>
      <w:rFonts w:ascii="Calibri" w:hAnsi="Calibri"/>
      <w:sz w:val="17"/>
    </w:rPr>
  </w:style>
  <w:style w:customStyle="1" w:styleId="SectionNumber" w:type="character">
    <w:name w:val="Section Number"/>
    <w:basedOn w:val="BodyTextChar"/>
    <w:rPr>
      <w:rFonts w:ascii="Calibri" w:hAnsi="Calibri"/>
      <w:sz w:val="17"/>
    </w:rPr>
  </w:style>
  <w:style w:styleId="FootnoteReference" w:type="character">
    <w:name w:val="Footnote Reference"/>
    <w:basedOn w:val="BodyTextChar"/>
    <w:rPr>
      <w:rFonts w:ascii="Calibri" w:hAnsi="Calibri"/>
      <w:sz w:val="17"/>
      <w:vertAlign w:val="superscript"/>
    </w:rPr>
  </w:style>
  <w:style w:styleId="Hyperlink" w:type="character">
    <w:name w:val="Hyperlink"/>
    <w:basedOn w:val="BodyTextChar"/>
    <w:rPr>
      <w:rFonts w:ascii="Calibri" w:hAnsi="Calibri"/>
      <w:color w:themeColor="accent1" w:val="4F81BD"/>
      <w:sz w:val="17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/>
      <w:b w:val="0"/>
      <w:bCs w:val="0"/>
      <w:color w:themeColor="accent1" w:themeShade="BF" w:val="365F91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/>
      <w:sz w:val="17"/>
    </w:rPr>
  </w:style>
  <w:style w:type="character" w:customStyle="1" w:styleId="KeywordTok">
    <w:name w:val="KeywordTok"/>
    <w:basedOn w:val="VerbatimChar"/>
    <w:rPr>
      <w:color w:val="007020"/>
      <w:rFonts w:ascii="Calibri" w:hAnsi="Calibri"/>
      <w:b/>
      <w:sz w:val="17"/>
    </w:rPr>
  </w:style>
  <w:style w:type="character" w:customStyle="1" w:styleId="DataTypeTok">
    <w:name w:val="DataTypeTok"/>
    <w:basedOn w:val="VerbatimChar"/>
    <w:rPr>
      <w:rFonts w:ascii="Calibri" w:hAnsi="Calibri"/>
      <w:color w:val="902000"/>
      <w:sz w:val="17"/>
    </w:rPr>
  </w:style>
  <w:style w:type="character" w:customStyle="1" w:styleId="DecValTok">
    <w:name w:val="DecValTok"/>
    <w:basedOn w:val="VerbatimChar"/>
    <w:rPr>
      <w:rFonts w:ascii="Calibri" w:hAnsi="Calibri"/>
      <w:color w:val="40a070"/>
      <w:sz w:val="17"/>
    </w:rPr>
  </w:style>
  <w:style w:type="character" w:customStyle="1" w:styleId="BaseNTok">
    <w:name w:val="BaseNTok"/>
    <w:basedOn w:val="VerbatimChar"/>
    <w:rPr>
      <w:rFonts w:ascii="Calibri" w:hAnsi="Calibri"/>
      <w:color w:val="40a070"/>
      <w:sz w:val="17"/>
    </w:rPr>
  </w:style>
  <w:style w:type="character" w:customStyle="1" w:styleId="FloatTok">
    <w:name w:val="FloatTok"/>
    <w:basedOn w:val="VerbatimChar"/>
    <w:rPr>
      <w:rFonts w:ascii="Calibri" w:hAnsi="Calibri"/>
      <w:color w:val="40a070"/>
      <w:sz w:val="17"/>
    </w:rPr>
  </w:style>
  <w:style w:type="character" w:customStyle="1" w:styleId="ConstantTok">
    <w:name w:val="ConstantTok"/>
    <w:basedOn w:val="VerbatimChar"/>
    <w:rPr>
      <w:rFonts w:ascii="Calibri" w:hAnsi="Calibri"/>
      <w:color w:val="880000"/>
      <w:sz w:val="17"/>
    </w:rPr>
  </w:style>
  <w:style w:type="character" w:customStyle="1" w:styleId="CharTok">
    <w:name w:val="CharTok"/>
    <w:basedOn w:val="VerbatimChar"/>
    <w:rPr>
      <w:rFonts w:ascii="Calibri" w:hAnsi="Calibri"/>
      <w:color w:val="4070a0"/>
      <w:sz w:val="17"/>
    </w:rPr>
  </w:style>
  <w:style w:type="character" w:customStyle="1" w:styleId="SpecialCharTok">
    <w:name w:val="SpecialCharTok"/>
    <w:basedOn w:val="VerbatimChar"/>
    <w:rPr>
      <w:rFonts w:ascii="Calibri" w:hAnsi="Calibri"/>
      <w:color w:val="4070a0"/>
      <w:sz w:val="17"/>
    </w:rPr>
  </w:style>
  <w:style w:type="character" w:customStyle="1" w:styleId="StringTok">
    <w:name w:val="StringTok"/>
    <w:basedOn w:val="VerbatimChar"/>
    <w:rPr>
      <w:rFonts w:ascii="Calibri" w:hAnsi="Calibri"/>
      <w:color w:val="4070a0"/>
      <w:sz w:val="17"/>
    </w:rPr>
  </w:style>
  <w:style w:type="character" w:customStyle="1" w:styleId="VerbatimStringTok">
    <w:name w:val="VerbatimStringTok"/>
    <w:basedOn w:val="VerbatimChar"/>
    <w:rPr>
      <w:rFonts w:ascii="Calibri" w:hAnsi="Calibri"/>
      <w:color w:val="4070a0"/>
      <w:sz w:val="17"/>
    </w:rPr>
  </w:style>
  <w:style w:type="character" w:customStyle="1" w:styleId="SpecialStringTok">
    <w:name w:val="SpecialStringTok"/>
    <w:basedOn w:val="VerbatimChar"/>
    <w:rPr>
      <w:rFonts w:ascii="Calibri" w:hAnsi="Calibri"/>
      <w:color w:val="bb6688"/>
      <w:sz w:val="17"/>
    </w:rPr>
  </w:style>
  <w:style w:type="character" w:customStyle="1" w:styleId="ImportTok">
    <w:name w:val="ImportTok"/>
    <w:basedOn w:val="VerbatimChar"/>
    <w:rPr>
      <w:color w:val="008000"/>
      <w:rFonts w:ascii="Calibri" w:hAnsi="Calibri"/>
      <w:b/>
      <w:sz w:val="17"/>
    </w:rPr>
  </w:style>
  <w:style w:type="character" w:customStyle="1" w:styleId="CommentTok">
    <w:name w:val="CommentTok"/>
    <w:basedOn w:val="VerbatimChar"/>
    <w:rPr>
      <w:color w:val="60a0b0"/>
      <w:rFonts w:ascii="Calibri" w:hAnsi="Calibri"/>
      <w:i/>
      <w:sz w:val="17"/>
    </w:rPr>
  </w:style>
  <w:style w:type="character" w:customStyle="1" w:styleId="DocumentationTok">
    <w:name w:val="DocumentationTok"/>
    <w:basedOn w:val="VerbatimChar"/>
    <w:rPr>
      <w:color w:val="ba2121"/>
      <w:rFonts w:ascii="Calibri" w:hAnsi="Calibri"/>
      <w:i/>
      <w:sz w:val="17"/>
    </w:rPr>
  </w:style>
  <w:style w:type="character" w:customStyle="1" w:styleId="AnnotationTok">
    <w:name w:val="AnnotationTok"/>
    <w:basedOn w:val="VerbatimChar"/>
    <w:rPr>
      <w:color w:val="60a0b0"/>
      <w:rFonts w:ascii="Calibri" w:hAnsi="Calibri"/>
      <w:b/>
      <w:i/>
      <w:sz w:val="17"/>
    </w:rPr>
  </w:style>
  <w:style w:type="character" w:customStyle="1" w:styleId="CommentVarTok">
    <w:name w:val="CommentVarTok"/>
    <w:basedOn w:val="VerbatimChar"/>
    <w:rPr>
      <w:color w:val="60a0b0"/>
      <w:rFonts w:ascii="Calibri" w:hAnsi="Calibri"/>
      <w:b/>
      <w:i/>
      <w:sz w:val="17"/>
    </w:rPr>
  </w:style>
  <w:style w:type="character" w:customStyle="1" w:styleId="OtherTok">
    <w:name w:val="OtherTok"/>
    <w:basedOn w:val="VerbatimChar"/>
    <w:rPr>
      <w:rFonts w:ascii="Calibri" w:hAnsi="Calibri"/>
      <w:color w:val="007020"/>
      <w:sz w:val="17"/>
    </w:rPr>
  </w:style>
  <w:style w:type="character" w:customStyle="1" w:styleId="FunctionTok">
    <w:name w:val="FunctionTok"/>
    <w:basedOn w:val="VerbatimChar"/>
    <w:rPr>
      <w:rFonts w:ascii="Calibri" w:hAnsi="Calibri"/>
      <w:color w:val="06287e"/>
      <w:sz w:val="17"/>
    </w:rPr>
  </w:style>
  <w:style w:type="character" w:customStyle="1" w:styleId="VariableTok">
    <w:name w:val="VariableTok"/>
    <w:basedOn w:val="VerbatimChar"/>
    <w:rPr>
      <w:rFonts w:ascii="Calibri" w:hAnsi="Calibri"/>
      <w:color w:val="19177c"/>
      <w:sz w:val="17"/>
    </w:rPr>
  </w:style>
  <w:style w:type="character" w:customStyle="1" w:styleId="ControlFlowTok">
    <w:name w:val="ControlFlowTok"/>
    <w:basedOn w:val="VerbatimChar"/>
    <w:rPr>
      <w:color w:val="007020"/>
      <w:rFonts w:ascii="Calibri" w:hAnsi="Calibri"/>
      <w:b/>
      <w:sz w:val="17"/>
    </w:rPr>
  </w:style>
  <w:style w:type="character" w:customStyle="1" w:styleId="OperatorTok">
    <w:name w:val="OperatorTok"/>
    <w:basedOn w:val="VerbatimChar"/>
    <w:rPr>
      <w:rFonts w:ascii="Calibri" w:hAnsi="Calibri"/>
      <w:color w:val="666666"/>
      <w:sz w:val="17"/>
    </w:rPr>
  </w:style>
  <w:style w:type="character" w:customStyle="1" w:styleId="BuiltInTok">
    <w:name w:val="BuiltInTok"/>
    <w:basedOn w:val="VerbatimChar"/>
    <w:rPr>
      <w:rFonts w:ascii="Calibri" w:hAnsi="Calibri"/>
      <w:color w:val="008000"/>
      <w:sz w:val="17"/>
    </w:rPr>
  </w:style>
  <w:style w:type="character" w:customStyle="1" w:styleId="ExtensionTok">
    <w:name w:val="ExtensionTok"/>
    <w:basedOn w:val="VerbatimChar"/>
    <w:rPr>
      <w:rFonts w:ascii="Calibri" w:hAnsi="Calibri"/>
      <w:sz w:val="17"/>
    </w:rPr>
  </w:style>
  <w:style w:type="character" w:customStyle="1" w:styleId="PreprocessorTok">
    <w:name w:val="PreprocessorTok"/>
    <w:basedOn w:val="VerbatimChar"/>
    <w:rPr>
      <w:rFonts w:ascii="Calibri" w:hAnsi="Calibri"/>
      <w:color w:val="bc7a00"/>
      <w:sz w:val="17"/>
    </w:rPr>
  </w:style>
  <w:style w:type="character" w:customStyle="1" w:styleId="AttributeTok">
    <w:name w:val="AttributeTok"/>
    <w:basedOn w:val="VerbatimChar"/>
    <w:rPr>
      <w:rFonts w:ascii="Calibri" w:hAnsi="Calibri"/>
      <w:color w:val="7d9029"/>
      <w:sz w:val="17"/>
    </w:rPr>
  </w:style>
  <w:style w:type="character" w:customStyle="1" w:styleId="RegionMarkerTok">
    <w:name w:val="RegionMarkerTok"/>
    <w:basedOn w:val="VerbatimChar"/>
    <w:rPr>
      <w:rFonts w:ascii="Calibri" w:hAnsi="Calibri"/>
      <w:sz w:val="17"/>
    </w:rPr>
  </w:style>
  <w:style w:type="character" w:customStyle="1" w:styleId="InformationTok">
    <w:name w:val="InformationTok"/>
    <w:basedOn w:val="VerbatimChar"/>
    <w:rPr>
      <w:color w:val="60a0b0"/>
      <w:rFonts w:ascii="Calibri" w:hAnsi="Calibri"/>
      <w:b/>
      <w:i/>
      <w:sz w:val="17"/>
    </w:rPr>
  </w:style>
  <w:style w:type="character" w:customStyle="1" w:styleId="WarningTok">
    <w:name w:val="WarningTok"/>
    <w:basedOn w:val="VerbatimChar"/>
    <w:rPr>
      <w:color w:val="60a0b0"/>
      <w:rFonts w:ascii="Calibri" w:hAnsi="Calibri"/>
      <w:b/>
      <w:i/>
      <w:sz w:val="17"/>
    </w:rPr>
  </w:style>
  <w:style w:type="character" w:customStyle="1" w:styleId="AlertTok">
    <w:name w:val="AlertTok"/>
    <w:basedOn w:val="VerbatimChar"/>
    <w:rPr>
      <w:color w:val="ff0000"/>
      <w:rFonts w:ascii="Calibri" w:hAnsi="Calibri"/>
      <w:b/>
      <w:sz w:val="17"/>
    </w:rPr>
  </w:style>
  <w:style w:type="character" w:customStyle="1" w:styleId="ErrorTok">
    <w:name w:val="ErrorTok"/>
    <w:basedOn w:val="VerbatimChar"/>
    <w:rPr>
      <w:color w:val="ff0000"/>
      <w:rFonts w:ascii="Calibri" w:hAnsi="Calibri"/>
      <w:b/>
      <w:sz w:val="17"/>
    </w:rPr>
  </w:style>
  <w:style w:type="character" w:customStyle="1" w:styleId="NormalTok">
    <w:name w:val="NormalTok"/>
    <w:basedOn w:val="VerbatimChar"/>
    <w:rPr>
      <w:rFonts w:ascii="Calibri" w:hAnsi="Calibri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2026-10-28T19:12:05Z</dcterms:created>
  <dcterms:modified xsi:type="dcterms:W3CDTF">2026-10-28T19:12:05Z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