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80"/>
        <w:jc w:val="center"/>
      </w:pPr>
      <w:r>
        <w:rPr>
          <w:rFonts w:ascii="Calibri" w:hAnsi="Calibri"/>
          <w:b/>
          <w:color w:val="E8682A"/>
          <w:sz w:val="22"/>
        </w:rPr>
        <w:t>PORTFOLIO BUSINESS CASE</w:t>
      </w:r>
    </w:p>
    <w:p>
      <w:pPr>
        <w:spacing w:after="160"/>
        <w:jc w:val="center"/>
      </w:pPr>
      <w:r>
        <w:rPr>
          <w:rFonts w:ascii="Calibri" w:hAnsi="Calibri"/>
          <w:b/>
          <w:color w:val="123A78"/>
          <w:sz w:val="60"/>
        </w:rPr>
        <w:t>E-commerce Sales, Customer Behaviour</w:t>
        <w:br/>
        <w:t>and Profitability Analytics</w:t>
      </w:r>
    </w:p>
    <w:p>
      <w:pPr>
        <w:spacing w:after="480"/>
        <w:jc w:val="center"/>
      </w:pPr>
      <w:r>
        <w:rPr>
          <w:rFonts w:ascii="Calibri" w:hAnsi="Calibri"/>
          <w:i/>
          <w:color w:val="4F5B6B"/>
          <w:sz w:val="32"/>
        </w:rPr>
        <w:t>Executive Business Report</w:t>
      </w:r>
    </w:p>
    <w:p>
      <w:pPr>
        <w:spacing w:after="440"/>
        <w:pBdr>
          <w:bottom w:val="single" w:sz="18" w:space="1" w:color="E8682A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4F5B6B"/>
                <w:sz w:val="20"/>
              </w:rPr>
              <w:t>Business Case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20"/>
              </w:rPr>
              <w:t>NovaCart Global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4F5B6B"/>
                <w:sz w:val="20"/>
              </w:rPr>
              <w:t>Analysis Period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20"/>
              </w:rPr>
              <w:t>2012-2015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4F5B6B"/>
                <w:sz w:val="20"/>
              </w:rPr>
              <w:t>Dataset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20"/>
              </w:rPr>
              <w:t>Global Superstore public sample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4F5B6B"/>
                <w:sz w:val="20"/>
              </w:rPr>
              <w:t>Delivery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20"/>
              </w:rPr>
              <w:t>Python, MySQL, Excel and Power BI</w:t>
            </w:r>
          </w:p>
        </w:tc>
      </w:tr>
    </w:tbl>
    <w:p>
      <w:pPr>
        <w:spacing w:after="9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4F5B6B"/>
          <w:left w:val="single" w:sz="8" w:space="0" w:color="4F5B6B"/>
          <w:bottom w:val="single" w:sz="8" w:space="0" w:color="4F5B6B"/>
          <w:right w:val="single" w:sz="8" w:space="0" w:color="4F5B6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F5B6B"/>
                <w:sz w:val="19"/>
              </w:rPr>
              <w:t>DISCLOSURE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22"/>
              </w:rPr>
              <w:t>NovaCart Global is a fictional company created for this portfolio project. The report uses the public Global Superstore sample dataset and should not be presented as verified transactional data from a named real company.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23A78"/>
          <w:left w:val="single" w:sz="8" w:space="0" w:color="123A78"/>
          <w:bottom w:val="single" w:sz="8" w:space="0" w:color="123A78"/>
          <w:right w:val="single" w:sz="8" w:space="0" w:color="123A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3A78"/>
                <w:sz w:val="19"/>
              </w:rPr>
              <w:t>DECISION FOCUS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22"/>
              </w:rPr>
              <w:t>The business is growing and profitable overall, but deep discounting and loss-making products reduce the quality of that growth. Discount governance is the clearest immediate action.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A78"/>
                <w:sz w:val="32"/>
              </w:rPr>
              <w:t>$12.64M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4F5B6B"/>
                <w:sz w:val="18"/>
              </w:rPr>
              <w:t>Revenue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A78"/>
                <w:sz w:val="32"/>
              </w:rPr>
              <w:t>$1.47M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4F5B6B"/>
                <w:sz w:val="18"/>
              </w:rPr>
              <w:t>Profit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A78"/>
                <w:sz w:val="32"/>
              </w:rPr>
              <w:t>11.61%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4F5B6B"/>
                <w:sz w:val="18"/>
              </w:rPr>
              <w:t>Profit Margin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A78"/>
                <w:sz w:val="32"/>
              </w:rPr>
              <w:t>25,739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4F5B6B"/>
                <w:sz w:val="18"/>
              </w:rPr>
              <w:t>Orders</w:t>
            </w:r>
          </w:p>
        </w:tc>
      </w:tr>
    </w:tbl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A78"/>
                <w:sz w:val="32"/>
              </w:rPr>
              <w:t>796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4F5B6B"/>
                <w:sz w:val="18"/>
              </w:rPr>
              <w:t>Customers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A78"/>
                <w:sz w:val="32"/>
              </w:rPr>
              <w:t>178,312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4F5B6B"/>
                <w:sz w:val="18"/>
              </w:rPr>
              <w:t>Quantity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A78"/>
                <w:sz w:val="32"/>
              </w:rPr>
              <w:t>$491.18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4F5B6B"/>
                <w:sz w:val="18"/>
              </w:rPr>
              <w:t>Average Order Value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A78"/>
                <w:sz w:val="32"/>
              </w:rPr>
              <w:t>4.19%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4F5B6B"/>
                <w:sz w:val="18"/>
              </w:rPr>
              <w:t>Returned-Order Rate</w:t>
            </w:r>
          </w:p>
        </w:tc>
      </w:tr>
    </w:tbl>
    <w:p>
      <w:pPr>
        <w:spacing w:after="120"/>
      </w:pPr>
    </w:p>
    <w:p>
      <w:pPr>
        <w:pStyle w:val="Heading2"/>
      </w:pPr>
      <w:r>
        <w:t>What the analysis found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Revenue grew from about $2.26M in 2012 to $4.30M in 2015, while profit grew from about $248.94K to $504.17K.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Technology was the strongest category, while Tables produced a $64.08K loss and a -8.46% margin.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Discount bands above 20% were loss-making overall; the above-50% band produced a $412.58K loss.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Asia Pacific led revenue, while Europe produced the highest market profit and strongest margin.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Repeat purchasers generated 96.86% of revenue, but this should not be described as formal retention.</w:t>
      </w:r>
    </w:p>
    <w:p>
      <w:pPr>
        <w:pStyle w:val="Heading2"/>
      </w:pPr>
      <w:r>
        <w:t>Immediate management priorities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Control deep discounts with approval thresholds and expected-margin checks.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Review loss-making products, starting with Tables and the Bottom 5 products.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Assign country and regional profit reviews to the relevant Regional Managers.</w:t>
      </w:r>
    </w:p>
    <w:p>
      <w:r>
        <w:br w:type="page"/>
      </w:r>
    </w:p>
    <w:p>
      <w:pPr>
        <w:pStyle w:val="Heading1"/>
      </w:pPr>
      <w:r>
        <w:t>1. Business Performance Overview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Revenue and profit increased across the four-year period. Growth was mainly volume-led: average order value decreased from about $500.32 in 2012 to $485.31 in 2015.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November and December produced the strongest revenue. However, October recorded the highest monthly margin at about 13.41%, while December margin was lower at about 10.73%.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23A78"/>
          <w:left w:val="single" w:sz="8" w:space="0" w:color="123A78"/>
          <w:bottom w:val="single" w:sz="8" w:space="0" w:color="123A78"/>
          <w:right w:val="single" w:sz="8" w:space="0" w:color="123A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3A78"/>
                <w:sz w:val="19"/>
              </w:rPr>
              <w:t>MANAGEMENT INTERPRETATION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22"/>
              </w:rPr>
              <w:t>Peak sales periods should be evaluated using revenue, profit, margin and average order value together. High sales volume alone does not guarantee high-quality profit.</w:t>
            </w:r>
          </w:p>
        </w:tc>
      </w:tr>
    </w:tbl>
    <w:p>
      <w:pPr>
        <w:spacing w:after="140"/>
      </w:pP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60803"/>
            <wp:docPr id="1" name="Picture 1" descr="Figure 1. Power BI Executive Overview - overall KPIs, monthly trend, category performance and Market-to-Region analys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01_executive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60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Power BI Executive Overview - overall KPIs, monthly trend, category performance and Market-to-Region analysis.</w:t>
      </w:r>
    </w:p>
    <w:p>
      <w:r>
        <w:br w:type="page"/>
      </w:r>
    </w:p>
    <w:p>
      <w:pPr>
        <w:pStyle w:val="Heading1"/>
      </w:pPr>
      <w:r>
        <w:t>2. Product and Discount Risk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Issue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Validated evidence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Business meaning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Tables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$757.04K revenue; -$64.08K profit; -8.46% margin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High sales do not cover the cost and discount structure.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Loss-making products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677 products; -$247.84K combined profit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Revenue ranking alone can hide products that destroy value.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Discounts above 20%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Loss-making in aggregate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Discount approval should include an expected-margin check.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Discounts above 50%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$371.62K revenue; -$412.58K profit; -111.02% margin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The business lost more than the revenue generated in this band.</w:t>
            </w:r>
          </w:p>
        </w:tc>
      </w:tr>
    </w:tbl>
    <w:p>
      <w:pPr>
        <w:spacing w:after="140"/>
      </w:pP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Statistical testing supported the discount finding. Discount and line-level margin had a Spearman correlation of -0.67, while discount band and loss status had a strong association (Cramer's V: 0.84).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57704"/>
            <wp:docPr id="2" name="Picture 2" descr="Figure 2. Product and Profitability page - sub-category performance, Bottom 5 products and discount imp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02_product_profit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Product and Profitability page - sub-category performance, Bottom 5 products and discount impact.</w:t>
      </w:r>
    </w:p>
    <w:p>
      <w:r>
        <w:br w:type="page"/>
      </w:r>
    </w:p>
    <w:p>
      <w:pPr>
        <w:pStyle w:val="Heading1"/>
      </w:pPr>
      <w:r>
        <w:t>3. Markets, Regions and Customers</w:t>
      </w:r>
    </w:p>
    <w:p>
      <w:pPr>
        <w:pStyle w:val="Heading2"/>
      </w:pPr>
      <w:r>
        <w:t>Market performance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600"/>
        <w:gridCol w:w="1800"/>
        <w:gridCol w:w="1800"/>
        <w:gridCol w:w="1500"/>
        <w:gridCol w:w="16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Market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Revenue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Profit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Margin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Avg. Discount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Asia Pacific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$4.04M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$403.18K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9.97%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18.10%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Europe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$3.29M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$449.55K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13.68%</w:t>
            </w:r>
          </w:p>
        </w:tc>
        <w:tc>
          <w:tcPr>
            <w:tcW w:type="dxa" w:w="1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9.09%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USCA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$2.36M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$304.22K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12.87%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15.04%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LATAM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$2.16M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$221.64K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10.24%</w:t>
            </w:r>
          </w:p>
        </w:tc>
        <w:tc>
          <w:tcPr>
            <w:tcW w:type="dxa" w:w="1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13.55%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Africa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$783.77K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$88.87K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11.34%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9"/>
              </w:rPr>
              <w:t>15.67%</w:t>
            </w:r>
          </w:p>
        </w:tc>
      </w:tr>
    </w:tbl>
    <w:p>
      <w:pPr>
        <w:spacing w:after="140"/>
      </w:pP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Asia Pacific generated the most revenue, but Europe delivered the highest profit and strongest margin. Thirty-one countries were loss-making, so Market totals should be reviewed through Region and Country detail.</w:t>
      </w:r>
    </w:p>
    <w:p>
      <w:pPr>
        <w:pStyle w:val="Heading2"/>
      </w:pPr>
      <w:r>
        <w:t>Customer segments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1900"/>
        <w:gridCol w:w="1200"/>
        <w:gridCol w:w="1550"/>
        <w:gridCol w:w="155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Segment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Customers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Revenue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Profit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Margin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Revenue / Customer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Consumer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409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$6.51M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$749.24K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11.51%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$15.91K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Corporate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238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$3.82M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$441.21K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11.54%</w:t>
            </w:r>
          </w:p>
        </w:tc>
        <w:tc>
          <w:tcPr>
            <w:tcW w:type="dxa" w:w="1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$16.07K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8"/>
              </w:rPr>
              <w:t>Home Office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149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$2.31M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$277.01K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11.99%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8"/>
              </w:rPr>
              <w:t>$15.50K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23A78"/>
          <w:left w:val="single" w:sz="8" w:space="0" w:color="123A78"/>
          <w:bottom w:val="single" w:sz="8" w:space="0" w:color="123A78"/>
          <w:right w:val="single" w:sz="8" w:space="0" w:color="123A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3A78"/>
                <w:sz w:val="19"/>
              </w:rPr>
              <w:t>CUSTOMER FOCUS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22"/>
              </w:rPr>
              <w:t>The At Risk RFM group represented about $2.02M in historical revenue. Reactivation should focus on past value and expected profit, not blanket discounts.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>4. Customer Behaviour, Returns and Advanced Analysis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32468"/>
            <wp:docPr id="3" name="Picture 3" descr="Figure 3. Customer Analytics page - customer profitability, Top 10 customers and segment perform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03_customer_analy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Customer Analytics page - customer profitability, Top 10 customers and segment performance.</w:t>
      </w:r>
    </w:p>
    <w:p>
      <w:pPr>
        <w:pStyle w:val="Heading2"/>
      </w:pPr>
      <w:r>
        <w:t>Returns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The dataset contains 1,079 returned orders, equal to a 4.19% returned-order rate. USCA recorded the highest market rate at 4.47%, but market differences were small.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The above-50% discount band had a 3.73% returned-order rate, below the overall rate. This suggests returns were not the main reason for the deep-discount losses.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4F5B6B"/>
          <w:left w:val="single" w:sz="8" w:space="0" w:color="4F5B6B"/>
          <w:bottom w:val="single" w:sz="8" w:space="0" w:color="4F5B6B"/>
          <w:right w:val="single" w:sz="8" w:space="0" w:color="4F5B6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F5B6B"/>
                <w:sz w:val="19"/>
              </w:rPr>
              <w:t>DATA LIMITATION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22"/>
              </w:rPr>
              <w:t>Returns are recorded at order level. Product-level findings must be described as products appearing in returned orders, not confirmed returned products.</w:t>
            </w:r>
          </w:p>
        </w:tc>
      </w:tr>
    </w:tbl>
    <w:p>
      <w:pPr>
        <w:spacing w:after="140"/>
      </w:pPr>
    </w:p>
    <w:p>
      <w:pPr>
        <w:pStyle w:val="Heading2"/>
      </w:pPr>
      <w:r>
        <w:t>Advanced analysis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Furniture's product-level profitability was weaker than Office Supplies, but the discount effect was much larger than the category effect.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Month-2 weighted customer activity was 28.19%; Month-12 activity was 38.35%. This is cohort activity, not subscription retention.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Exact product pairs were too sparse for strong conclusions. Accessories and Phones showed a positive category-level signal across 377 orders.</w:t>
      </w:r>
    </w:p>
    <w:p>
      <w:r>
        <w:br w:type="page"/>
      </w:r>
    </w:p>
    <w:p>
      <w:pPr>
        <w:pStyle w:val="Heading1"/>
      </w:pPr>
      <w:r>
        <w:t>5. Recommended Actions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1000"/>
        <w:gridCol w:w="3900"/>
        <w:gridCol w:w="2300"/>
        <w:gridCol w:w="21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Priority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Action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Suggested owner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Primary measure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Introduce discount approval bands and expected-margin checks.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Sales, Pricing, Finance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Margin and loss by discount band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7"/>
              </w:rPr>
              <w:t>2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Classify loss-making products as Keep, Fix or Exit; start with Tables.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Category, Procurement, Supply Chain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Negative-product loss; Tables margin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7"/>
              </w:rPr>
              <w:t>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Review loss-making countries through Market, Region and Country drill-down.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Regional Managers, Pricing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Loss-making countries; regional profit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7"/>
              </w:rPr>
              <w:t>4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Reactivate high-value At Risk customers without blanket deep discounts.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CRM, Sales, Marketing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Reactivated customer profit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color w:val="111827"/>
                <w:sz w:val="17"/>
              </w:rPr>
              <w:t>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Capture exact returned product, return reason and return cost.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Operations, Customer Service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Return rate, reason and cost</w:t>
            </w:r>
          </w:p>
        </w:tc>
      </w:tr>
    </w:tbl>
    <w:p>
      <w:pPr>
        <w:spacing w:after="140"/>
      </w:pPr>
    </w:p>
    <w:p>
      <w:pPr>
        <w:pStyle w:val="Heading2"/>
      </w:pPr>
      <w:r>
        <w:t>Suggested 90-day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Timeframe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Main actions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Days 1-30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Approve discount rules, prepare the loss-making product list and build the At Risk customer list.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Days 31-60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Review Tables, test pricing and cost changes, analyse loss-making countries and improve return-data capture.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Days 61-90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Evaluate results, expand successful customer actions, test selected cross-selling ideas and assign regional follow-ups.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23A78"/>
          <w:left w:val="single" w:sz="8" w:space="0" w:color="123A78"/>
          <w:bottom w:val="single" w:sz="8" w:space="0" w:color="123A78"/>
          <w:right w:val="single" w:sz="8" w:space="0" w:color="123A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3A78"/>
                <w:sz w:val="19"/>
              </w:rPr>
              <w:t>FIRST DECISION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22"/>
              </w:rPr>
              <w:t>Begin with discount governance. It is supported by the strongest statistical evidence and the largest directly observed loss pattern.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>6. Decision Support Dashboard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The detailed Power BI page allows users to filter by Year, Market, Category and Region, review product-level profitability and connect the findings to the recommended actions.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23059"/>
            <wp:docPr id="4" name="Picture 4" descr="Figure 4. Recommendations and Details page - interactive product analysis and overall recommended ac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04_recommendations_detai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2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4. Recommendations and Details page - interactive product analysis and overall recommended actions.</w:t>
      </w:r>
    </w:p>
    <w:p>
      <w:pPr>
        <w:pStyle w:val="Heading2"/>
      </w:pPr>
      <w:r>
        <w:t>Recommended review rhythm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Weekly: monitor deep-discount exceptions and newly loss-making products.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Monthly: review category, country, Region and customer profitability.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Quarterly: reassess product Keep/Fix/Exit decisions and the impact of pricing changes.</w:t>
      </w:r>
    </w:p>
    <w:p>
      <w:r>
        <w:br w:type="page"/>
      </w:r>
    </w:p>
    <w:p>
      <w:pPr>
        <w:pStyle w:val="Heading1"/>
      </w:pPr>
      <w:r>
        <w:t>7. Methodology and Analytical Model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The project follows an end-to-end analytics workflow. Raw data was preserved, cleaned outputs were stored separately and each analytical layer was validated before dashboard development.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Stage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Output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Python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Loading, quality audit, cleaning, EDA, statistical tests, cohort and basket analysis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MySQL 8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Star schema and 20 business-focused SQL queries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Excel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Power Query, Data Model, PivotTables, PivotCharts, slicers and KPI formulas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Power BI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color w:val="111827"/>
                <w:sz w:val="19"/>
              </w:rPr>
              <w:t>Star schema, 19 organised DAX measures and four visible dashboard pages</w:t>
            </w:r>
          </w:p>
        </w:tc>
      </w:tr>
    </w:tbl>
    <w:p>
      <w:pPr>
        <w:spacing w:after="140"/>
      </w:pP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40537"/>
            <wp:docPr id="5" name="Picture 5" descr="Figure 5. Power BI star schema with FactSales, DimDate, DimCustomer, DimProduct and DimGeograph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star_sche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40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5. Power BI star schema with FactSales, DimDate, DimCustomer, DimProduct and DimGeography.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The cleaned Orders dataset contains 51,290 sales lines and 38 fields. The MySQL model contains 51,290 fact rows, 1,468 dates, 796 customers, 3,788 products and 3,856 geography records.</w:t>
      </w:r>
    </w:p>
    <w:p>
      <w:r>
        <w:br w:type="page"/>
      </w:r>
    </w:p>
    <w:p>
      <w:pPr>
        <w:pStyle w:val="Heading1"/>
      </w:pPr>
      <w:r>
        <w:t>8. Limitations and Conclusion</w:t>
      </w:r>
    </w:p>
    <w:p>
      <w:pPr>
        <w:pStyle w:val="Heading2"/>
      </w:pPr>
      <w:r>
        <w:t>Important limitations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The project uses a public sample dataset and a fictional company scenario.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Historical relationships do not prove direct cause and effect.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Return information is available at order level, not individual returned-product level.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The observed 99.87% repeat-purchase rate is not formal customer retention.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The 12-month customer profit value is a historical proxy, not predictive lifetime value.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Exact product-pair results were too sparse for strong basket conclusions.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Missing postal codes were retained because they mainly belonged to non-US locations.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Valid outliers and negative-profit transactions were retained because they are important to the business analysis.</w:t>
      </w:r>
    </w:p>
    <w:p>
      <w:pPr>
        <w:pStyle w:val="Heading2"/>
      </w:pPr>
      <w:r>
        <w:t>Conclusion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NovaCart Global showed strong revenue and profit growth, but a meaningful share of sales came from low-margin or loss-making activity.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Deep discounting was the clearest risk, followed by loss-making products, Tables and unprofitable countries. Repeat customers remain important, and valuable At Risk customers provide a practical reactivation opportunity.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23A78"/>
          <w:left w:val="single" w:sz="8" w:space="0" w:color="123A78"/>
          <w:bottom w:val="single" w:sz="8" w:space="0" w:color="123A78"/>
          <w:right w:val="single" w:sz="8" w:space="0" w:color="123A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3A78"/>
                <w:sz w:val="19"/>
              </w:rPr>
              <w:t>CLOSING MESSAGE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22"/>
              </w:rPr>
              <w:t>Future growth should be judged by profit and margin together with revenue. The existing Excel and Power BI dashboards provide the controls needed to monitor the action plan.</w:t>
            </w:r>
          </w:p>
        </w:tc>
      </w:tr>
    </w:tbl>
    <w:p>
      <w:pPr>
        <w:spacing w:after="140"/>
      </w:pPr>
    </w:p>
    <w:p>
      <w:pPr>
        <w:spacing w:after="360"/>
      </w:pPr>
    </w:p>
    <w:p>
      <w:pPr>
        <w:jc w:val="center"/>
      </w:pPr>
      <w:r>
        <w:rPr>
          <w:rFonts w:ascii="Calibri" w:hAnsi="Calibri"/>
          <w:b/>
          <w:color w:val="E8682A"/>
          <w:sz w:val="19"/>
        </w:rPr>
        <w:t>END OF REPORT</w:t>
      </w:r>
    </w:p>
    <w:sectPr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Calibri" w:hAnsi="Calibri"/>
              <w:color w:val="4F5B6B"/>
              <w:sz w:val="17"/>
            </w:rPr>
            <w:t>Portfolio Business Case | Global Superstore sample data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4F5B6B"/>
              <w:sz w:val="18"/>
            </w:rPr>
            <w:t xml:space="preserve">Page </w:t>
          </w:r>
          <w:r>
            <w:rPr>
              <w:rFonts w:ascii="Calibri" w:hAnsi="Calibri"/>
              <w:color w:val="4F5B6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5B6B"/>
        <w:sz w:val="18"/>
      </w:rPr>
      <w:t>NovaCart Global | Portfolio Business Case |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000"/>
      <w:gridCol w:w="3360"/>
    </w:tblGrid>
    <w:tr>
      <w:tc>
        <w:tcPr>
          <w:tcW w:type="dxa" w:w="6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Calibri" w:hAnsi="Calibri"/>
              <w:b/>
              <w:color w:val="123A78"/>
              <w:sz w:val="18"/>
            </w:rPr>
            <w:t>NovaCart Global</w:t>
          </w:r>
        </w:p>
      </w:tc>
      <w:tc>
        <w:tcPr>
          <w:tcW w:type="dxa" w:w="3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4F5B6B"/>
              <w:sz w:val="18"/>
            </w:rPr>
            <w:t>Executive Business Report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/>
      <w:b/>
      <w:bCs/>
      <w:i/>
      <w:color w:val="4F5B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NovaCart Global Executive Business Report</dc:title>
  <dc:subject>E-commerce Sales, Customer Behaviour and Profitability Analytics</dc:subject>
  <dc:creator/>
  <cp:keywords>e-commerce, analytics, Power BI, Python, MySQL, Excel, profitability</cp:keywords>
  <dc:description>Portfolio business case using public Global Superstore sample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