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01   •   IMPLEMENTATION GUIDE</w:t>
      </w:r>
    </w:p>
    <w:p>
      <w:pPr>
        <w:pStyle w:val="Title"/>
      </w:pPr>
      <w:r>
        <w:t>Project Discovery and Requirements</w:t>
      </w:r>
    </w:p>
    <w:p>
      <w:pPr>
        <w:spacing w:after="180"/>
      </w:pPr>
      <w:r>
        <w:t>Establish the people, needs, boundaries, and success measures for FitBuddy before implementation begins. FitBuddy helps a person create a seven-day general fitness plan, request a revision, and view saved plans through a coach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01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Translate the project brief into clear user-facing and system requirements.</w:t>
      </w:r>
    </w:p>
    <w:p>
      <w:pPr>
        <w:pStyle w:val="ListBullet"/>
        <w:spacing w:after="60"/>
        <w:ind w:left="331"/>
      </w:pPr>
      <w:r>
        <w:t>Identify the main user journeys: create a plan, revise it with feedback, and review plans as a coach.</w:t>
      </w:r>
    </w:p>
    <w:p>
      <w:pPr>
        <w:pStyle w:val="ListBullet"/>
        <w:spacing w:after="60"/>
        <w:ind w:left="331"/>
      </w:pPr>
      <w:r>
        <w:t>Set realistic boundaries for health-related content and personal data.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Define primary users: an individual seeking a routine and a coach reviewing locally saved plans.</w:t>
      </w:r>
    </w:p>
    <w:p>
      <w:pPr>
        <w:pStyle w:val="ListBullet"/>
        <w:spacing w:after="60"/>
        <w:ind w:left="331"/>
      </w:pPr>
      <w:r>
        <w:t>Capture inputs: display name, unique user ID, age, weight in kilograms, goal, and preferred effort.</w:t>
      </w:r>
    </w:p>
    <w:p>
      <w:pPr>
        <w:pStyle w:val="ListBullet"/>
        <w:spacing w:after="60"/>
        <w:ind w:left="331"/>
      </w:pPr>
      <w:r>
        <w:t>Specify outputs: a day-by-day seven-day workout plan, one concise nutrition or recovery tip, and a saved original/current plan pair.</w:t>
      </w:r>
    </w:p>
    <w:p>
      <w:pPr>
        <w:pStyle w:val="ListBullet"/>
        <w:spacing w:after="60"/>
        <w:ind w:left="331"/>
      </w:pPr>
      <w:r>
        <w:t>Record goals and intensity values supported by the product; define validation and duplicate-ID behavior.</w:t>
      </w:r>
    </w:p>
    <w:p>
      <w:pPr>
        <w:pStyle w:val="ListBullet"/>
        <w:spacing w:after="60"/>
        <w:ind w:left="331"/>
      </w:pPr>
      <w:r>
        <w:t>Make clear that generated content is general wellness guidance, not diagnosis or medical treatment.</w:t>
      </w:r>
    </w:p>
    <w:p>
      <w:pPr>
        <w:pStyle w:val="ListBullet"/>
        <w:spacing w:after="60"/>
        <w:ind w:left="331"/>
      </w:pPr>
      <w:r>
        <w:t>Separate required behavior from optional implementation ideas in the source brief.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Goals supported: weight loss, muscle gain, general wellness, and flexibility/mobility.</w:t>
      </w:r>
    </w:p>
    <w:p>
      <w:pPr>
        <w:pStyle w:val="ListBullet"/>
        <w:spacing w:after="60"/>
        <w:ind w:left="331"/>
      </w:pPr>
      <w:r>
        <w:t>Effort choices: low, medium, and high.</w:t>
      </w:r>
    </w:p>
    <w:p>
      <w:pPr>
        <w:pStyle w:val="ListBullet"/>
        <w:spacing w:after="60"/>
        <w:ind w:left="331"/>
      </w:pPr>
      <w:r>
        <w:t>A unique user_code is user-supplied; the database primary key remains internal.</w:t>
      </w:r>
    </w:p>
    <w:p>
      <w:pPr>
        <w:pStyle w:val="ListBullet"/>
        <w:spacing w:after="60"/>
        <w:ind w:left="331"/>
      </w:pPr>
      <w:r>
        <w:t>The initial delivery targets local development with a later path to hosted deployment.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Requirements and user-flow summary.</w:t>
      </w:r>
    </w:p>
    <w:p>
      <w:pPr>
        <w:pStyle w:val="ListBullet"/>
        <w:spacing w:after="60"/>
        <w:ind w:left="331"/>
      </w:pPr>
      <w:r>
        <w:t>Validated input and output definitions.</w:t>
      </w:r>
    </w:p>
    <w:p>
      <w:pPr>
        <w:pStyle w:val="ListBullet"/>
        <w:spacing w:after="60"/>
        <w:ind w:left="331"/>
      </w:pPr>
      <w:r>
        <w:t>Acceptance criteria for plan generation, feedback revision, persistence, and dashboard viewing.</w:t>
      </w:r>
    </w:p>
    <w:p>
      <w:pPr>
        <w:pStyle w:val="ListBullet"/>
        <w:spacing w:after="60"/>
        <w:ind w:left="331"/>
      </w:pPr>
      <w:r>
        <w:t>A short health-content and privacy boundary statement.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A new user can explain what information is collected and why.</w:t>
      </w:r>
    </w:p>
    <w:p>
      <w:pPr>
        <w:pStyle w:val="ListBullet"/>
        <w:spacing w:after="60"/>
        <w:ind w:left="331"/>
      </w:pPr>
      <w:r>
        <w:t>All three key user journeys have a defined start, successful outcome, and validation/error outcome.</w:t>
      </w:r>
    </w:p>
    <w:p>
      <w:pPr>
        <w:pStyle w:val="ListBullet"/>
        <w:spacing w:after="60"/>
        <w:ind w:left="331"/>
      </w:pPr>
      <w:r>
        <w:t>The project does not promise guaranteed weight, strength, or health results.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01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