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678B3F"/>
          <w:sz w:val="18"/>
        </w:rPr>
        <w:t>PHASE 02   •   IMPLEMENTATION GUIDE</w:t>
      </w:r>
    </w:p>
    <w:p>
      <w:pPr>
        <w:pStyle w:val="Title"/>
      </w:pPr>
      <w:r>
        <w:t>Architecture and Environment Setup</w:t>
      </w:r>
    </w:p>
    <w:p>
      <w:pPr>
        <w:spacing w:after="180"/>
      </w:pPr>
      <w:r>
        <w:t>Set up a modular Python web application that connects the browser interface, FastAPI routes, a Gemini service layer, and SQLite persistence. This phase makes the project reproducible on a developer’s machine.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PROJECT  |  FitBuddy AI Fitness Plan Generator</w:t>
            </w:r>
          </w:p>
        </w:tc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PHASE  |  02 of 08</w:t>
            </w:r>
          </w:p>
        </w:tc>
      </w:tr>
    </w:tbl>
    <w:p>
      <w:pPr>
        <w:pStyle w:val="Heading1"/>
      </w:pPr>
      <w:r>
        <w:t>Purpose and objectives</w:t>
      </w:r>
    </w:p>
    <w:p>
      <w:pPr>
        <w:pStyle w:val="ListBullet"/>
        <w:spacing w:after="60"/>
        <w:ind w:left="331"/>
      </w:pPr>
      <w:r>
        <w:t>Choose a small, understandable architecture that supports both web pages and JSON endpoints.</w:t>
      </w:r>
    </w:p>
    <w:p>
      <w:pPr>
        <w:pStyle w:val="ListBullet"/>
        <w:spacing w:after="60"/>
        <w:ind w:left="331"/>
      </w:pPr>
      <w:r>
        <w:t>Keep configuration and credentials outside source code.</w:t>
      </w:r>
    </w:p>
    <w:p>
      <w:pPr>
        <w:pStyle w:val="ListBullet"/>
        <w:spacing w:after="60"/>
        <w:ind w:left="331"/>
      </w:pPr>
      <w:r>
        <w:t>Make the project start locally even before a Gemini API key is available.</w:t>
      </w:r>
    </w:p>
    <w:p>
      <w:pPr>
        <w:pStyle w:val="Heading1"/>
      </w:pPr>
      <w:r>
        <w:t>Work included</w:t>
      </w:r>
    </w:p>
    <w:p>
      <w:pPr>
        <w:pStyle w:val="ListBullet"/>
        <w:spacing w:after="60"/>
        <w:ind w:left="331"/>
      </w:pPr>
      <w:r>
        <w:t>Use FastAPI and Uvicorn for the ASGI app, Jinja2 for rendered pages, SQLAlchemy for persistence, and SQLite for local storage.</w:t>
      </w:r>
    </w:p>
    <w:p>
      <w:pPr>
        <w:pStyle w:val="ListBullet"/>
        <w:spacing w:after="60"/>
        <w:ind w:left="331"/>
      </w:pPr>
      <w:r>
        <w:t>Separate app configuration, database setup, ORM models, validation schemas, AI generation, routes, templates, and static styles.</w:t>
      </w:r>
    </w:p>
    <w:p>
      <w:pPr>
        <w:pStyle w:val="ListBullet"/>
        <w:spacing w:after="60"/>
        <w:ind w:left="331"/>
      </w:pPr>
      <w:r>
        <w:t>Pin compatible dependency ranges in requirements.txt and provide an environment-variable example.</w:t>
      </w:r>
    </w:p>
    <w:p>
      <w:pPr>
        <w:pStyle w:val="ListBullet"/>
        <w:spacing w:after="60"/>
        <w:ind w:left="331"/>
      </w:pPr>
      <w:r>
        <w:t>Load secrets from a developer-only .env file and exclude it and the local database from version control.</w:t>
      </w:r>
    </w:p>
    <w:p>
      <w:pPr>
        <w:pStyle w:val="ListBullet"/>
        <w:spacing w:after="60"/>
        <w:ind w:left="331"/>
      </w:pPr>
      <w:r>
        <w:t>Create a local fallback mode so the user journey can be exercised without an external AI request.</w:t>
      </w:r>
    </w:p>
    <w:p>
      <w:pPr>
        <w:pStyle w:val="Heading1"/>
      </w:pPr>
      <w:r>
        <w:t>Implementation decisions</w:t>
      </w:r>
    </w:p>
    <w:p>
      <w:pPr>
        <w:pStyle w:val="ListBullet"/>
        <w:spacing w:after="60"/>
        <w:ind w:left="331"/>
      </w:pPr>
      <w:r>
        <w:t>The app entry point is app.main:app.</w:t>
      </w:r>
    </w:p>
    <w:p>
      <w:pPr>
        <w:pStyle w:val="ListBullet"/>
        <w:spacing w:after="60"/>
        <w:ind w:left="331"/>
      </w:pPr>
      <w:r>
        <w:t>The default database is fitbuddy.db in the project root; DATABASE_URL can override it.</w:t>
      </w:r>
    </w:p>
    <w:p>
      <w:pPr>
        <w:pStyle w:val="ListBullet"/>
        <w:spacing w:after="60"/>
        <w:ind w:left="331"/>
      </w:pPr>
      <w:r>
        <w:t>The current AI client is Google’s google-genai SDK, using configurable Gemini model names.</w:t>
      </w:r>
    </w:p>
    <w:p>
      <w:pPr>
        <w:pStyle w:val="ListBullet"/>
        <w:spacing w:after="60"/>
        <w:ind w:left="331"/>
      </w:pPr>
      <w:r>
        <w:t>Jinja templates and CSS are served by the FastAPI application.</w:t>
      </w:r>
    </w:p>
    <w:p>
      <w:pPr>
        <w:pStyle w:val="Heading1"/>
      </w:pPr>
      <w:r>
        <w:t>Phase deliverables</w:t>
      </w:r>
    </w:p>
    <w:p>
      <w:pPr>
        <w:pStyle w:val="ListBullet"/>
        <w:spacing w:after="60"/>
        <w:ind w:left="331"/>
      </w:pPr>
      <w:r>
        <w:t>Project folder structure and Python package.</w:t>
      </w:r>
    </w:p>
    <w:p>
      <w:pPr>
        <w:pStyle w:val="ListBullet"/>
        <w:spacing w:after="60"/>
        <w:ind w:left="331"/>
      </w:pPr>
      <w:r>
        <w:t>requirements.txt, .env.example, and .gitignore.</w:t>
      </w:r>
    </w:p>
    <w:p>
      <w:pPr>
        <w:pStyle w:val="ListBullet"/>
        <w:spacing w:after="60"/>
        <w:ind w:left="331"/>
      </w:pPr>
      <w:r>
        <w:t>A README with Windows, macOS, and Linux environment setup instructions.</w:t>
      </w:r>
    </w:p>
    <w:p>
      <w:pPr>
        <w:pStyle w:val="ListBullet"/>
        <w:spacing w:after="60"/>
        <w:ind w:left="331"/>
      </w:pPr>
      <w:r>
        <w:t>A health endpoint identifying whether Gemini or local fallback mode is active.</w:t>
      </w:r>
    </w:p>
    <w:p>
      <w:pPr>
        <w:pStyle w:val="Heading1"/>
      </w:pPr>
      <w:r>
        <w:t>Completion checks</w:t>
      </w:r>
    </w:p>
    <w:p>
      <w:pPr>
        <w:pStyle w:val="ListBullet"/>
        <w:spacing w:after="60"/>
        <w:ind w:left="331"/>
      </w:pPr>
      <w:r>
        <w:t>A fresh virtual environment can install the listed packages.</w:t>
      </w:r>
    </w:p>
    <w:p>
      <w:pPr>
        <w:pStyle w:val="ListBullet"/>
        <w:spacing w:after="60"/>
        <w:ind w:left="331"/>
      </w:pPr>
      <w:r>
        <w:t>The app imports and starts with no API key using local fallback mode.</w:t>
      </w:r>
    </w:p>
    <w:p>
      <w:pPr>
        <w:pStyle w:val="ListBullet"/>
        <w:spacing w:after="60"/>
        <w:ind w:left="331"/>
      </w:pPr>
      <w:r>
        <w:t>A developer can configure the Gemini key without placing it in tracked source files.</w:t>
      </w:r>
    </w:p>
    <w:p>
      <w:pPr>
        <w:spacing w:before="140"/>
      </w:pPr>
      <w:r>
        <w:rPr>
          <w:b/>
          <w:color w:val="415E30"/>
        </w:rPr>
        <w:t xml:space="preserve">Project context: </w:t>
      </w:r>
      <w:r>
        <w:t>FitBuddy uses FastAPI, Jinja2, SQLAlchemy, SQLite, and optional Google Gemini generation. The local fallback supports development without a Gemini credential.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76"/>
        <w:sz w:val="16"/>
      </w:rPr>
      <w:t>FitBuddy  •  Phase 02  •  Local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E4E"/>
        <w:sz w:val="16"/>
      </w:rPr>
      <w:t>FITBUDDY  /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B3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4C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15E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92C1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