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678B3F"/>
          <w:sz w:val="18"/>
        </w:rPr>
        <w:t>PHASE 07   •   IMPLEMENTATION GUIDE</w:t>
      </w:r>
    </w:p>
    <w:p>
      <w:pPr>
        <w:pStyle w:val="Title"/>
      </w:pPr>
      <w:r>
        <w:t>Validation and Quality Assurance</w:t>
      </w:r>
    </w:p>
    <w:p>
      <w:pPr>
        <w:spacing w:after="180"/>
      </w:pPr>
      <w:r>
        <w:t>Verify that the user journeys, API responses, AI configuration modes, persistence, and responsive pages behave as intended. Record defects and resolve them before sharing a build.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PROJECT  |  FitBuddy AI Fitness Plan Generator</w:t>
            </w:r>
          </w:p>
        </w:tc>
        <w:tc>
          <w:tcPr>
            <w:tcW w:type="dxa" w:w="5083"/>
            <w:vAlign w:val="center"/>
            <w:shd w:fill="F0F5E9"/>
          </w:tcPr>
          <w:p>
            <w:pPr>
              <w:spacing w:after="60"/>
            </w:pPr>
            <w:r/>
            <w:r>
              <w:rPr>
                <w:b/>
                <w:color w:val="37512A"/>
                <w:sz w:val="18"/>
              </w:rPr>
              <w:t>PHASE  |  07 of 08</w:t>
            </w:r>
          </w:p>
        </w:tc>
      </w:tr>
    </w:tbl>
    <w:p>
      <w:pPr>
        <w:pStyle w:val="Heading1"/>
      </w:pPr>
      <w:r>
        <w:t>Purpose and objectives</w:t>
      </w:r>
    </w:p>
    <w:p>
      <w:pPr>
        <w:pStyle w:val="ListBullet"/>
        <w:spacing w:after="60"/>
        <w:ind w:left="331"/>
      </w:pPr>
      <w:r>
        <w:t>Confirm core flows work with and without a Gemini key.</w:t>
      </w:r>
    </w:p>
    <w:p>
      <w:pPr>
        <w:pStyle w:val="ListBullet"/>
        <w:spacing w:after="60"/>
        <w:ind w:left="331"/>
      </w:pPr>
      <w:r>
        <w:t>Check validation, persistence, and error handling.</w:t>
      </w:r>
    </w:p>
    <w:p>
      <w:pPr>
        <w:pStyle w:val="ListBullet"/>
        <w:spacing w:after="60"/>
        <w:ind w:left="331"/>
      </w:pPr>
      <w:r>
        <w:t>Reduce avoidable safety, usability, and data-exposure problems.</w:t>
      </w:r>
    </w:p>
    <w:p>
      <w:pPr>
        <w:pStyle w:val="Heading1"/>
      </w:pPr>
      <w:r>
        <w:t>Work included</w:t>
      </w:r>
    </w:p>
    <w:p>
      <w:pPr>
        <w:pStyle w:val="ListBullet"/>
        <w:spacing w:after="60"/>
        <w:ind w:left="331"/>
      </w:pPr>
      <w:r>
        <w:t>Install dependencies in a clean virtual environment and check the application starts.</w:t>
      </w:r>
    </w:p>
    <w:p>
      <w:pPr>
        <w:pStyle w:val="ListBullet"/>
        <w:spacing w:after="60"/>
        <w:ind w:left="331"/>
      </w:pPr>
      <w:r>
        <w:t>Exercise profile creation with valid and invalid values, including reused IDs.</w:t>
      </w:r>
    </w:p>
    <w:p>
      <w:pPr>
        <w:pStyle w:val="ListBullet"/>
        <w:spacing w:after="60"/>
        <w:ind w:left="331"/>
      </w:pPr>
      <w:r>
        <w:t>Exercise feedback updates and confirm original and revised plan values differ as expected.</w:t>
      </w:r>
    </w:p>
    <w:p>
      <w:pPr>
        <w:pStyle w:val="ListBullet"/>
        <w:spacing w:after="60"/>
        <w:ind w:left="331"/>
      </w:pPr>
      <w:r>
        <w:t>Call health, API create, API read, and API feedback endpoints through /docs.</w:t>
      </w:r>
    </w:p>
    <w:p>
      <w:pPr>
        <w:pStyle w:val="ListBullet"/>
        <w:spacing w:after="60"/>
        <w:ind w:left="331"/>
      </w:pPr>
      <w:r>
        <w:t>Inspect plan and dashboard pages at desktop and mobile widths.</w:t>
      </w:r>
    </w:p>
    <w:p>
      <w:pPr>
        <w:pStyle w:val="ListBullet"/>
        <w:spacing w:after="60"/>
        <w:ind w:left="331"/>
      </w:pPr>
      <w:r>
        <w:t>Check missing credentials, unavailable model access, empty AI responses, and missing plan IDs.</w:t>
      </w:r>
    </w:p>
    <w:p>
      <w:pPr>
        <w:pStyle w:val="ListBullet"/>
        <w:spacing w:after="60"/>
        <w:ind w:left="331"/>
      </w:pPr>
      <w:r>
        <w:t>Review text for unsafe prescriptions, secret leakage, and unescaped user content.</w:t>
      </w:r>
    </w:p>
    <w:p>
      <w:pPr>
        <w:pStyle w:val="Heading1"/>
      </w:pPr>
      <w:r>
        <w:t>Implementation decisions</w:t>
      </w:r>
    </w:p>
    <w:p>
      <w:pPr>
        <w:pStyle w:val="ListBullet"/>
        <w:spacing w:after="60"/>
        <w:ind w:left="331"/>
      </w:pPr>
      <w:r>
        <w:t>Manual acceptance checks are documented in README.md for local verification.</w:t>
      </w:r>
    </w:p>
    <w:p>
      <w:pPr>
        <w:pStyle w:val="ListBullet"/>
        <w:spacing w:after="60"/>
        <w:ind w:left="331"/>
      </w:pPr>
      <w:r>
        <w:t>Generation failures should be visible; a configured but failing Gemini service should not masquerade as a successful live response.</w:t>
      </w:r>
    </w:p>
    <w:p>
      <w:pPr>
        <w:pStyle w:val="ListBullet"/>
        <w:spacing w:after="60"/>
        <w:ind w:left="331"/>
      </w:pPr>
      <w:r>
        <w:t>The local dashboard must not be exposed publicly with real user data without adding access control.</w:t>
      </w:r>
    </w:p>
    <w:p>
      <w:pPr>
        <w:pStyle w:val="Heading1"/>
      </w:pPr>
      <w:r>
        <w:t>Phase deliverables</w:t>
      </w:r>
    </w:p>
    <w:p>
      <w:pPr>
        <w:pStyle w:val="ListBullet"/>
        <w:spacing w:after="60"/>
        <w:ind w:left="331"/>
      </w:pPr>
      <w:r>
        <w:t>A repeatable manual acceptance checklist.</w:t>
      </w:r>
    </w:p>
    <w:p>
      <w:pPr>
        <w:pStyle w:val="ListBullet"/>
        <w:spacing w:after="60"/>
        <w:ind w:left="331"/>
      </w:pPr>
      <w:r>
        <w:t>Resolved defects and a brief record of any remaining limitations.</w:t>
      </w:r>
    </w:p>
    <w:p>
      <w:pPr>
        <w:pStyle w:val="ListBullet"/>
        <w:spacing w:after="60"/>
        <w:ind w:left="331"/>
      </w:pPr>
      <w:r>
        <w:t>A verified local setup path for the next developer.</w:t>
      </w:r>
    </w:p>
    <w:p>
      <w:pPr>
        <w:pStyle w:val="Heading1"/>
      </w:pPr>
      <w:r>
        <w:t>Completion checks</w:t>
      </w:r>
    </w:p>
    <w:p>
      <w:pPr>
        <w:pStyle w:val="ListBullet"/>
        <w:spacing w:after="60"/>
        <w:ind w:left="331"/>
      </w:pPr>
      <w:r>
        <w:t>The complete create → review → revise → dashboard journey succeeds.</w:t>
      </w:r>
    </w:p>
    <w:p>
      <w:pPr>
        <w:pStyle w:val="ListBullet"/>
        <w:spacing w:after="60"/>
        <w:ind w:left="331"/>
      </w:pPr>
      <w:r>
        <w:t>Invalid data receives a useful client error instead of corrupting the database.</w:t>
      </w:r>
    </w:p>
    <w:p>
      <w:pPr>
        <w:pStyle w:val="ListBullet"/>
        <w:spacing w:after="60"/>
        <w:ind w:left="331"/>
      </w:pPr>
      <w:r>
        <w:t>No API key appears in tracked files or application output.</w:t>
      </w:r>
    </w:p>
    <w:p>
      <w:pPr>
        <w:pStyle w:val="ListBullet"/>
        <w:spacing w:after="60"/>
        <w:ind w:left="331"/>
      </w:pPr>
      <w:r>
        <w:t>The app’s limitations are clearly explained to users and maintainers.</w:t>
      </w:r>
    </w:p>
    <w:p>
      <w:pPr>
        <w:spacing w:before="140"/>
      </w:pPr>
      <w:r>
        <w:rPr>
          <w:b/>
          <w:color w:val="415E30"/>
        </w:rPr>
        <w:t xml:space="preserve">Project context: </w:t>
      </w:r>
      <w:r>
        <w:t>FitBuddy uses FastAPI, Jinja2, SQLAlchemy, SQLite, and optional Google Gemini generation. The local fallback supports development without a Gemini credential.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76"/>
        <w:sz w:val="16"/>
      </w:rPr>
      <w:t>FitBuddy  •  Phase 07  •  Local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E4E"/>
        <w:sz w:val="16"/>
      </w:rPr>
      <w:t>FITBUDDY  /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B3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4C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5E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92C1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