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08   •   IMPLEMENTATION GUIDE</w:t>
      </w:r>
    </w:p>
    <w:p>
      <w:pPr>
        <w:pStyle w:val="Title"/>
      </w:pPr>
      <w:r>
        <w:t>Local Deployment and Maintenance</w:t>
      </w:r>
    </w:p>
    <w:p>
      <w:pPr>
        <w:spacing w:after="180"/>
      </w:pPr>
      <w:r>
        <w:t>Package the application for a repeatable local run and outline the steps needed before any shared or public deployment. The initial version is designed for developer machines, not an internet-facing production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08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Make local installation and startup straightforward in VS Code.</w:t>
      </w:r>
    </w:p>
    <w:p>
      <w:pPr>
        <w:pStyle w:val="ListBullet"/>
        <w:spacing w:after="60"/>
        <w:ind w:left="331"/>
      </w:pPr>
      <w:r>
        <w:t>Explain configuration, database location, and operational checks.</w:t>
      </w:r>
    </w:p>
    <w:p>
      <w:pPr>
        <w:pStyle w:val="ListBullet"/>
        <w:spacing w:after="60"/>
        <w:ind w:left="331"/>
      </w:pPr>
      <w:r>
        <w:t>Identify production work that must precede public release.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Create a Python virtual environment and install requirements.txt.</w:t>
      </w:r>
    </w:p>
    <w:p>
      <w:pPr>
        <w:pStyle w:val="ListBullet"/>
        <w:spacing w:after="60"/>
        <w:ind w:left="331"/>
      </w:pPr>
      <w:r>
        <w:t>Copy .env.example to .env and configure Gemini only when desired.</w:t>
      </w:r>
    </w:p>
    <w:p>
      <w:pPr>
        <w:pStyle w:val="ListBullet"/>
        <w:spacing w:after="60"/>
        <w:ind w:left="331"/>
      </w:pPr>
      <w:r>
        <w:t>Run uvicorn app.main:app --reload and verify the homepage, /health, and /docs.</w:t>
      </w:r>
    </w:p>
    <w:p>
      <w:pPr>
        <w:pStyle w:val="ListBullet"/>
        <w:spacing w:after="60"/>
        <w:ind w:left="331"/>
      </w:pPr>
      <w:r>
        <w:t>Back up fitbuddy.db before upgrades or experiments involving real profiles.</w:t>
      </w:r>
    </w:p>
    <w:p>
      <w:pPr>
        <w:pStyle w:val="ListBullet"/>
        <w:spacing w:after="60"/>
        <w:ind w:left="331"/>
      </w:pPr>
      <w:r>
        <w:t>For hosted use, add authentication/authorization for the coach view, HTTPS, production database migrations, managed secrets, backups, logging, and rate limits.</w:t>
      </w:r>
    </w:p>
    <w:p>
      <w:pPr>
        <w:pStyle w:val="ListBullet"/>
        <w:spacing w:after="60"/>
        <w:ind w:left="331"/>
      </w:pPr>
      <w:r>
        <w:t>Pin reviewed dependency versions and deploy behind a production ASGI process rather than the development reload server.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The developer command uses Uvicorn reload for local iteration.</w:t>
      </w:r>
    </w:p>
    <w:p>
      <w:pPr>
        <w:pStyle w:val="ListBullet"/>
        <w:spacing w:after="60"/>
        <w:ind w:left="331"/>
      </w:pPr>
      <w:r>
        <w:t>No cloud provider or public hosting target is assumed by this project brief.</w:t>
      </w:r>
    </w:p>
    <w:p>
      <w:pPr>
        <w:pStyle w:val="ListBullet"/>
        <w:spacing w:after="60"/>
        <w:ind w:left="331"/>
      </w:pPr>
      <w:r>
        <w:t>Public deployment is a separate readiness milestone because personal fitness data and an unauthenticated dashboard require protection.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README.md installation, configuration, running, and manual-check instructions.</w:t>
      </w:r>
    </w:p>
    <w:p>
      <w:pPr>
        <w:pStyle w:val="ListBullet"/>
        <w:spacing w:after="60"/>
        <w:ind w:left="331"/>
      </w:pPr>
      <w:r>
        <w:t>Environment template and ignored local secrets/database.</w:t>
      </w:r>
    </w:p>
    <w:p>
      <w:pPr>
        <w:pStyle w:val="ListBullet"/>
        <w:spacing w:after="60"/>
        <w:ind w:left="331"/>
      </w:pPr>
      <w:r>
        <w:t>A production-readiness checklist for future deployment.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A developer can start the app from VS Code using the README alone.</w:t>
      </w:r>
    </w:p>
    <w:p>
      <w:pPr>
        <w:pStyle w:val="ListBullet"/>
        <w:spacing w:after="60"/>
        <w:ind w:left="331"/>
      </w:pPr>
      <w:r>
        <w:t>The app remains usable in local fallback mode.</w:t>
      </w:r>
    </w:p>
    <w:p>
      <w:pPr>
        <w:pStyle w:val="ListBullet"/>
        <w:spacing w:after="60"/>
        <w:ind w:left="331"/>
      </w:pPr>
      <w:r>
        <w:t>A configured API key is read from environment configuration.</w:t>
      </w:r>
    </w:p>
    <w:p>
      <w:pPr>
        <w:pStyle w:val="ListBullet"/>
        <w:spacing w:after="60"/>
        <w:ind w:left="331"/>
      </w:pPr>
      <w:r>
        <w:t>Before public launch, the dashboard and data storage receive appropriate access controls and operational safeguards.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08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