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EC518" w14:textId="77777777" w:rsidR="007D145F" w:rsidRDefault="007D145F" w:rsidP="007D145F">
      <w:pPr>
        <w:rPr>
          <w:b/>
          <w:bCs/>
          <w:sz w:val="32"/>
          <w:szCs w:val="32"/>
        </w:rPr>
      </w:pPr>
      <w:bookmarkStart w:id="0" w:name="_Hlk194760167"/>
      <w:bookmarkStart w:id="1" w:name="_Hlk194666252"/>
      <w:bookmarkEnd w:id="0"/>
    </w:p>
    <w:p w14:paraId="18F84D81" w14:textId="77777777" w:rsidR="00E90521" w:rsidRDefault="00E90521" w:rsidP="007D145F">
      <w:pPr>
        <w:rPr>
          <w:b/>
          <w:bCs/>
          <w:sz w:val="32"/>
          <w:szCs w:val="32"/>
        </w:rPr>
      </w:pPr>
    </w:p>
    <w:p w14:paraId="1885F814" w14:textId="77777777" w:rsidR="00E90521" w:rsidRPr="00E90521" w:rsidRDefault="00E90521" w:rsidP="007D145F">
      <w:pPr>
        <w:rPr>
          <w:b/>
          <w:bCs/>
          <w:sz w:val="36"/>
          <w:szCs w:val="36"/>
        </w:rPr>
      </w:pPr>
    </w:p>
    <w:p w14:paraId="1CDC0429" w14:textId="77777777" w:rsidR="007D145F" w:rsidRPr="00E90521" w:rsidRDefault="007D145F" w:rsidP="00E90521">
      <w:pPr>
        <w:jc w:val="center"/>
        <w:rPr>
          <w:b/>
          <w:bCs/>
          <w:sz w:val="36"/>
          <w:szCs w:val="36"/>
        </w:rPr>
      </w:pPr>
      <w:r w:rsidRPr="00E90521">
        <w:rPr>
          <w:b/>
          <w:bCs/>
          <w:sz w:val="36"/>
          <w:szCs w:val="36"/>
        </w:rPr>
        <w:t>Leverage, Liquidity, And Sustainability: Examining ESG’s Moderating Role on The Relationship Between Interest Coverage Ratio and Debt-To-Equity Ratio in the Oil and Gas Sector</w:t>
      </w:r>
    </w:p>
    <w:bookmarkEnd w:id="1"/>
    <w:p w14:paraId="3F985596" w14:textId="77777777" w:rsidR="007D145F" w:rsidRPr="00E90521" w:rsidRDefault="007D145F" w:rsidP="00E90521">
      <w:pPr>
        <w:jc w:val="center"/>
        <w:rPr>
          <w:b/>
          <w:bCs/>
          <w:sz w:val="36"/>
          <w:szCs w:val="36"/>
        </w:rPr>
      </w:pPr>
    </w:p>
    <w:p w14:paraId="5045C41F" w14:textId="77777777" w:rsidR="007D145F" w:rsidRDefault="007D145F" w:rsidP="00E90521">
      <w:pPr>
        <w:rPr>
          <w:b/>
          <w:bCs/>
          <w:sz w:val="32"/>
          <w:szCs w:val="32"/>
        </w:rPr>
      </w:pPr>
    </w:p>
    <w:p w14:paraId="4E05BB03" w14:textId="77777777" w:rsidR="007D145F" w:rsidRPr="00E90521" w:rsidRDefault="007D145F" w:rsidP="007D145F">
      <w:pPr>
        <w:jc w:val="center"/>
        <w:rPr>
          <w:b/>
          <w:bCs/>
          <w:sz w:val="28"/>
          <w:szCs w:val="28"/>
        </w:rPr>
      </w:pPr>
    </w:p>
    <w:p w14:paraId="06808705" w14:textId="77777777" w:rsidR="007D145F" w:rsidRPr="00E90521" w:rsidRDefault="007D145F" w:rsidP="007D145F">
      <w:pPr>
        <w:jc w:val="center"/>
        <w:rPr>
          <w:sz w:val="28"/>
          <w:szCs w:val="28"/>
        </w:rPr>
      </w:pPr>
      <w:r w:rsidRPr="00E90521">
        <w:rPr>
          <w:sz w:val="28"/>
          <w:szCs w:val="28"/>
        </w:rPr>
        <w:t>Research Dissertation report submitted</w:t>
      </w:r>
    </w:p>
    <w:p w14:paraId="0BC87A66" w14:textId="77777777" w:rsidR="007D145F" w:rsidRPr="00E90521" w:rsidRDefault="007D145F" w:rsidP="007D145F">
      <w:pPr>
        <w:jc w:val="center"/>
        <w:rPr>
          <w:sz w:val="28"/>
          <w:szCs w:val="28"/>
        </w:rPr>
      </w:pPr>
      <w:r w:rsidRPr="00E90521">
        <w:rPr>
          <w:sz w:val="28"/>
          <w:szCs w:val="28"/>
        </w:rPr>
        <w:t>in partial fulfillment of the requirement for the award of the degree of</w:t>
      </w:r>
    </w:p>
    <w:p w14:paraId="250C5BA5" w14:textId="77777777" w:rsidR="007D145F" w:rsidRPr="00E90521" w:rsidRDefault="007D145F" w:rsidP="007D145F">
      <w:pPr>
        <w:jc w:val="center"/>
        <w:rPr>
          <w:sz w:val="28"/>
          <w:szCs w:val="28"/>
        </w:rPr>
      </w:pPr>
    </w:p>
    <w:p w14:paraId="66249272" w14:textId="77777777" w:rsidR="007D145F" w:rsidRPr="00A96B10" w:rsidRDefault="007D145F" w:rsidP="007D145F">
      <w:pPr>
        <w:jc w:val="center"/>
        <w:rPr>
          <w:sz w:val="28"/>
          <w:szCs w:val="28"/>
        </w:rPr>
      </w:pPr>
      <w:r w:rsidRPr="00A96B10">
        <w:rPr>
          <w:sz w:val="28"/>
          <w:szCs w:val="28"/>
        </w:rPr>
        <w:t>BACHELOR OF BUSINESS ADMINISTRATION</w:t>
      </w:r>
    </w:p>
    <w:p w14:paraId="24130086" w14:textId="77777777" w:rsidR="007D145F" w:rsidRPr="00A96B10" w:rsidRDefault="007D145F" w:rsidP="007D145F">
      <w:pPr>
        <w:jc w:val="center"/>
        <w:rPr>
          <w:szCs w:val="24"/>
        </w:rPr>
      </w:pPr>
      <w:r w:rsidRPr="00A96B10">
        <w:rPr>
          <w:szCs w:val="24"/>
        </w:rPr>
        <w:t xml:space="preserve">By </w:t>
      </w:r>
    </w:p>
    <w:p w14:paraId="0807D7BF" w14:textId="77777777" w:rsidR="007D145F" w:rsidRPr="00A96B10" w:rsidRDefault="007D145F" w:rsidP="007D145F">
      <w:pPr>
        <w:jc w:val="center"/>
        <w:rPr>
          <w:sz w:val="28"/>
          <w:szCs w:val="28"/>
        </w:rPr>
      </w:pPr>
      <w:r>
        <w:rPr>
          <w:sz w:val="28"/>
          <w:szCs w:val="28"/>
        </w:rPr>
        <w:t>Sindhukavi.S</w:t>
      </w:r>
    </w:p>
    <w:p w14:paraId="2FEC5D4E" w14:textId="77777777" w:rsidR="007D145F" w:rsidRPr="003247FF" w:rsidRDefault="007D145F" w:rsidP="007D145F">
      <w:pPr>
        <w:jc w:val="center"/>
        <w:rPr>
          <w:sz w:val="24"/>
          <w:szCs w:val="24"/>
        </w:rPr>
      </w:pPr>
      <w:r w:rsidRPr="003247FF">
        <w:rPr>
          <w:sz w:val="24"/>
          <w:szCs w:val="24"/>
        </w:rPr>
        <w:t>22WU0201088</w:t>
      </w:r>
    </w:p>
    <w:p w14:paraId="19C4458A" w14:textId="77777777" w:rsidR="007D145F" w:rsidRPr="003247FF" w:rsidRDefault="007D145F" w:rsidP="007D145F">
      <w:pPr>
        <w:jc w:val="center"/>
        <w:rPr>
          <w:sz w:val="24"/>
          <w:szCs w:val="24"/>
        </w:rPr>
      </w:pPr>
    </w:p>
    <w:p w14:paraId="19AC8E8F" w14:textId="77777777" w:rsidR="007D145F" w:rsidRPr="00A96B10" w:rsidRDefault="007D145F" w:rsidP="007D145F">
      <w:pPr>
        <w:jc w:val="center"/>
        <w:rPr>
          <w:szCs w:val="24"/>
        </w:rPr>
      </w:pPr>
    </w:p>
    <w:p w14:paraId="0BE5CC1C" w14:textId="77777777" w:rsidR="007D145F" w:rsidRPr="003247FF" w:rsidRDefault="007D145F" w:rsidP="007D145F">
      <w:pPr>
        <w:jc w:val="center"/>
        <w:rPr>
          <w:sz w:val="24"/>
          <w:szCs w:val="24"/>
        </w:rPr>
      </w:pPr>
      <w:r w:rsidRPr="003247FF">
        <w:rPr>
          <w:sz w:val="24"/>
          <w:szCs w:val="24"/>
        </w:rPr>
        <w:t xml:space="preserve">Under the esteemed guidance of </w:t>
      </w:r>
    </w:p>
    <w:p w14:paraId="09D3FE94" w14:textId="77777777" w:rsidR="007D145F" w:rsidRPr="00A96B10" w:rsidRDefault="007D145F" w:rsidP="007D145F">
      <w:pPr>
        <w:jc w:val="center"/>
        <w:rPr>
          <w:sz w:val="28"/>
          <w:szCs w:val="28"/>
        </w:rPr>
      </w:pPr>
      <w:r>
        <w:rPr>
          <w:sz w:val="28"/>
          <w:szCs w:val="28"/>
        </w:rPr>
        <w:t>Dr. Shiva Sai Kiran Pothula</w:t>
      </w:r>
    </w:p>
    <w:p w14:paraId="24DA3448" w14:textId="77777777" w:rsidR="007D145F" w:rsidRPr="003247FF" w:rsidRDefault="007D145F" w:rsidP="007D145F">
      <w:pPr>
        <w:jc w:val="center"/>
        <w:rPr>
          <w:sz w:val="24"/>
          <w:szCs w:val="24"/>
        </w:rPr>
      </w:pPr>
      <w:r w:rsidRPr="00A96B10">
        <w:rPr>
          <w:szCs w:val="24"/>
        </w:rPr>
        <w:t xml:space="preserve"> </w:t>
      </w:r>
      <w:r w:rsidRPr="003247FF">
        <w:rPr>
          <w:sz w:val="24"/>
          <w:szCs w:val="24"/>
        </w:rPr>
        <w:t>Assistant Professor</w:t>
      </w:r>
    </w:p>
    <w:p w14:paraId="621470B1" w14:textId="77777777" w:rsidR="007D145F" w:rsidRDefault="007D145F" w:rsidP="007D145F">
      <w:pPr>
        <w:jc w:val="center"/>
        <w:rPr>
          <w:noProof/>
        </w:rPr>
      </w:pPr>
    </w:p>
    <w:p w14:paraId="45341B87" w14:textId="77777777" w:rsidR="007D145F" w:rsidRPr="00A96B10" w:rsidRDefault="007D145F" w:rsidP="007D145F">
      <w:pPr>
        <w:jc w:val="center"/>
        <w:rPr>
          <w:szCs w:val="24"/>
        </w:rPr>
      </w:pPr>
      <w:r w:rsidRPr="00A96B10">
        <w:rPr>
          <w:noProof/>
        </w:rPr>
        <w:drawing>
          <wp:anchor distT="0" distB="0" distL="114300" distR="114300" simplePos="0" relativeHeight="251658752" behindDoc="0" locked="0" layoutInCell="1" allowOverlap="1" wp14:anchorId="5AE48D8F" wp14:editId="0D177D58">
            <wp:simplePos x="0" y="0"/>
            <wp:positionH relativeFrom="column">
              <wp:posOffset>2218327</wp:posOffset>
            </wp:positionH>
            <wp:positionV relativeFrom="paragraph">
              <wp:posOffset>298723</wp:posOffset>
            </wp:positionV>
            <wp:extent cx="1635125" cy="789305"/>
            <wp:effectExtent l="0" t="0" r="3175" b="0"/>
            <wp:wrapTopAndBottom/>
            <wp:docPr id="699981430"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5125" cy="789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0F317" w14:textId="77777777" w:rsidR="007D145F" w:rsidRPr="00A96B10" w:rsidRDefault="007D145F" w:rsidP="007D145F">
      <w:pPr>
        <w:jc w:val="center"/>
        <w:rPr>
          <w:szCs w:val="24"/>
        </w:rPr>
      </w:pPr>
      <w:r w:rsidRPr="00A96B10">
        <w:fldChar w:fldCharType="begin"/>
      </w:r>
      <w:r>
        <w:instrText xml:space="preserve"> INCLUDEPICTURE "C:\\Users\\shivasaikiranpothula\\Library\\Group Containers\\UBF8T346G9.ms\\WebArchiveCopyPasteTempFiles\\com.microsoft.Word\\L20230526052817.webp" \* MERGEFORMAT </w:instrText>
      </w:r>
      <w:r w:rsidRPr="00A96B10">
        <w:fldChar w:fldCharType="end"/>
      </w:r>
    </w:p>
    <w:p w14:paraId="544AAC85" w14:textId="77777777" w:rsidR="007D145F" w:rsidRDefault="007D145F" w:rsidP="007D145F">
      <w:pPr>
        <w:rPr>
          <w:szCs w:val="24"/>
        </w:rPr>
      </w:pPr>
    </w:p>
    <w:p w14:paraId="4FC94B33" w14:textId="77777777" w:rsidR="007D145F" w:rsidRPr="00A96B10" w:rsidRDefault="007D145F" w:rsidP="007D145F">
      <w:pPr>
        <w:rPr>
          <w:szCs w:val="24"/>
        </w:rPr>
      </w:pPr>
    </w:p>
    <w:p w14:paraId="7856B80B" w14:textId="77777777" w:rsidR="007D145F" w:rsidRPr="00A96B10" w:rsidRDefault="007D145F" w:rsidP="007D145F">
      <w:pPr>
        <w:jc w:val="center"/>
        <w:rPr>
          <w:szCs w:val="24"/>
        </w:rPr>
      </w:pPr>
      <w:r w:rsidRPr="00A96B10">
        <w:rPr>
          <w:szCs w:val="24"/>
        </w:rPr>
        <w:t>School of Business</w:t>
      </w:r>
    </w:p>
    <w:p w14:paraId="31DF7A01" w14:textId="77777777" w:rsidR="007D145F" w:rsidRPr="00A96B10" w:rsidRDefault="007D145F" w:rsidP="007D145F">
      <w:pPr>
        <w:jc w:val="center"/>
        <w:rPr>
          <w:szCs w:val="24"/>
        </w:rPr>
      </w:pPr>
      <w:r w:rsidRPr="00A96B10">
        <w:rPr>
          <w:szCs w:val="24"/>
        </w:rPr>
        <w:t>Woxsen University</w:t>
      </w:r>
    </w:p>
    <w:p w14:paraId="65584384" w14:textId="77777777" w:rsidR="007D145F" w:rsidRPr="00A96B10" w:rsidRDefault="007D145F" w:rsidP="007D145F">
      <w:pPr>
        <w:jc w:val="center"/>
        <w:rPr>
          <w:szCs w:val="24"/>
        </w:rPr>
      </w:pPr>
      <w:r w:rsidRPr="00A96B10">
        <w:rPr>
          <w:szCs w:val="24"/>
        </w:rPr>
        <w:t>Kamkole, Sadasivpet, Sangareddy District</w:t>
      </w:r>
    </w:p>
    <w:p w14:paraId="0622FFEA" w14:textId="77777777" w:rsidR="007D145F" w:rsidRPr="00A96B10" w:rsidRDefault="007D145F" w:rsidP="007D145F">
      <w:pPr>
        <w:jc w:val="center"/>
        <w:rPr>
          <w:szCs w:val="24"/>
        </w:rPr>
      </w:pPr>
      <w:r w:rsidRPr="00A96B10">
        <w:rPr>
          <w:szCs w:val="24"/>
        </w:rPr>
        <w:t xml:space="preserve">Hyderabad - 502345, </w:t>
      </w:r>
    </w:p>
    <w:p w14:paraId="07C06923" w14:textId="77777777" w:rsidR="007D145F" w:rsidRPr="00A96B10" w:rsidRDefault="007D145F" w:rsidP="007D145F">
      <w:pPr>
        <w:jc w:val="center"/>
        <w:rPr>
          <w:szCs w:val="24"/>
        </w:rPr>
      </w:pPr>
      <w:r w:rsidRPr="00A96B10">
        <w:rPr>
          <w:szCs w:val="24"/>
        </w:rPr>
        <w:t>Telangana, India</w:t>
      </w:r>
    </w:p>
    <w:p w14:paraId="7B8E0EDF" w14:textId="77777777" w:rsidR="007D145F" w:rsidRPr="00A96B10" w:rsidRDefault="007D145F" w:rsidP="007D145F">
      <w:pPr>
        <w:jc w:val="center"/>
        <w:rPr>
          <w:b/>
          <w:bCs/>
          <w:sz w:val="28"/>
          <w:szCs w:val="28"/>
        </w:rPr>
      </w:pPr>
    </w:p>
    <w:p w14:paraId="13DD72D5" w14:textId="77777777" w:rsidR="007D145F" w:rsidRDefault="007D145F" w:rsidP="007D145F">
      <w:pPr>
        <w:jc w:val="center"/>
        <w:rPr>
          <w:b/>
          <w:bCs/>
          <w:sz w:val="28"/>
          <w:szCs w:val="28"/>
        </w:rPr>
      </w:pPr>
      <w:r w:rsidRPr="00A96B10">
        <w:rPr>
          <w:b/>
          <w:bCs/>
          <w:sz w:val="28"/>
          <w:szCs w:val="28"/>
        </w:rPr>
        <w:t>April 2025</w:t>
      </w:r>
    </w:p>
    <w:p w14:paraId="318B058F" w14:textId="77777777" w:rsidR="007D145F" w:rsidRDefault="007D145F" w:rsidP="007D145F">
      <w:pPr>
        <w:rPr>
          <w:b/>
          <w:bCs/>
          <w:sz w:val="32"/>
          <w:szCs w:val="32"/>
        </w:rPr>
      </w:pPr>
    </w:p>
    <w:p w14:paraId="6B1B7E25" w14:textId="77777777" w:rsidR="007D145F" w:rsidRDefault="007D145F" w:rsidP="007D145F">
      <w:pPr>
        <w:rPr>
          <w:b/>
          <w:bCs/>
          <w:sz w:val="32"/>
          <w:szCs w:val="32"/>
        </w:rPr>
      </w:pPr>
    </w:p>
    <w:p w14:paraId="73585D9B" w14:textId="77777777" w:rsidR="007D145F" w:rsidRDefault="007D145F" w:rsidP="007D145F">
      <w:pPr>
        <w:rPr>
          <w:b/>
          <w:bCs/>
          <w:sz w:val="32"/>
          <w:szCs w:val="32"/>
        </w:rPr>
      </w:pPr>
    </w:p>
    <w:p w14:paraId="055A3AF5" w14:textId="77777777" w:rsidR="007D145F" w:rsidRDefault="007D145F" w:rsidP="007D145F">
      <w:pPr>
        <w:rPr>
          <w:b/>
          <w:bCs/>
          <w:sz w:val="32"/>
          <w:szCs w:val="32"/>
        </w:rPr>
      </w:pPr>
    </w:p>
    <w:p w14:paraId="3C046ED3" w14:textId="77777777" w:rsidR="007D145F" w:rsidRDefault="007D145F" w:rsidP="007D145F">
      <w:pPr>
        <w:rPr>
          <w:b/>
          <w:bCs/>
          <w:sz w:val="32"/>
          <w:szCs w:val="32"/>
        </w:rPr>
      </w:pPr>
    </w:p>
    <w:p w14:paraId="3D6110EC" w14:textId="77777777" w:rsidR="007D145F" w:rsidRPr="00A96B10" w:rsidRDefault="007D145F" w:rsidP="007D145F">
      <w:pPr>
        <w:jc w:val="center"/>
        <w:rPr>
          <w:b/>
          <w:bCs/>
          <w:sz w:val="32"/>
          <w:szCs w:val="32"/>
        </w:rPr>
      </w:pPr>
      <w:r w:rsidRPr="00A96B10">
        <w:rPr>
          <w:b/>
          <w:bCs/>
          <w:sz w:val="32"/>
          <w:szCs w:val="32"/>
        </w:rPr>
        <w:t>DECLARATION</w:t>
      </w:r>
    </w:p>
    <w:p w14:paraId="4FD2FCA2" w14:textId="77777777" w:rsidR="007D145F" w:rsidRPr="00326532" w:rsidRDefault="007D145F" w:rsidP="007D145F">
      <w:pPr>
        <w:rPr>
          <w:sz w:val="24"/>
          <w:szCs w:val="24"/>
        </w:rPr>
      </w:pPr>
    </w:p>
    <w:p w14:paraId="6C32B6F4" w14:textId="77777777" w:rsidR="007D145F" w:rsidRPr="00326532" w:rsidRDefault="007D145F" w:rsidP="007D145F">
      <w:pPr>
        <w:rPr>
          <w:sz w:val="24"/>
          <w:szCs w:val="24"/>
        </w:rPr>
      </w:pPr>
      <w:r w:rsidRPr="00326532">
        <w:rPr>
          <w:sz w:val="24"/>
          <w:szCs w:val="24"/>
        </w:rPr>
        <w:t>I, Sindhukavi.S, Roll No:22WU0201088, hereby declare that the dissertation Report titled “Leverage, Liquidity, And Sustainability: Examining ESG’s Moderating Role on The Relationship Between Interest Coverage Ratio and Debt-To-Equity Ratio in the Oil and Gas Sector” is submitted by me in partial fulfilment of the requirement for the award of the degree of Bachelor of Business Administration under the guidance of Dr. Shiva Sai Kiran Pothula.</w:t>
      </w:r>
    </w:p>
    <w:p w14:paraId="70A1A241" w14:textId="77777777" w:rsidR="007D145F" w:rsidRPr="00326532" w:rsidRDefault="007D145F" w:rsidP="007D145F">
      <w:pPr>
        <w:rPr>
          <w:sz w:val="24"/>
          <w:szCs w:val="24"/>
        </w:rPr>
      </w:pPr>
      <w:r w:rsidRPr="00326532">
        <w:rPr>
          <w:sz w:val="24"/>
          <w:szCs w:val="24"/>
        </w:rPr>
        <w:t xml:space="preserve"> </w:t>
      </w:r>
      <w:r w:rsidRPr="00326532">
        <w:rPr>
          <w:sz w:val="24"/>
          <w:szCs w:val="24"/>
        </w:rPr>
        <w:tab/>
        <w:t>.</w:t>
      </w:r>
    </w:p>
    <w:p w14:paraId="03DA7BF2" w14:textId="77777777" w:rsidR="007D145F" w:rsidRPr="00326532" w:rsidRDefault="007D145F" w:rsidP="007D145F">
      <w:pPr>
        <w:rPr>
          <w:sz w:val="24"/>
          <w:szCs w:val="24"/>
        </w:rPr>
      </w:pPr>
    </w:p>
    <w:p w14:paraId="6FD1AEC7" w14:textId="77777777" w:rsidR="007D145F" w:rsidRPr="00326532" w:rsidRDefault="007D145F" w:rsidP="007D145F">
      <w:pPr>
        <w:rPr>
          <w:sz w:val="24"/>
          <w:szCs w:val="24"/>
        </w:rPr>
      </w:pPr>
      <w:r w:rsidRPr="00326532">
        <w:rPr>
          <w:sz w:val="24"/>
          <w:szCs w:val="24"/>
        </w:rPr>
        <w:t>I confirm that this Report is an original work and has not been submitted to any other University or Institution in full or in part for the award of any Degree or Diploma.</w:t>
      </w:r>
    </w:p>
    <w:p w14:paraId="5A2B0D84" w14:textId="77777777" w:rsidR="007D145F" w:rsidRPr="00326532" w:rsidRDefault="007D145F" w:rsidP="007D145F">
      <w:pPr>
        <w:rPr>
          <w:sz w:val="24"/>
          <w:szCs w:val="24"/>
        </w:rPr>
      </w:pPr>
    </w:p>
    <w:p w14:paraId="40B2594B" w14:textId="77777777" w:rsidR="007D145F" w:rsidRPr="00326532" w:rsidRDefault="007D145F" w:rsidP="007D145F">
      <w:pPr>
        <w:rPr>
          <w:sz w:val="24"/>
          <w:szCs w:val="24"/>
        </w:rPr>
      </w:pPr>
    </w:p>
    <w:p w14:paraId="15187202" w14:textId="77777777" w:rsidR="007D145F" w:rsidRPr="00326532" w:rsidRDefault="007D145F" w:rsidP="007D145F">
      <w:pPr>
        <w:rPr>
          <w:sz w:val="24"/>
          <w:szCs w:val="24"/>
        </w:rPr>
      </w:pPr>
    </w:p>
    <w:p w14:paraId="65DA6F72" w14:textId="77777777" w:rsidR="007D145F" w:rsidRPr="00326532" w:rsidRDefault="007D145F" w:rsidP="007D145F">
      <w:pPr>
        <w:rPr>
          <w:sz w:val="24"/>
          <w:szCs w:val="24"/>
        </w:rPr>
      </w:pPr>
    </w:p>
    <w:p w14:paraId="07F25583" w14:textId="77777777" w:rsidR="007D145F" w:rsidRPr="00326532" w:rsidRDefault="007D145F" w:rsidP="007D145F">
      <w:pPr>
        <w:rPr>
          <w:sz w:val="24"/>
          <w:szCs w:val="24"/>
        </w:rPr>
      </w:pPr>
      <w:r w:rsidRPr="00326532">
        <w:rPr>
          <w:sz w:val="24"/>
          <w:szCs w:val="24"/>
        </w:rPr>
        <w:t>Place: Hyderabad</w:t>
      </w:r>
    </w:p>
    <w:p w14:paraId="76C7480C" w14:textId="77777777" w:rsidR="007D145F" w:rsidRPr="00326532" w:rsidRDefault="007D145F" w:rsidP="007D145F">
      <w:pPr>
        <w:rPr>
          <w:sz w:val="24"/>
          <w:szCs w:val="24"/>
        </w:rPr>
      </w:pPr>
      <w:r w:rsidRPr="00326532">
        <w:rPr>
          <w:sz w:val="24"/>
          <w:szCs w:val="24"/>
        </w:rPr>
        <w:t>Date: 04.04.2025</w:t>
      </w:r>
      <w:r w:rsidRPr="00326532">
        <w:rPr>
          <w:sz w:val="24"/>
          <w:szCs w:val="24"/>
        </w:rPr>
        <w:tab/>
      </w:r>
    </w:p>
    <w:p w14:paraId="5623DCCF" w14:textId="77777777" w:rsidR="007D145F" w:rsidRPr="00326532" w:rsidRDefault="007D145F" w:rsidP="007D145F">
      <w:pPr>
        <w:rPr>
          <w:sz w:val="24"/>
          <w:szCs w:val="24"/>
        </w:rPr>
      </w:pPr>
    </w:p>
    <w:p w14:paraId="38DAD322" w14:textId="77777777" w:rsidR="007D145F" w:rsidRPr="00326532" w:rsidRDefault="007D145F" w:rsidP="007D145F">
      <w:pPr>
        <w:rPr>
          <w:sz w:val="24"/>
          <w:szCs w:val="24"/>
        </w:rPr>
      </w:pPr>
    </w:p>
    <w:p w14:paraId="3DE28257" w14:textId="77777777" w:rsidR="007D145F" w:rsidRPr="00326532" w:rsidRDefault="007D145F" w:rsidP="007D145F">
      <w:pPr>
        <w:rPr>
          <w:sz w:val="24"/>
          <w:szCs w:val="24"/>
        </w:rPr>
      </w:pPr>
      <w:r w:rsidRPr="00326532">
        <w:rPr>
          <w:sz w:val="24"/>
          <w:szCs w:val="24"/>
        </w:rPr>
        <w:t>Signature</w:t>
      </w:r>
    </w:p>
    <w:p w14:paraId="35AF05EB" w14:textId="77777777" w:rsidR="007D145F" w:rsidRPr="00326532" w:rsidRDefault="007D145F" w:rsidP="007D145F">
      <w:pPr>
        <w:rPr>
          <w:sz w:val="24"/>
          <w:szCs w:val="24"/>
        </w:rPr>
      </w:pPr>
      <w:r w:rsidRPr="00326532">
        <w:rPr>
          <w:sz w:val="24"/>
          <w:szCs w:val="24"/>
        </w:rPr>
        <w:t>[SINDHUKAVI.S]</w:t>
      </w:r>
    </w:p>
    <w:p w14:paraId="1682D8B2" w14:textId="77777777" w:rsidR="007D145F" w:rsidRPr="00326532" w:rsidRDefault="007D145F" w:rsidP="007D145F">
      <w:pPr>
        <w:rPr>
          <w:sz w:val="24"/>
          <w:szCs w:val="24"/>
        </w:rPr>
      </w:pPr>
      <w:r w:rsidRPr="00326532">
        <w:rPr>
          <w:sz w:val="24"/>
          <w:szCs w:val="24"/>
        </w:rPr>
        <w:br w:type="page"/>
      </w:r>
    </w:p>
    <w:p w14:paraId="2C2D4736" w14:textId="77777777" w:rsidR="00201C5B" w:rsidRDefault="00201C5B" w:rsidP="007D145F">
      <w:pPr>
        <w:jc w:val="center"/>
        <w:rPr>
          <w:rStyle w:val="editortnoteditedwurp8"/>
          <w:color w:val="191919"/>
          <w:spacing w:val="2"/>
          <w:sz w:val="24"/>
          <w:szCs w:val="24"/>
          <w:shd w:val="clear" w:color="auto" w:fill="FFFFFF"/>
        </w:rPr>
      </w:pPr>
    </w:p>
    <w:p w14:paraId="34BFF3B7" w14:textId="77777777" w:rsidR="007D145F" w:rsidRPr="00A96B10" w:rsidRDefault="007D145F" w:rsidP="007D145F">
      <w:pPr>
        <w:jc w:val="center"/>
        <w:rPr>
          <w:b/>
          <w:bCs/>
          <w:sz w:val="32"/>
          <w:szCs w:val="32"/>
        </w:rPr>
      </w:pPr>
      <w:r w:rsidRPr="00A96B10">
        <w:rPr>
          <w:b/>
          <w:bCs/>
          <w:sz w:val="32"/>
          <w:szCs w:val="32"/>
        </w:rPr>
        <w:t>CERTIFICATE</w:t>
      </w:r>
    </w:p>
    <w:p w14:paraId="42F57F28" w14:textId="77777777" w:rsidR="007D145F" w:rsidRPr="00A96B10" w:rsidRDefault="007D145F" w:rsidP="007D145F">
      <w:pPr>
        <w:rPr>
          <w:szCs w:val="24"/>
        </w:rPr>
      </w:pPr>
    </w:p>
    <w:p w14:paraId="5F1C0CE7" w14:textId="77777777" w:rsidR="007D145F" w:rsidRPr="003247FF" w:rsidRDefault="007D145F" w:rsidP="007D145F">
      <w:pPr>
        <w:rPr>
          <w:sz w:val="24"/>
          <w:szCs w:val="24"/>
        </w:rPr>
      </w:pPr>
    </w:p>
    <w:p w14:paraId="5227DEEC" w14:textId="77777777" w:rsidR="007D145F" w:rsidRPr="003247FF" w:rsidRDefault="007D145F" w:rsidP="007D145F">
      <w:pPr>
        <w:rPr>
          <w:sz w:val="24"/>
          <w:szCs w:val="24"/>
        </w:rPr>
      </w:pPr>
      <w:r w:rsidRPr="003247FF">
        <w:rPr>
          <w:sz w:val="24"/>
          <w:szCs w:val="24"/>
        </w:rPr>
        <w:t xml:space="preserve">This is to certify that </w:t>
      </w:r>
      <w:r w:rsidRPr="003247FF">
        <w:rPr>
          <w:sz w:val="24"/>
          <w:szCs w:val="24"/>
          <w:u w:val="single"/>
        </w:rPr>
        <w:t>Sindhukavi.S,</w:t>
      </w:r>
      <w:r w:rsidRPr="003247FF">
        <w:rPr>
          <w:sz w:val="24"/>
          <w:szCs w:val="24"/>
        </w:rPr>
        <w:t xml:space="preserve"> Roll No.22WU0201088, worked under my supervision for the Project Report titled “</w:t>
      </w:r>
      <w:r w:rsidRPr="003247FF">
        <w:rPr>
          <w:sz w:val="24"/>
          <w:szCs w:val="24"/>
          <w:u w:val="single"/>
        </w:rPr>
        <w:t>Leverage, Liquidity, And Sustainability: Examining ESG’s Moderating Role on The Relationship Between Interest Coverage Ratio and Debt-To-Equity Ratio in The Oil and Gas Sector”</w:t>
      </w:r>
      <w:r w:rsidRPr="003247FF">
        <w:rPr>
          <w:sz w:val="24"/>
          <w:szCs w:val="24"/>
        </w:rPr>
        <w:t xml:space="preserve"> during the academic year 2022-25 in partial fulfilment of the requirement for the award of the degree of Bachelor of Business Administration.</w:t>
      </w:r>
    </w:p>
    <w:p w14:paraId="5E9FD7E1" w14:textId="77777777" w:rsidR="007D145F" w:rsidRPr="003247FF" w:rsidRDefault="007D145F" w:rsidP="007D145F">
      <w:pPr>
        <w:rPr>
          <w:sz w:val="24"/>
          <w:szCs w:val="24"/>
        </w:rPr>
      </w:pPr>
    </w:p>
    <w:p w14:paraId="3529ABE7" w14:textId="77777777" w:rsidR="007D145F" w:rsidRPr="003247FF" w:rsidRDefault="007D145F" w:rsidP="007D145F">
      <w:pPr>
        <w:rPr>
          <w:sz w:val="24"/>
          <w:szCs w:val="24"/>
        </w:rPr>
      </w:pPr>
    </w:p>
    <w:p w14:paraId="1AB49C9B" w14:textId="77777777" w:rsidR="007D145F" w:rsidRPr="003247FF" w:rsidRDefault="007D145F" w:rsidP="007D145F">
      <w:pPr>
        <w:rPr>
          <w:sz w:val="24"/>
          <w:szCs w:val="24"/>
        </w:rPr>
      </w:pPr>
    </w:p>
    <w:p w14:paraId="1DE89810" w14:textId="77777777" w:rsidR="007D145F" w:rsidRPr="003247FF" w:rsidRDefault="007D145F" w:rsidP="007D145F">
      <w:pPr>
        <w:rPr>
          <w:sz w:val="24"/>
          <w:szCs w:val="24"/>
        </w:rPr>
      </w:pPr>
    </w:p>
    <w:p w14:paraId="7F1E68AA" w14:textId="77777777" w:rsidR="007D145F" w:rsidRPr="003247FF" w:rsidRDefault="007D145F" w:rsidP="007D145F">
      <w:pPr>
        <w:rPr>
          <w:sz w:val="24"/>
          <w:szCs w:val="24"/>
        </w:rPr>
      </w:pPr>
    </w:p>
    <w:p w14:paraId="4CA22D34" w14:textId="77777777" w:rsidR="007D145F" w:rsidRPr="003247FF" w:rsidRDefault="007D145F" w:rsidP="007D145F">
      <w:pPr>
        <w:rPr>
          <w:sz w:val="24"/>
          <w:szCs w:val="24"/>
        </w:rPr>
      </w:pPr>
      <w:r w:rsidRPr="003247FF">
        <w:rPr>
          <w:sz w:val="24"/>
          <w:szCs w:val="24"/>
        </w:rPr>
        <w:t>Signature of the Student</w:t>
      </w:r>
      <w:r w:rsidRPr="003247FF">
        <w:rPr>
          <w:sz w:val="24"/>
          <w:szCs w:val="24"/>
        </w:rPr>
        <w:tab/>
      </w:r>
      <w:r w:rsidRPr="003247FF">
        <w:rPr>
          <w:sz w:val="24"/>
          <w:szCs w:val="24"/>
        </w:rPr>
        <w:tab/>
      </w:r>
      <w:r w:rsidRPr="003247FF">
        <w:rPr>
          <w:sz w:val="24"/>
          <w:szCs w:val="24"/>
        </w:rPr>
        <w:tab/>
      </w:r>
      <w:r w:rsidRPr="003247FF">
        <w:rPr>
          <w:sz w:val="24"/>
          <w:szCs w:val="24"/>
        </w:rPr>
        <w:tab/>
      </w:r>
      <w:r w:rsidRPr="003247FF">
        <w:rPr>
          <w:sz w:val="24"/>
          <w:szCs w:val="24"/>
        </w:rPr>
        <w:tab/>
        <w:t>Signature of Faculty Supervisor</w:t>
      </w:r>
    </w:p>
    <w:p w14:paraId="04AD1004" w14:textId="77777777" w:rsidR="007D145F" w:rsidRPr="003247FF" w:rsidRDefault="007D145F" w:rsidP="007D145F">
      <w:pPr>
        <w:rPr>
          <w:sz w:val="24"/>
          <w:szCs w:val="24"/>
        </w:rPr>
      </w:pPr>
      <w:r w:rsidRPr="003247FF">
        <w:rPr>
          <w:sz w:val="24"/>
          <w:szCs w:val="24"/>
        </w:rPr>
        <w:tab/>
      </w:r>
    </w:p>
    <w:p w14:paraId="7E4C210C" w14:textId="77777777" w:rsidR="007D145F" w:rsidRPr="003247FF" w:rsidRDefault="007D145F" w:rsidP="007D145F">
      <w:pPr>
        <w:rPr>
          <w:sz w:val="24"/>
          <w:szCs w:val="24"/>
        </w:rPr>
      </w:pPr>
    </w:p>
    <w:p w14:paraId="499CC105" w14:textId="77777777" w:rsidR="007D145F" w:rsidRPr="003247FF" w:rsidRDefault="007D145F" w:rsidP="007D145F">
      <w:pPr>
        <w:rPr>
          <w:sz w:val="24"/>
          <w:szCs w:val="24"/>
        </w:rPr>
      </w:pPr>
    </w:p>
    <w:p w14:paraId="1DA5B9CE" w14:textId="77777777" w:rsidR="007D145F" w:rsidRPr="003247FF" w:rsidRDefault="007D145F" w:rsidP="007D145F">
      <w:pPr>
        <w:rPr>
          <w:sz w:val="24"/>
          <w:szCs w:val="24"/>
        </w:rPr>
      </w:pPr>
      <w:r w:rsidRPr="003247FF">
        <w:rPr>
          <w:sz w:val="24"/>
          <w:szCs w:val="24"/>
        </w:rPr>
        <w:t>Signature of the Program Director</w:t>
      </w:r>
    </w:p>
    <w:p w14:paraId="79D5D745" w14:textId="77777777" w:rsidR="007D145F" w:rsidRPr="003247FF" w:rsidRDefault="007D145F" w:rsidP="007D145F">
      <w:pPr>
        <w:rPr>
          <w:sz w:val="24"/>
          <w:szCs w:val="24"/>
        </w:rPr>
      </w:pPr>
    </w:p>
    <w:p w14:paraId="1BB05E31" w14:textId="77777777" w:rsidR="007D145F" w:rsidRPr="003247FF" w:rsidRDefault="007D145F" w:rsidP="007D145F">
      <w:pPr>
        <w:rPr>
          <w:sz w:val="24"/>
          <w:szCs w:val="24"/>
        </w:rPr>
      </w:pPr>
    </w:p>
    <w:p w14:paraId="581A3579" w14:textId="77777777" w:rsidR="007D145F" w:rsidRPr="003247FF" w:rsidRDefault="007D145F" w:rsidP="007D145F">
      <w:pPr>
        <w:rPr>
          <w:sz w:val="24"/>
          <w:szCs w:val="24"/>
        </w:rPr>
      </w:pPr>
    </w:p>
    <w:p w14:paraId="00823B3A" w14:textId="77777777" w:rsidR="007D145F" w:rsidRPr="003247FF" w:rsidRDefault="007D145F" w:rsidP="007D145F">
      <w:pPr>
        <w:rPr>
          <w:sz w:val="24"/>
          <w:szCs w:val="24"/>
        </w:rPr>
      </w:pPr>
      <w:r w:rsidRPr="003247FF">
        <w:rPr>
          <w:sz w:val="24"/>
          <w:szCs w:val="24"/>
        </w:rPr>
        <w:t>Signature of the HOD</w:t>
      </w:r>
    </w:p>
    <w:p w14:paraId="1F26D280" w14:textId="77777777" w:rsidR="007D145F" w:rsidRPr="003247FF" w:rsidRDefault="007D145F" w:rsidP="007D145F">
      <w:pPr>
        <w:rPr>
          <w:sz w:val="24"/>
          <w:szCs w:val="24"/>
        </w:rPr>
      </w:pPr>
      <w:r w:rsidRPr="003247FF">
        <w:rPr>
          <w:sz w:val="24"/>
          <w:szCs w:val="24"/>
        </w:rPr>
        <w:br w:type="page"/>
      </w:r>
    </w:p>
    <w:p w14:paraId="2F663558" w14:textId="77777777" w:rsidR="007D145F" w:rsidRDefault="007D145F" w:rsidP="007D145F">
      <w:pPr>
        <w:jc w:val="center"/>
        <w:rPr>
          <w:b/>
          <w:bCs/>
          <w:sz w:val="32"/>
          <w:szCs w:val="32"/>
        </w:rPr>
      </w:pPr>
      <w:r w:rsidRPr="00A96B10">
        <w:rPr>
          <w:b/>
          <w:bCs/>
          <w:sz w:val="32"/>
          <w:szCs w:val="32"/>
        </w:rPr>
        <w:lastRenderedPageBreak/>
        <w:t>ACKNOWLEDGEMENT</w:t>
      </w:r>
    </w:p>
    <w:p w14:paraId="7F1942D3" w14:textId="77777777" w:rsidR="007D145F" w:rsidRPr="00D11990" w:rsidRDefault="007D145F" w:rsidP="007D145F">
      <w:pPr>
        <w:spacing w:before="100" w:beforeAutospacing="1" w:after="100" w:afterAutospacing="1"/>
        <w:jc w:val="both"/>
        <w:rPr>
          <w:sz w:val="24"/>
          <w:szCs w:val="24"/>
        </w:rPr>
      </w:pPr>
      <w:r w:rsidRPr="00D11990">
        <w:rPr>
          <w:sz w:val="24"/>
          <w:szCs w:val="24"/>
        </w:rPr>
        <w:t xml:space="preserve">I would like to express my </w:t>
      </w:r>
      <w:r>
        <w:rPr>
          <w:sz w:val="24"/>
          <w:szCs w:val="24"/>
        </w:rPr>
        <w:t>sincere</w:t>
      </w:r>
      <w:r w:rsidRPr="00D11990">
        <w:rPr>
          <w:sz w:val="24"/>
          <w:szCs w:val="24"/>
        </w:rPr>
        <w:t xml:space="preserve"> gratitude to </w:t>
      </w:r>
      <w:r w:rsidRPr="00D11990">
        <w:rPr>
          <w:b/>
          <w:bCs/>
          <w:sz w:val="24"/>
          <w:szCs w:val="24"/>
        </w:rPr>
        <w:t>Dr. Shiva Sai Kiran Pothula</w:t>
      </w:r>
      <w:r w:rsidRPr="00D11990">
        <w:rPr>
          <w:sz w:val="24"/>
          <w:szCs w:val="24"/>
        </w:rPr>
        <w:t xml:space="preserve">, my research mentor, for his exceptional guidance, academic insight, and continuous encouragement throughout this thesis. His profound expertise, timely feedback, and unwavering support were instrumental in shaping both the direction and the depth of this research. Dr. </w:t>
      </w:r>
      <w:r>
        <w:rPr>
          <w:sz w:val="24"/>
          <w:szCs w:val="24"/>
        </w:rPr>
        <w:t>Shiva</w:t>
      </w:r>
      <w:r w:rsidRPr="00D11990">
        <w:rPr>
          <w:sz w:val="24"/>
          <w:szCs w:val="24"/>
        </w:rPr>
        <w:t>’s mentorship went beyond academic supervision—he consistently challenged me to think critically, refine my approach, and pursue research excellence.</w:t>
      </w:r>
    </w:p>
    <w:p w14:paraId="072596A6" w14:textId="77777777" w:rsidR="007D145F" w:rsidRPr="00D11990" w:rsidRDefault="007D145F" w:rsidP="007D145F">
      <w:pPr>
        <w:spacing w:before="100" w:beforeAutospacing="1" w:after="100" w:afterAutospacing="1"/>
        <w:jc w:val="both"/>
        <w:rPr>
          <w:sz w:val="24"/>
          <w:szCs w:val="24"/>
        </w:rPr>
      </w:pPr>
      <w:r w:rsidRPr="00D11990">
        <w:rPr>
          <w:sz w:val="24"/>
          <w:szCs w:val="24"/>
        </w:rPr>
        <w:t xml:space="preserve">I would also like to acknowledge </w:t>
      </w:r>
      <w:r w:rsidRPr="00D11990">
        <w:rPr>
          <w:b/>
          <w:bCs/>
          <w:sz w:val="24"/>
          <w:szCs w:val="24"/>
        </w:rPr>
        <w:t>Woxsen University</w:t>
      </w:r>
      <w:r w:rsidRPr="00D11990">
        <w:rPr>
          <w:sz w:val="24"/>
          <w:szCs w:val="24"/>
        </w:rPr>
        <w:t xml:space="preserve"> for providing a conducive academic and research environment that greatly supported the development of this thesis. The university’s commitment to fostering rigorous scholarship and interdisciplinary learning has been a source of constant inspiration. In particular, I am thankful for the access to </w:t>
      </w:r>
      <w:r w:rsidRPr="00D11990">
        <w:rPr>
          <w:b/>
          <w:bCs/>
          <w:sz w:val="24"/>
          <w:szCs w:val="24"/>
        </w:rPr>
        <w:t>Bloomberg Terminal facilities</w:t>
      </w:r>
      <w:r w:rsidRPr="00D11990">
        <w:rPr>
          <w:sz w:val="24"/>
          <w:szCs w:val="24"/>
        </w:rPr>
        <w:t>, which played a crucial role in enabling robust data analysis, financial benchmarking, and real-time insights that strengthened the empirical aspect of this study.</w:t>
      </w:r>
    </w:p>
    <w:p w14:paraId="48110F15" w14:textId="77777777" w:rsidR="007D145F" w:rsidRPr="00D11990" w:rsidRDefault="007D145F" w:rsidP="007D145F">
      <w:pPr>
        <w:spacing w:before="100" w:beforeAutospacing="1" w:after="100" w:afterAutospacing="1"/>
        <w:jc w:val="both"/>
        <w:rPr>
          <w:sz w:val="24"/>
          <w:szCs w:val="24"/>
        </w:rPr>
      </w:pPr>
      <w:r w:rsidRPr="00D11990">
        <w:rPr>
          <w:sz w:val="24"/>
          <w:szCs w:val="24"/>
        </w:rPr>
        <w:t>The infrastructural support, state-of-the-art library, research databases, and the dedicated efforts of the academic and administrative staff at Woxsen University all contributed significantly to the successful completion of this work. The university’s encouragement of independent inquiry and its investment in world-class resources allowed for an enriched and informed research experience.</w:t>
      </w:r>
    </w:p>
    <w:p w14:paraId="517C7BFC" w14:textId="77777777" w:rsidR="007D145F" w:rsidRPr="00D11990" w:rsidRDefault="007D145F" w:rsidP="007D145F">
      <w:pPr>
        <w:spacing w:before="100" w:beforeAutospacing="1" w:after="100" w:afterAutospacing="1"/>
        <w:jc w:val="both"/>
        <w:rPr>
          <w:sz w:val="24"/>
          <w:szCs w:val="24"/>
        </w:rPr>
      </w:pPr>
      <w:r w:rsidRPr="00D11990">
        <w:rPr>
          <w:sz w:val="24"/>
          <w:szCs w:val="24"/>
        </w:rPr>
        <w:t>This thesis stands as a reflection of the strong academic foundation, technical facilities, and exceptional mentorship that I was privileged to receive during my time at Woxsen. I am deeply grateful for the opportunity to carry out this research in such a dynamic and supportive institutional setting.</w:t>
      </w:r>
    </w:p>
    <w:p w14:paraId="2FAD46D8" w14:textId="77777777" w:rsidR="007D145F" w:rsidRPr="00A96B10" w:rsidRDefault="007D145F" w:rsidP="007D145F">
      <w:pPr>
        <w:jc w:val="center"/>
        <w:rPr>
          <w:b/>
          <w:bCs/>
          <w:sz w:val="32"/>
          <w:szCs w:val="32"/>
        </w:rPr>
      </w:pPr>
    </w:p>
    <w:p w14:paraId="25838D35" w14:textId="77777777" w:rsidR="007D145F" w:rsidRPr="00A96B10" w:rsidRDefault="007D145F" w:rsidP="007D145F">
      <w:pPr>
        <w:rPr>
          <w:szCs w:val="24"/>
        </w:rPr>
      </w:pPr>
      <w:r w:rsidRPr="00A96B10">
        <w:rPr>
          <w:szCs w:val="24"/>
        </w:rPr>
        <w:br w:type="page"/>
      </w:r>
    </w:p>
    <w:p w14:paraId="42CD01B2" w14:textId="77777777" w:rsidR="007D145F" w:rsidRPr="00A96B10" w:rsidRDefault="007D145F" w:rsidP="007D145F">
      <w:pPr>
        <w:jc w:val="center"/>
        <w:rPr>
          <w:b/>
          <w:bCs/>
          <w:sz w:val="32"/>
          <w:szCs w:val="32"/>
        </w:rPr>
      </w:pPr>
      <w:r w:rsidRPr="00A96B10">
        <w:rPr>
          <w:b/>
          <w:bCs/>
          <w:sz w:val="32"/>
          <w:szCs w:val="32"/>
        </w:rPr>
        <w:lastRenderedPageBreak/>
        <w:t>TABLE OF CONTENTS</w:t>
      </w:r>
    </w:p>
    <w:p w14:paraId="4DC6E287" w14:textId="77777777" w:rsidR="007D145F" w:rsidRPr="00A96B10" w:rsidRDefault="007D145F" w:rsidP="007D145F">
      <w:pPr>
        <w:rPr>
          <w:szCs w:val="24"/>
        </w:rPr>
      </w:pPr>
    </w:p>
    <w:sdt>
      <w:sdtPr>
        <w:rPr>
          <w:rFonts w:ascii="Arial" w:eastAsia="Arial" w:hAnsi="Arial" w:cs="Arial"/>
          <w:color w:val="auto"/>
          <w:sz w:val="22"/>
          <w:szCs w:val="22"/>
          <w:lang w:val="en"/>
        </w:rPr>
        <w:id w:val="-243876999"/>
        <w:docPartObj>
          <w:docPartGallery w:val="Table of Contents"/>
          <w:docPartUnique/>
        </w:docPartObj>
      </w:sdtPr>
      <w:sdtEndPr>
        <w:rPr>
          <w:rFonts w:ascii="Times New Roman" w:eastAsia="Times New Roman" w:hAnsi="Times New Roman" w:cs="Times New Roman"/>
          <w:b/>
          <w:bCs/>
          <w:noProof/>
          <w:sz w:val="24"/>
          <w:szCs w:val="24"/>
          <w:lang w:val="en-US"/>
        </w:rPr>
      </w:sdtEndPr>
      <w:sdtContent>
        <w:p w14:paraId="61ED3F37" w14:textId="77777777" w:rsidR="007D145F" w:rsidRPr="00F8431B" w:rsidRDefault="007D145F" w:rsidP="007D145F">
          <w:pPr>
            <w:pStyle w:val="TOCHeading"/>
            <w:rPr>
              <w:rFonts w:ascii="Times New Roman" w:hAnsi="Times New Roman" w:cs="Times New Roman"/>
              <w:b/>
              <w:sz w:val="24"/>
              <w:szCs w:val="24"/>
            </w:rPr>
          </w:pPr>
          <w:r w:rsidRPr="00F8431B">
            <w:rPr>
              <w:rFonts w:ascii="Times New Roman" w:hAnsi="Times New Roman" w:cs="Times New Roman"/>
              <w:b/>
              <w:sz w:val="24"/>
              <w:szCs w:val="24"/>
            </w:rPr>
            <w:t>Contents</w:t>
          </w:r>
        </w:p>
        <w:p w14:paraId="238811E7" w14:textId="77777777" w:rsidR="00F8431B" w:rsidRPr="00F8431B" w:rsidRDefault="007D145F">
          <w:pPr>
            <w:pStyle w:val="TOC2"/>
            <w:tabs>
              <w:tab w:val="right" w:leader="dot" w:pos="9056"/>
            </w:tabs>
            <w:rPr>
              <w:rFonts w:ascii="Times New Roman" w:hAnsi="Times New Roman"/>
              <w:b/>
              <w:noProof/>
              <w:sz w:val="24"/>
              <w:szCs w:val="24"/>
            </w:rPr>
          </w:pPr>
          <w:r w:rsidRPr="00F8431B">
            <w:rPr>
              <w:rFonts w:ascii="Times New Roman" w:hAnsi="Times New Roman"/>
              <w:b/>
              <w:sz w:val="24"/>
              <w:szCs w:val="24"/>
            </w:rPr>
            <w:fldChar w:fldCharType="begin"/>
          </w:r>
          <w:r w:rsidRPr="00F8431B">
            <w:rPr>
              <w:rFonts w:ascii="Times New Roman" w:hAnsi="Times New Roman"/>
              <w:b/>
              <w:sz w:val="24"/>
              <w:szCs w:val="24"/>
            </w:rPr>
            <w:instrText xml:space="preserve"> TOC \o "1-3" \h \z \u </w:instrText>
          </w:r>
          <w:r w:rsidRPr="00F8431B">
            <w:rPr>
              <w:rFonts w:ascii="Times New Roman" w:hAnsi="Times New Roman"/>
              <w:b/>
              <w:sz w:val="24"/>
              <w:szCs w:val="24"/>
            </w:rPr>
            <w:fldChar w:fldCharType="separate"/>
          </w:r>
          <w:hyperlink w:anchor="_Toc194903425" w:history="1">
            <w:r w:rsidR="00F8431B" w:rsidRPr="00F8431B">
              <w:rPr>
                <w:rStyle w:val="Hyperlink"/>
                <w:rFonts w:ascii="Times New Roman" w:hAnsi="Times New Roman"/>
                <w:b/>
                <w:bCs/>
                <w:noProof/>
                <w:sz w:val="24"/>
                <w:szCs w:val="24"/>
              </w:rPr>
              <w:t>Abstract</w:t>
            </w:r>
            <w:r w:rsidR="00F8431B" w:rsidRPr="00F8431B">
              <w:rPr>
                <w:rFonts w:ascii="Times New Roman" w:hAnsi="Times New Roman"/>
                <w:b/>
                <w:noProof/>
                <w:webHidden/>
                <w:sz w:val="24"/>
                <w:szCs w:val="24"/>
              </w:rPr>
              <w:tab/>
            </w:r>
            <w:r w:rsidR="00F8431B" w:rsidRPr="00F8431B">
              <w:rPr>
                <w:rFonts w:ascii="Times New Roman" w:hAnsi="Times New Roman"/>
                <w:b/>
                <w:noProof/>
                <w:webHidden/>
                <w:sz w:val="24"/>
                <w:szCs w:val="24"/>
              </w:rPr>
              <w:fldChar w:fldCharType="begin"/>
            </w:r>
            <w:r w:rsidR="00F8431B" w:rsidRPr="00F8431B">
              <w:rPr>
                <w:rFonts w:ascii="Times New Roman" w:hAnsi="Times New Roman"/>
                <w:b/>
                <w:noProof/>
                <w:webHidden/>
                <w:sz w:val="24"/>
                <w:szCs w:val="24"/>
              </w:rPr>
              <w:instrText xml:space="preserve"> PAGEREF _Toc194903425 \h </w:instrText>
            </w:r>
            <w:r w:rsidR="00F8431B" w:rsidRPr="00F8431B">
              <w:rPr>
                <w:rFonts w:ascii="Times New Roman" w:hAnsi="Times New Roman"/>
                <w:b/>
                <w:noProof/>
                <w:webHidden/>
                <w:sz w:val="24"/>
                <w:szCs w:val="24"/>
              </w:rPr>
            </w:r>
            <w:r w:rsidR="00F8431B"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8</w:t>
            </w:r>
            <w:r w:rsidR="00F8431B" w:rsidRPr="00F8431B">
              <w:rPr>
                <w:rFonts w:ascii="Times New Roman" w:hAnsi="Times New Roman"/>
                <w:b/>
                <w:noProof/>
                <w:webHidden/>
                <w:sz w:val="24"/>
                <w:szCs w:val="24"/>
              </w:rPr>
              <w:fldChar w:fldCharType="end"/>
            </w:r>
          </w:hyperlink>
        </w:p>
        <w:p w14:paraId="36239C37" w14:textId="77777777" w:rsidR="00F8431B" w:rsidRPr="00F8431B" w:rsidRDefault="00F8431B">
          <w:pPr>
            <w:pStyle w:val="TOC1"/>
            <w:tabs>
              <w:tab w:val="right" w:leader="dot" w:pos="9056"/>
            </w:tabs>
            <w:rPr>
              <w:rFonts w:ascii="Times New Roman" w:hAnsi="Times New Roman"/>
              <w:b/>
              <w:noProof/>
              <w:sz w:val="24"/>
              <w:szCs w:val="24"/>
            </w:rPr>
          </w:pPr>
          <w:hyperlink w:anchor="_Toc194903426" w:history="1">
            <w:r w:rsidRPr="00F8431B">
              <w:rPr>
                <w:rStyle w:val="Hyperlink"/>
                <w:rFonts w:ascii="Times New Roman" w:hAnsi="Times New Roman"/>
                <w:b/>
                <w:noProof/>
                <w:sz w:val="24"/>
                <w:szCs w:val="24"/>
              </w:rPr>
              <w:t>Chapter 1. Introduction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_Toc194903426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8</w:t>
            </w:r>
            <w:r w:rsidRPr="00F8431B">
              <w:rPr>
                <w:rFonts w:ascii="Times New Roman" w:hAnsi="Times New Roman"/>
                <w:b/>
                <w:noProof/>
                <w:webHidden/>
                <w:sz w:val="24"/>
                <w:szCs w:val="24"/>
              </w:rPr>
              <w:fldChar w:fldCharType="end"/>
            </w:r>
          </w:hyperlink>
        </w:p>
        <w:p w14:paraId="0F2CC6E5" w14:textId="77777777" w:rsidR="00F8431B" w:rsidRPr="00F8431B" w:rsidRDefault="00F8431B">
          <w:pPr>
            <w:pStyle w:val="TOC2"/>
            <w:tabs>
              <w:tab w:val="right" w:leader="dot" w:pos="9056"/>
            </w:tabs>
            <w:rPr>
              <w:rFonts w:ascii="Times New Roman" w:hAnsi="Times New Roman"/>
              <w:b/>
              <w:noProof/>
              <w:sz w:val="24"/>
              <w:szCs w:val="24"/>
            </w:rPr>
          </w:pPr>
          <w:hyperlink w:anchor="_Toc194903427" w:history="1">
            <w:r w:rsidRPr="00F8431B">
              <w:rPr>
                <w:rStyle w:val="Hyperlink"/>
                <w:rFonts w:ascii="Times New Roman" w:hAnsi="Times New Roman"/>
                <w:b/>
                <w:bCs/>
                <w:noProof/>
                <w:sz w:val="24"/>
                <w:szCs w:val="24"/>
              </w:rPr>
              <w:t>1.1 Background and Significance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_Toc194903427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8</w:t>
            </w:r>
            <w:r w:rsidRPr="00F8431B">
              <w:rPr>
                <w:rFonts w:ascii="Times New Roman" w:hAnsi="Times New Roman"/>
                <w:b/>
                <w:noProof/>
                <w:webHidden/>
                <w:sz w:val="24"/>
                <w:szCs w:val="24"/>
              </w:rPr>
              <w:fldChar w:fldCharType="end"/>
            </w:r>
          </w:hyperlink>
        </w:p>
        <w:p w14:paraId="43D6FBA9" w14:textId="77777777" w:rsidR="00F8431B" w:rsidRPr="00F8431B" w:rsidRDefault="00F8431B">
          <w:pPr>
            <w:pStyle w:val="TOC2"/>
            <w:tabs>
              <w:tab w:val="right" w:leader="dot" w:pos="9056"/>
            </w:tabs>
            <w:rPr>
              <w:rFonts w:ascii="Times New Roman" w:hAnsi="Times New Roman"/>
              <w:b/>
              <w:noProof/>
              <w:sz w:val="24"/>
              <w:szCs w:val="24"/>
            </w:rPr>
          </w:pPr>
          <w:hyperlink w:anchor="_Toc194903428" w:history="1">
            <w:r w:rsidRPr="00F8431B">
              <w:rPr>
                <w:rStyle w:val="Hyperlink"/>
                <w:rFonts w:ascii="Times New Roman" w:hAnsi="Times New Roman"/>
                <w:b/>
                <w:bCs/>
                <w:noProof/>
                <w:sz w:val="24"/>
                <w:szCs w:val="24"/>
              </w:rPr>
              <w:t>1.2. ESG and Financial Leverage: Empirical Evidence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_Toc194903428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9</w:t>
            </w:r>
            <w:r w:rsidRPr="00F8431B">
              <w:rPr>
                <w:rFonts w:ascii="Times New Roman" w:hAnsi="Times New Roman"/>
                <w:b/>
                <w:noProof/>
                <w:webHidden/>
                <w:sz w:val="24"/>
                <w:szCs w:val="24"/>
              </w:rPr>
              <w:fldChar w:fldCharType="end"/>
            </w:r>
          </w:hyperlink>
        </w:p>
        <w:p w14:paraId="29814C47" w14:textId="77777777" w:rsidR="00F8431B" w:rsidRPr="00F8431B" w:rsidRDefault="00F8431B">
          <w:pPr>
            <w:pStyle w:val="TOC2"/>
            <w:tabs>
              <w:tab w:val="right" w:leader="dot" w:pos="9056"/>
            </w:tabs>
            <w:rPr>
              <w:rFonts w:ascii="Times New Roman" w:hAnsi="Times New Roman"/>
              <w:b/>
              <w:noProof/>
              <w:sz w:val="24"/>
              <w:szCs w:val="24"/>
            </w:rPr>
          </w:pPr>
          <w:hyperlink w:anchor="_Toc194903429" w:history="1">
            <w:r w:rsidRPr="00F8431B">
              <w:rPr>
                <w:rStyle w:val="Hyperlink"/>
                <w:rFonts w:ascii="Times New Roman" w:hAnsi="Times New Roman"/>
                <w:b/>
                <w:bCs/>
                <w:noProof/>
                <w:spacing w:val="2"/>
                <w:sz w:val="24"/>
                <w:szCs w:val="24"/>
                <w:shd w:val="clear" w:color="auto" w:fill="FFFFFF"/>
              </w:rPr>
              <w:t>1.3. Theoretical Framework</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_Toc194903429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9</w:t>
            </w:r>
            <w:r w:rsidRPr="00F8431B">
              <w:rPr>
                <w:rFonts w:ascii="Times New Roman" w:hAnsi="Times New Roman"/>
                <w:b/>
                <w:noProof/>
                <w:webHidden/>
                <w:sz w:val="24"/>
                <w:szCs w:val="24"/>
              </w:rPr>
              <w:fldChar w:fldCharType="end"/>
            </w:r>
          </w:hyperlink>
        </w:p>
        <w:p w14:paraId="6057F703" w14:textId="77777777" w:rsidR="00F8431B" w:rsidRPr="00F8431B" w:rsidRDefault="00F8431B">
          <w:pPr>
            <w:pStyle w:val="TOC2"/>
            <w:tabs>
              <w:tab w:val="right" w:leader="dot" w:pos="9056"/>
            </w:tabs>
            <w:rPr>
              <w:rFonts w:ascii="Times New Roman" w:hAnsi="Times New Roman"/>
              <w:b/>
              <w:noProof/>
              <w:sz w:val="24"/>
              <w:szCs w:val="24"/>
            </w:rPr>
          </w:pPr>
          <w:hyperlink w:anchor="_Toc194903430" w:history="1">
            <w:r w:rsidRPr="00F8431B">
              <w:rPr>
                <w:rStyle w:val="Hyperlink"/>
                <w:rFonts w:ascii="Times New Roman" w:hAnsi="Times New Roman"/>
                <w:b/>
                <w:bCs/>
                <w:noProof/>
                <w:sz w:val="24"/>
                <w:szCs w:val="24"/>
              </w:rPr>
              <w:t>1.4 Industry Trends and Regulatory Landscape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_Toc194903430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10</w:t>
            </w:r>
            <w:r w:rsidRPr="00F8431B">
              <w:rPr>
                <w:rFonts w:ascii="Times New Roman" w:hAnsi="Times New Roman"/>
                <w:b/>
                <w:noProof/>
                <w:webHidden/>
                <w:sz w:val="24"/>
                <w:szCs w:val="24"/>
              </w:rPr>
              <w:fldChar w:fldCharType="end"/>
            </w:r>
          </w:hyperlink>
        </w:p>
        <w:p w14:paraId="29AC2946" w14:textId="77777777" w:rsidR="00F8431B" w:rsidRPr="00F8431B" w:rsidRDefault="00F8431B">
          <w:pPr>
            <w:pStyle w:val="TOC2"/>
            <w:tabs>
              <w:tab w:val="right" w:leader="dot" w:pos="9056"/>
            </w:tabs>
            <w:rPr>
              <w:rFonts w:ascii="Times New Roman" w:hAnsi="Times New Roman"/>
              <w:b/>
              <w:noProof/>
              <w:sz w:val="24"/>
              <w:szCs w:val="24"/>
            </w:rPr>
          </w:pPr>
          <w:hyperlink w:anchor="_Toc194903431" w:history="1">
            <w:r w:rsidRPr="00F8431B">
              <w:rPr>
                <w:rStyle w:val="Hyperlink"/>
                <w:rFonts w:ascii="Times New Roman" w:hAnsi="Times New Roman"/>
                <w:b/>
                <w:bCs/>
                <w:noProof/>
                <w:sz w:val="24"/>
                <w:szCs w:val="24"/>
              </w:rPr>
              <w:t>1.5 Research Problem</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_Toc194903431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10</w:t>
            </w:r>
            <w:r w:rsidRPr="00F8431B">
              <w:rPr>
                <w:rFonts w:ascii="Times New Roman" w:hAnsi="Times New Roman"/>
                <w:b/>
                <w:noProof/>
                <w:webHidden/>
                <w:sz w:val="24"/>
                <w:szCs w:val="24"/>
              </w:rPr>
              <w:fldChar w:fldCharType="end"/>
            </w:r>
          </w:hyperlink>
        </w:p>
        <w:p w14:paraId="4CB82D95" w14:textId="77777777" w:rsidR="00F8431B" w:rsidRPr="00F8431B" w:rsidRDefault="00F8431B">
          <w:pPr>
            <w:pStyle w:val="TOC2"/>
            <w:tabs>
              <w:tab w:val="right" w:leader="dot" w:pos="9056"/>
            </w:tabs>
            <w:rPr>
              <w:rFonts w:ascii="Times New Roman" w:hAnsi="Times New Roman"/>
              <w:b/>
              <w:noProof/>
              <w:sz w:val="24"/>
              <w:szCs w:val="24"/>
            </w:rPr>
          </w:pPr>
          <w:hyperlink w:anchor="_Toc194903432" w:history="1">
            <w:r w:rsidRPr="00F8431B">
              <w:rPr>
                <w:rStyle w:val="Hyperlink"/>
                <w:rFonts w:ascii="Times New Roman" w:hAnsi="Times New Roman"/>
                <w:b/>
                <w:bCs/>
                <w:noProof/>
                <w:spacing w:val="2"/>
                <w:sz w:val="24"/>
                <w:szCs w:val="24"/>
                <w:shd w:val="clear" w:color="auto" w:fill="FFFFFF"/>
              </w:rPr>
              <w:t>1.6 Research Question: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_Toc194903432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11</w:t>
            </w:r>
            <w:r w:rsidRPr="00F8431B">
              <w:rPr>
                <w:rFonts w:ascii="Times New Roman" w:hAnsi="Times New Roman"/>
                <w:b/>
                <w:noProof/>
                <w:webHidden/>
                <w:sz w:val="24"/>
                <w:szCs w:val="24"/>
              </w:rPr>
              <w:fldChar w:fldCharType="end"/>
            </w:r>
          </w:hyperlink>
        </w:p>
        <w:p w14:paraId="50B98E16" w14:textId="77777777" w:rsidR="00F8431B" w:rsidRPr="00F8431B" w:rsidRDefault="00F8431B">
          <w:pPr>
            <w:pStyle w:val="TOC1"/>
            <w:tabs>
              <w:tab w:val="right" w:leader="dot" w:pos="9056"/>
            </w:tabs>
            <w:rPr>
              <w:rFonts w:ascii="Times New Roman" w:hAnsi="Times New Roman"/>
              <w:b/>
              <w:noProof/>
              <w:sz w:val="24"/>
              <w:szCs w:val="24"/>
            </w:rPr>
          </w:pPr>
          <w:hyperlink w:anchor="_Toc194903433" w:history="1">
            <w:r w:rsidRPr="00F8431B">
              <w:rPr>
                <w:rStyle w:val="Hyperlink"/>
                <w:rFonts w:ascii="Times New Roman" w:hAnsi="Times New Roman"/>
                <w:b/>
                <w:noProof/>
                <w:sz w:val="24"/>
                <w:szCs w:val="24"/>
              </w:rPr>
              <w:t>Chapter 2. Literature Review</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_Toc194903433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11</w:t>
            </w:r>
            <w:r w:rsidRPr="00F8431B">
              <w:rPr>
                <w:rFonts w:ascii="Times New Roman" w:hAnsi="Times New Roman"/>
                <w:b/>
                <w:noProof/>
                <w:webHidden/>
                <w:sz w:val="24"/>
                <w:szCs w:val="24"/>
              </w:rPr>
              <w:fldChar w:fldCharType="end"/>
            </w:r>
          </w:hyperlink>
        </w:p>
        <w:p w14:paraId="798CBD7A" w14:textId="77777777" w:rsidR="00F8431B" w:rsidRPr="00F8431B" w:rsidRDefault="00F8431B">
          <w:pPr>
            <w:pStyle w:val="TOC2"/>
            <w:tabs>
              <w:tab w:val="right" w:leader="dot" w:pos="9056"/>
            </w:tabs>
            <w:rPr>
              <w:rFonts w:ascii="Times New Roman" w:hAnsi="Times New Roman"/>
              <w:b/>
              <w:noProof/>
              <w:sz w:val="24"/>
              <w:szCs w:val="24"/>
            </w:rPr>
          </w:pPr>
          <w:hyperlink w:anchor="_Toc194903434" w:history="1">
            <w:r w:rsidRPr="00F8431B">
              <w:rPr>
                <w:rStyle w:val="Hyperlink"/>
                <w:rFonts w:ascii="Times New Roman" w:hAnsi="Times New Roman"/>
                <w:b/>
                <w:bCs/>
                <w:noProof/>
                <w:sz w:val="24"/>
                <w:szCs w:val="24"/>
              </w:rPr>
              <w:t>2.1 Review of International Studies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_Toc194903434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11</w:t>
            </w:r>
            <w:r w:rsidRPr="00F8431B">
              <w:rPr>
                <w:rFonts w:ascii="Times New Roman" w:hAnsi="Times New Roman"/>
                <w:b/>
                <w:noProof/>
                <w:webHidden/>
                <w:sz w:val="24"/>
                <w:szCs w:val="24"/>
              </w:rPr>
              <w:fldChar w:fldCharType="end"/>
            </w:r>
          </w:hyperlink>
        </w:p>
        <w:p w14:paraId="274DE935" w14:textId="77777777" w:rsidR="00F8431B" w:rsidRPr="00F8431B" w:rsidRDefault="00F8431B">
          <w:pPr>
            <w:pStyle w:val="TOC3"/>
            <w:tabs>
              <w:tab w:val="right" w:leader="dot" w:pos="9056"/>
            </w:tabs>
            <w:rPr>
              <w:rFonts w:ascii="Times New Roman" w:hAnsi="Times New Roman"/>
              <w:b/>
              <w:noProof/>
              <w:sz w:val="24"/>
              <w:szCs w:val="24"/>
            </w:rPr>
          </w:pPr>
          <w:hyperlink w:anchor="_Toc194903435" w:history="1">
            <w:r w:rsidRPr="00F8431B">
              <w:rPr>
                <w:rStyle w:val="Hyperlink"/>
                <w:rFonts w:ascii="Times New Roman" w:hAnsi="Times New Roman"/>
                <w:b/>
                <w:noProof/>
                <w:sz w:val="24"/>
                <w:szCs w:val="24"/>
              </w:rPr>
              <w:t>2.1.1 Solvency Metrics and Capital Structure Decisions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_Toc194903435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12</w:t>
            </w:r>
            <w:r w:rsidRPr="00F8431B">
              <w:rPr>
                <w:rFonts w:ascii="Times New Roman" w:hAnsi="Times New Roman"/>
                <w:b/>
                <w:noProof/>
                <w:webHidden/>
                <w:sz w:val="24"/>
                <w:szCs w:val="24"/>
              </w:rPr>
              <w:fldChar w:fldCharType="end"/>
            </w:r>
          </w:hyperlink>
        </w:p>
        <w:p w14:paraId="72F861B4" w14:textId="77777777" w:rsidR="00F8431B" w:rsidRPr="00F8431B" w:rsidRDefault="00F8431B">
          <w:pPr>
            <w:pStyle w:val="TOC3"/>
            <w:tabs>
              <w:tab w:val="right" w:leader="dot" w:pos="9056"/>
            </w:tabs>
            <w:rPr>
              <w:rFonts w:ascii="Times New Roman" w:hAnsi="Times New Roman"/>
              <w:b/>
              <w:noProof/>
              <w:sz w:val="24"/>
              <w:szCs w:val="24"/>
            </w:rPr>
          </w:pPr>
          <w:hyperlink w:anchor="_Toc194903436" w:history="1">
            <w:r w:rsidRPr="00F8431B">
              <w:rPr>
                <w:rStyle w:val="Hyperlink"/>
                <w:rFonts w:ascii="Times New Roman" w:hAnsi="Times New Roman"/>
                <w:b/>
                <w:noProof/>
                <w:sz w:val="24"/>
                <w:szCs w:val="24"/>
              </w:rPr>
              <w:t>2.1.2 ESG Performance as a Moderating Variable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_Toc194903436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13</w:t>
            </w:r>
            <w:r w:rsidRPr="00F8431B">
              <w:rPr>
                <w:rFonts w:ascii="Times New Roman" w:hAnsi="Times New Roman"/>
                <w:b/>
                <w:noProof/>
                <w:webHidden/>
                <w:sz w:val="24"/>
                <w:szCs w:val="24"/>
              </w:rPr>
              <w:fldChar w:fldCharType="end"/>
            </w:r>
          </w:hyperlink>
        </w:p>
        <w:p w14:paraId="3DC93339" w14:textId="77777777" w:rsidR="00F8431B" w:rsidRPr="00F8431B" w:rsidRDefault="00F8431B">
          <w:pPr>
            <w:pStyle w:val="TOC3"/>
            <w:tabs>
              <w:tab w:val="right" w:leader="dot" w:pos="9056"/>
            </w:tabs>
            <w:rPr>
              <w:rFonts w:ascii="Times New Roman" w:hAnsi="Times New Roman"/>
              <w:b/>
              <w:noProof/>
              <w:sz w:val="24"/>
              <w:szCs w:val="24"/>
            </w:rPr>
          </w:pPr>
          <w:hyperlink w:anchor="_Toc194903437" w:history="1">
            <w:r w:rsidRPr="00F8431B">
              <w:rPr>
                <w:rStyle w:val="Hyperlink"/>
                <w:rFonts w:ascii="Times New Roman" w:hAnsi="Times New Roman"/>
                <w:b/>
                <w:noProof/>
                <w:sz w:val="24"/>
                <w:szCs w:val="24"/>
              </w:rPr>
              <w:t>2.1.3 Sector-Specific Dynamics in Oil and Gas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_Toc194903437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14</w:t>
            </w:r>
            <w:r w:rsidRPr="00F8431B">
              <w:rPr>
                <w:rFonts w:ascii="Times New Roman" w:hAnsi="Times New Roman"/>
                <w:b/>
                <w:noProof/>
                <w:webHidden/>
                <w:sz w:val="24"/>
                <w:szCs w:val="24"/>
              </w:rPr>
              <w:fldChar w:fldCharType="end"/>
            </w:r>
          </w:hyperlink>
        </w:p>
        <w:p w14:paraId="6ABEDCDC" w14:textId="77777777" w:rsidR="00F8431B" w:rsidRPr="00F8431B" w:rsidRDefault="00F8431B">
          <w:pPr>
            <w:pStyle w:val="TOC2"/>
            <w:tabs>
              <w:tab w:val="right" w:leader="dot" w:pos="9056"/>
            </w:tabs>
            <w:rPr>
              <w:rFonts w:ascii="Times New Roman" w:hAnsi="Times New Roman"/>
              <w:b/>
              <w:noProof/>
              <w:sz w:val="24"/>
              <w:szCs w:val="24"/>
            </w:rPr>
          </w:pPr>
          <w:hyperlink w:anchor="_Toc194903438" w:history="1">
            <w:r w:rsidRPr="00F8431B">
              <w:rPr>
                <w:rStyle w:val="Hyperlink"/>
                <w:rFonts w:ascii="Times New Roman" w:hAnsi="Times New Roman"/>
                <w:b/>
                <w:bCs/>
                <w:noProof/>
                <w:sz w:val="24"/>
                <w:szCs w:val="24"/>
              </w:rPr>
              <w:t>2.2 Research Gap</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_Toc194903438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14</w:t>
            </w:r>
            <w:r w:rsidRPr="00F8431B">
              <w:rPr>
                <w:rFonts w:ascii="Times New Roman" w:hAnsi="Times New Roman"/>
                <w:b/>
                <w:noProof/>
                <w:webHidden/>
                <w:sz w:val="24"/>
                <w:szCs w:val="24"/>
              </w:rPr>
              <w:fldChar w:fldCharType="end"/>
            </w:r>
          </w:hyperlink>
        </w:p>
        <w:p w14:paraId="372BC4E1" w14:textId="77777777" w:rsidR="00F8431B" w:rsidRPr="00F8431B" w:rsidRDefault="00F8431B">
          <w:pPr>
            <w:pStyle w:val="TOC2"/>
            <w:tabs>
              <w:tab w:val="right" w:leader="dot" w:pos="9056"/>
            </w:tabs>
            <w:rPr>
              <w:rFonts w:ascii="Times New Roman" w:hAnsi="Times New Roman"/>
              <w:b/>
              <w:noProof/>
              <w:sz w:val="24"/>
              <w:szCs w:val="24"/>
            </w:rPr>
          </w:pPr>
          <w:hyperlink w:anchor="_Toc194903439" w:history="1">
            <w:r w:rsidRPr="00F8431B">
              <w:rPr>
                <w:rStyle w:val="Hyperlink"/>
                <w:rFonts w:ascii="Times New Roman" w:hAnsi="Times New Roman"/>
                <w:b/>
                <w:bCs/>
                <w:noProof/>
                <w:sz w:val="24"/>
                <w:szCs w:val="24"/>
              </w:rPr>
              <w:t>2.3 Research Objective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_Toc194903439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15</w:t>
            </w:r>
            <w:r w:rsidRPr="00F8431B">
              <w:rPr>
                <w:rFonts w:ascii="Times New Roman" w:hAnsi="Times New Roman"/>
                <w:b/>
                <w:noProof/>
                <w:webHidden/>
                <w:sz w:val="24"/>
                <w:szCs w:val="24"/>
              </w:rPr>
              <w:fldChar w:fldCharType="end"/>
            </w:r>
          </w:hyperlink>
        </w:p>
        <w:p w14:paraId="252CC73A" w14:textId="77777777" w:rsidR="00F8431B" w:rsidRPr="00F8431B" w:rsidRDefault="00F8431B">
          <w:pPr>
            <w:pStyle w:val="TOC2"/>
            <w:tabs>
              <w:tab w:val="right" w:leader="dot" w:pos="9056"/>
            </w:tabs>
            <w:rPr>
              <w:rFonts w:ascii="Times New Roman" w:hAnsi="Times New Roman"/>
              <w:b/>
              <w:noProof/>
              <w:sz w:val="24"/>
              <w:szCs w:val="24"/>
            </w:rPr>
          </w:pPr>
          <w:hyperlink w:anchor="_Toc194903440" w:history="1">
            <w:r w:rsidRPr="00F8431B">
              <w:rPr>
                <w:rStyle w:val="Hyperlink"/>
                <w:rFonts w:ascii="Times New Roman" w:hAnsi="Times New Roman"/>
                <w:b/>
                <w:bCs/>
                <w:noProof/>
                <w:sz w:val="24"/>
                <w:szCs w:val="24"/>
              </w:rPr>
              <w:t>2.4 Conceptual Model</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_Toc194903440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16</w:t>
            </w:r>
            <w:r w:rsidRPr="00F8431B">
              <w:rPr>
                <w:rFonts w:ascii="Times New Roman" w:hAnsi="Times New Roman"/>
                <w:b/>
                <w:noProof/>
                <w:webHidden/>
                <w:sz w:val="24"/>
                <w:szCs w:val="24"/>
              </w:rPr>
              <w:fldChar w:fldCharType="end"/>
            </w:r>
          </w:hyperlink>
        </w:p>
        <w:p w14:paraId="41E3CD98" w14:textId="77777777" w:rsidR="00F8431B" w:rsidRPr="00F8431B" w:rsidRDefault="00F8431B">
          <w:pPr>
            <w:pStyle w:val="TOC2"/>
            <w:tabs>
              <w:tab w:val="right" w:leader="dot" w:pos="9056"/>
            </w:tabs>
            <w:rPr>
              <w:rFonts w:ascii="Times New Roman" w:hAnsi="Times New Roman"/>
              <w:b/>
              <w:noProof/>
              <w:sz w:val="24"/>
              <w:szCs w:val="24"/>
            </w:rPr>
          </w:pPr>
          <w:hyperlink w:anchor="_Toc194903441" w:history="1">
            <w:r w:rsidRPr="00F8431B">
              <w:rPr>
                <w:rStyle w:val="Hyperlink"/>
                <w:rFonts w:ascii="Times New Roman" w:hAnsi="Times New Roman"/>
                <w:b/>
                <w:noProof/>
                <w:sz w:val="24"/>
                <w:szCs w:val="24"/>
              </w:rPr>
              <w:t>3.1 Research Design and Sampling Design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_Toc194903441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17</w:t>
            </w:r>
            <w:r w:rsidRPr="00F8431B">
              <w:rPr>
                <w:rFonts w:ascii="Times New Roman" w:hAnsi="Times New Roman"/>
                <w:b/>
                <w:noProof/>
                <w:webHidden/>
                <w:sz w:val="24"/>
                <w:szCs w:val="24"/>
              </w:rPr>
              <w:fldChar w:fldCharType="end"/>
            </w:r>
          </w:hyperlink>
        </w:p>
        <w:p w14:paraId="5B530BAC" w14:textId="77777777" w:rsidR="00F8431B" w:rsidRPr="00F8431B" w:rsidRDefault="00F8431B">
          <w:pPr>
            <w:pStyle w:val="TOC3"/>
            <w:tabs>
              <w:tab w:val="right" w:leader="dot" w:pos="9056"/>
            </w:tabs>
            <w:rPr>
              <w:rFonts w:ascii="Times New Roman" w:hAnsi="Times New Roman"/>
              <w:b/>
              <w:noProof/>
              <w:sz w:val="24"/>
              <w:szCs w:val="24"/>
            </w:rPr>
          </w:pPr>
          <w:hyperlink w:anchor="_Toc194903442" w:history="1">
            <w:r w:rsidRPr="00F8431B">
              <w:rPr>
                <w:rStyle w:val="Hyperlink"/>
                <w:rFonts w:ascii="Times New Roman" w:hAnsi="Times New Roman"/>
                <w:b/>
                <w:noProof/>
                <w:sz w:val="24"/>
                <w:szCs w:val="24"/>
              </w:rPr>
              <w:t>Key Variables in the Study</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_Toc194903442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17</w:t>
            </w:r>
            <w:r w:rsidRPr="00F8431B">
              <w:rPr>
                <w:rFonts w:ascii="Times New Roman" w:hAnsi="Times New Roman"/>
                <w:b/>
                <w:noProof/>
                <w:webHidden/>
                <w:sz w:val="24"/>
                <w:szCs w:val="24"/>
              </w:rPr>
              <w:fldChar w:fldCharType="end"/>
            </w:r>
          </w:hyperlink>
        </w:p>
        <w:p w14:paraId="1BF39BF4" w14:textId="77777777" w:rsidR="00F8431B" w:rsidRPr="00F8431B" w:rsidRDefault="00F8431B">
          <w:pPr>
            <w:pStyle w:val="TOC2"/>
            <w:tabs>
              <w:tab w:val="right" w:leader="dot" w:pos="9056"/>
            </w:tabs>
            <w:rPr>
              <w:rFonts w:ascii="Times New Roman" w:hAnsi="Times New Roman"/>
              <w:b/>
              <w:noProof/>
              <w:sz w:val="24"/>
              <w:szCs w:val="24"/>
            </w:rPr>
          </w:pPr>
          <w:hyperlink w:anchor="_Toc194903443" w:history="1">
            <w:r w:rsidRPr="00F8431B">
              <w:rPr>
                <w:rStyle w:val="Hyperlink"/>
                <w:rFonts w:ascii="Times New Roman" w:hAnsi="Times New Roman"/>
                <w:b/>
                <w:noProof/>
                <w:sz w:val="24"/>
                <w:szCs w:val="24"/>
              </w:rPr>
              <w:t>3.2 Methods of Data Collection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_Toc194903443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17</w:t>
            </w:r>
            <w:r w:rsidRPr="00F8431B">
              <w:rPr>
                <w:rFonts w:ascii="Times New Roman" w:hAnsi="Times New Roman"/>
                <w:b/>
                <w:noProof/>
                <w:webHidden/>
                <w:sz w:val="24"/>
                <w:szCs w:val="24"/>
              </w:rPr>
              <w:fldChar w:fldCharType="end"/>
            </w:r>
          </w:hyperlink>
        </w:p>
        <w:p w14:paraId="6BB2AAA4" w14:textId="77777777" w:rsidR="00F8431B" w:rsidRPr="00F8431B" w:rsidRDefault="00F8431B">
          <w:pPr>
            <w:pStyle w:val="TOC3"/>
            <w:tabs>
              <w:tab w:val="right" w:leader="dot" w:pos="9056"/>
            </w:tabs>
            <w:rPr>
              <w:rFonts w:ascii="Times New Roman" w:hAnsi="Times New Roman"/>
              <w:b/>
              <w:noProof/>
              <w:sz w:val="24"/>
              <w:szCs w:val="24"/>
            </w:rPr>
          </w:pPr>
          <w:hyperlink w:anchor="_Toc194903444" w:history="1">
            <w:r w:rsidRPr="00F8431B">
              <w:rPr>
                <w:rStyle w:val="Hyperlink"/>
                <w:rFonts w:ascii="Times New Roman" w:hAnsi="Times New Roman"/>
                <w:b/>
                <w:noProof/>
                <w:sz w:val="24"/>
                <w:szCs w:val="24"/>
              </w:rPr>
              <w:t>3.2.1 Data Source and Extraction Process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_Toc194903444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18</w:t>
            </w:r>
            <w:r w:rsidRPr="00F8431B">
              <w:rPr>
                <w:rFonts w:ascii="Times New Roman" w:hAnsi="Times New Roman"/>
                <w:b/>
                <w:noProof/>
                <w:webHidden/>
                <w:sz w:val="24"/>
                <w:szCs w:val="24"/>
              </w:rPr>
              <w:fldChar w:fldCharType="end"/>
            </w:r>
          </w:hyperlink>
        </w:p>
        <w:p w14:paraId="40494EF6" w14:textId="77777777" w:rsidR="00F8431B" w:rsidRPr="00F8431B" w:rsidRDefault="00F8431B">
          <w:pPr>
            <w:pStyle w:val="TOC3"/>
            <w:tabs>
              <w:tab w:val="right" w:leader="dot" w:pos="9056"/>
            </w:tabs>
            <w:rPr>
              <w:rFonts w:ascii="Times New Roman" w:hAnsi="Times New Roman"/>
              <w:b/>
              <w:noProof/>
              <w:sz w:val="24"/>
              <w:szCs w:val="24"/>
            </w:rPr>
          </w:pPr>
          <w:hyperlink w:anchor="_Toc194903445" w:history="1">
            <w:r w:rsidRPr="00F8431B">
              <w:rPr>
                <w:rStyle w:val="Hyperlink"/>
                <w:rFonts w:ascii="Times New Roman" w:hAnsi="Times New Roman"/>
                <w:b/>
                <w:noProof/>
                <w:sz w:val="24"/>
                <w:szCs w:val="24"/>
              </w:rPr>
              <w:t>3.3.2 Variables chosen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_Toc194903445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18</w:t>
            </w:r>
            <w:r w:rsidRPr="00F8431B">
              <w:rPr>
                <w:rFonts w:ascii="Times New Roman" w:hAnsi="Times New Roman"/>
                <w:b/>
                <w:noProof/>
                <w:webHidden/>
                <w:sz w:val="24"/>
                <w:szCs w:val="24"/>
              </w:rPr>
              <w:fldChar w:fldCharType="end"/>
            </w:r>
          </w:hyperlink>
        </w:p>
        <w:p w14:paraId="57671718" w14:textId="77777777" w:rsidR="00F8431B" w:rsidRPr="00F8431B" w:rsidRDefault="00F8431B">
          <w:pPr>
            <w:pStyle w:val="TOC2"/>
            <w:tabs>
              <w:tab w:val="right" w:leader="dot" w:pos="9056"/>
            </w:tabs>
            <w:rPr>
              <w:rFonts w:ascii="Times New Roman" w:hAnsi="Times New Roman"/>
              <w:b/>
              <w:noProof/>
              <w:sz w:val="24"/>
              <w:szCs w:val="24"/>
            </w:rPr>
          </w:pPr>
          <w:hyperlink w:anchor="_Toc194903446" w:history="1">
            <w:r w:rsidRPr="00F8431B">
              <w:rPr>
                <w:rStyle w:val="Hyperlink"/>
                <w:rFonts w:ascii="Times New Roman" w:hAnsi="Times New Roman"/>
                <w:b/>
                <w:noProof/>
                <w:sz w:val="24"/>
                <w:szCs w:val="24"/>
              </w:rPr>
              <w:t>3.3 Statistical Design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_Toc194903446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19</w:t>
            </w:r>
            <w:r w:rsidRPr="00F8431B">
              <w:rPr>
                <w:rFonts w:ascii="Times New Roman" w:hAnsi="Times New Roman"/>
                <w:b/>
                <w:noProof/>
                <w:webHidden/>
                <w:sz w:val="24"/>
                <w:szCs w:val="24"/>
              </w:rPr>
              <w:fldChar w:fldCharType="end"/>
            </w:r>
          </w:hyperlink>
        </w:p>
        <w:p w14:paraId="28EDEADB" w14:textId="77777777" w:rsidR="00F8431B" w:rsidRPr="00F8431B" w:rsidRDefault="00F8431B">
          <w:pPr>
            <w:pStyle w:val="TOC3"/>
            <w:tabs>
              <w:tab w:val="right" w:leader="dot" w:pos="9056"/>
            </w:tabs>
            <w:rPr>
              <w:rFonts w:ascii="Times New Roman" w:hAnsi="Times New Roman"/>
              <w:b/>
              <w:noProof/>
              <w:sz w:val="24"/>
              <w:szCs w:val="24"/>
            </w:rPr>
          </w:pPr>
          <w:hyperlink w:anchor="_Toc194903447" w:history="1">
            <w:r w:rsidRPr="00F8431B">
              <w:rPr>
                <w:rStyle w:val="Hyperlink"/>
                <w:rFonts w:ascii="Times New Roman" w:hAnsi="Times New Roman"/>
                <w:b/>
                <w:noProof/>
                <w:sz w:val="24"/>
                <w:szCs w:val="24"/>
              </w:rPr>
              <w:t>3.3.1 Regression Model Specification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_Toc194903447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19</w:t>
            </w:r>
            <w:r w:rsidRPr="00F8431B">
              <w:rPr>
                <w:rFonts w:ascii="Times New Roman" w:hAnsi="Times New Roman"/>
                <w:b/>
                <w:noProof/>
                <w:webHidden/>
                <w:sz w:val="24"/>
                <w:szCs w:val="24"/>
              </w:rPr>
              <w:fldChar w:fldCharType="end"/>
            </w:r>
          </w:hyperlink>
        </w:p>
        <w:p w14:paraId="4A57A60E" w14:textId="77777777" w:rsidR="00F8431B" w:rsidRPr="00F8431B" w:rsidRDefault="00F8431B">
          <w:pPr>
            <w:pStyle w:val="TOC3"/>
            <w:tabs>
              <w:tab w:val="right" w:leader="dot" w:pos="9056"/>
            </w:tabs>
            <w:rPr>
              <w:rFonts w:ascii="Times New Roman" w:hAnsi="Times New Roman"/>
              <w:b/>
              <w:noProof/>
              <w:sz w:val="24"/>
              <w:szCs w:val="24"/>
            </w:rPr>
          </w:pPr>
          <w:hyperlink w:anchor="_Toc194903448" w:history="1">
            <w:r w:rsidRPr="00F8431B">
              <w:rPr>
                <w:rStyle w:val="Hyperlink"/>
                <w:rFonts w:ascii="Times New Roman" w:hAnsi="Times New Roman"/>
                <w:b/>
                <w:noProof/>
                <w:sz w:val="24"/>
                <w:szCs w:val="24"/>
              </w:rPr>
              <w:t>3.3.2 Statistical Analysis and Model Evaluation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_Toc194903448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20</w:t>
            </w:r>
            <w:r w:rsidRPr="00F8431B">
              <w:rPr>
                <w:rFonts w:ascii="Times New Roman" w:hAnsi="Times New Roman"/>
                <w:b/>
                <w:noProof/>
                <w:webHidden/>
                <w:sz w:val="24"/>
                <w:szCs w:val="24"/>
              </w:rPr>
              <w:fldChar w:fldCharType="end"/>
            </w:r>
          </w:hyperlink>
        </w:p>
        <w:p w14:paraId="1F8A4067" w14:textId="77777777" w:rsidR="00F8431B" w:rsidRPr="00F8431B" w:rsidRDefault="00F8431B">
          <w:pPr>
            <w:pStyle w:val="TOC2"/>
            <w:tabs>
              <w:tab w:val="right" w:leader="dot" w:pos="9056"/>
            </w:tabs>
            <w:rPr>
              <w:rFonts w:ascii="Times New Roman" w:hAnsi="Times New Roman"/>
              <w:b/>
              <w:noProof/>
              <w:sz w:val="24"/>
              <w:szCs w:val="24"/>
            </w:rPr>
          </w:pPr>
          <w:hyperlink w:anchor="_Toc194903449" w:history="1">
            <w:r w:rsidRPr="00F8431B">
              <w:rPr>
                <w:rStyle w:val="Hyperlink"/>
                <w:rFonts w:ascii="Times New Roman" w:hAnsi="Times New Roman"/>
                <w:b/>
                <w:bCs/>
                <w:noProof/>
                <w:sz w:val="24"/>
                <w:szCs w:val="24"/>
              </w:rPr>
              <w:t>4.1 Interpretation of Regression Coefficients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_Toc194903449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21</w:t>
            </w:r>
            <w:r w:rsidRPr="00F8431B">
              <w:rPr>
                <w:rFonts w:ascii="Times New Roman" w:hAnsi="Times New Roman"/>
                <w:b/>
                <w:noProof/>
                <w:webHidden/>
                <w:sz w:val="24"/>
                <w:szCs w:val="24"/>
              </w:rPr>
              <w:fldChar w:fldCharType="end"/>
            </w:r>
          </w:hyperlink>
        </w:p>
        <w:p w14:paraId="15D576AD" w14:textId="77777777" w:rsidR="00F8431B" w:rsidRPr="00F8431B" w:rsidRDefault="00F8431B">
          <w:pPr>
            <w:pStyle w:val="TOC3"/>
            <w:tabs>
              <w:tab w:val="right" w:leader="dot" w:pos="9056"/>
            </w:tabs>
            <w:rPr>
              <w:rFonts w:ascii="Times New Roman" w:hAnsi="Times New Roman"/>
              <w:b/>
              <w:noProof/>
              <w:sz w:val="24"/>
              <w:szCs w:val="24"/>
            </w:rPr>
          </w:pPr>
          <w:hyperlink w:anchor="_Toc194903450" w:history="1">
            <w:r w:rsidRPr="00F8431B">
              <w:rPr>
                <w:rStyle w:val="Hyperlink"/>
                <w:rFonts w:ascii="Times New Roman" w:hAnsi="Times New Roman"/>
                <w:b/>
                <w:noProof/>
                <w:sz w:val="24"/>
                <w:szCs w:val="24"/>
              </w:rPr>
              <w:t>4.1.1 Effect of Interest Coverage Ratio (ICR) on Debt-to-Equity Ratio</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_Toc194903450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22</w:t>
            </w:r>
            <w:r w:rsidRPr="00F8431B">
              <w:rPr>
                <w:rFonts w:ascii="Times New Roman" w:hAnsi="Times New Roman"/>
                <w:b/>
                <w:noProof/>
                <w:webHidden/>
                <w:sz w:val="24"/>
                <w:szCs w:val="24"/>
              </w:rPr>
              <w:fldChar w:fldCharType="end"/>
            </w:r>
          </w:hyperlink>
        </w:p>
        <w:p w14:paraId="39369AB9" w14:textId="77777777" w:rsidR="00F8431B" w:rsidRPr="00F8431B" w:rsidRDefault="00F8431B">
          <w:pPr>
            <w:pStyle w:val="TOC3"/>
            <w:tabs>
              <w:tab w:val="right" w:leader="dot" w:pos="9056"/>
            </w:tabs>
            <w:rPr>
              <w:rFonts w:ascii="Times New Roman" w:hAnsi="Times New Roman"/>
              <w:b/>
              <w:noProof/>
              <w:sz w:val="24"/>
              <w:szCs w:val="24"/>
            </w:rPr>
          </w:pPr>
          <w:hyperlink w:anchor="_Toc194903451" w:history="1">
            <w:r w:rsidRPr="00F8431B">
              <w:rPr>
                <w:rStyle w:val="Hyperlink"/>
                <w:rFonts w:ascii="Times New Roman" w:hAnsi="Times New Roman"/>
                <w:b/>
                <w:noProof/>
                <w:sz w:val="24"/>
                <w:szCs w:val="24"/>
              </w:rPr>
              <w:t>4.1.2 Effect of ESG Score on Debt-to-Equity Ratio</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_Toc194903451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22</w:t>
            </w:r>
            <w:r w:rsidRPr="00F8431B">
              <w:rPr>
                <w:rFonts w:ascii="Times New Roman" w:hAnsi="Times New Roman"/>
                <w:b/>
                <w:noProof/>
                <w:webHidden/>
                <w:sz w:val="24"/>
                <w:szCs w:val="24"/>
              </w:rPr>
              <w:fldChar w:fldCharType="end"/>
            </w:r>
          </w:hyperlink>
        </w:p>
        <w:p w14:paraId="7EDA76CE" w14:textId="77777777" w:rsidR="00F8431B" w:rsidRPr="00F8431B" w:rsidRDefault="00F8431B">
          <w:pPr>
            <w:pStyle w:val="TOC3"/>
            <w:tabs>
              <w:tab w:val="right" w:leader="dot" w:pos="9056"/>
            </w:tabs>
            <w:rPr>
              <w:rFonts w:ascii="Times New Roman" w:hAnsi="Times New Roman"/>
              <w:b/>
              <w:noProof/>
              <w:sz w:val="24"/>
              <w:szCs w:val="24"/>
            </w:rPr>
          </w:pPr>
          <w:hyperlink w:anchor="_Toc194903452" w:history="1">
            <w:r w:rsidRPr="00F8431B">
              <w:rPr>
                <w:rStyle w:val="Hyperlink"/>
                <w:rFonts w:ascii="Times New Roman" w:hAnsi="Times New Roman"/>
                <w:b/>
                <w:noProof/>
                <w:sz w:val="24"/>
                <w:szCs w:val="24"/>
              </w:rPr>
              <w:t>4.1.3 Interaction Effect of ESG and ICR on Debt-to-Equity Ratio</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_Toc194903452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22</w:t>
            </w:r>
            <w:r w:rsidRPr="00F8431B">
              <w:rPr>
                <w:rFonts w:ascii="Times New Roman" w:hAnsi="Times New Roman"/>
                <w:b/>
                <w:noProof/>
                <w:webHidden/>
                <w:sz w:val="24"/>
                <w:szCs w:val="24"/>
              </w:rPr>
              <w:fldChar w:fldCharType="end"/>
            </w:r>
          </w:hyperlink>
        </w:p>
        <w:p w14:paraId="1E0CC79B" w14:textId="77777777" w:rsidR="00F8431B" w:rsidRPr="00F8431B" w:rsidRDefault="00F8431B">
          <w:pPr>
            <w:pStyle w:val="TOC3"/>
            <w:tabs>
              <w:tab w:val="right" w:leader="dot" w:pos="9056"/>
            </w:tabs>
            <w:rPr>
              <w:rFonts w:ascii="Times New Roman" w:hAnsi="Times New Roman"/>
              <w:b/>
              <w:noProof/>
              <w:sz w:val="24"/>
              <w:szCs w:val="24"/>
            </w:rPr>
          </w:pPr>
          <w:hyperlink w:anchor="_Toc194903453" w:history="1">
            <w:r w:rsidRPr="00F8431B">
              <w:rPr>
                <w:rStyle w:val="Hyperlink"/>
                <w:rFonts w:ascii="Times New Roman" w:hAnsi="Times New Roman"/>
                <w:b/>
                <w:noProof/>
                <w:sz w:val="24"/>
                <w:szCs w:val="24"/>
              </w:rPr>
              <w:t>4.1.4 Model Fit and Overall Significance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_Toc194903453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23</w:t>
            </w:r>
            <w:r w:rsidRPr="00F8431B">
              <w:rPr>
                <w:rFonts w:ascii="Times New Roman" w:hAnsi="Times New Roman"/>
                <w:b/>
                <w:noProof/>
                <w:webHidden/>
                <w:sz w:val="24"/>
                <w:szCs w:val="24"/>
              </w:rPr>
              <w:fldChar w:fldCharType="end"/>
            </w:r>
          </w:hyperlink>
        </w:p>
        <w:p w14:paraId="6B524811" w14:textId="77777777" w:rsidR="00F8431B" w:rsidRPr="00F8431B" w:rsidRDefault="00F8431B">
          <w:pPr>
            <w:pStyle w:val="TOC2"/>
            <w:tabs>
              <w:tab w:val="right" w:leader="dot" w:pos="9056"/>
            </w:tabs>
            <w:rPr>
              <w:rFonts w:ascii="Times New Roman" w:hAnsi="Times New Roman"/>
              <w:b/>
              <w:noProof/>
              <w:sz w:val="24"/>
              <w:szCs w:val="24"/>
            </w:rPr>
          </w:pPr>
          <w:hyperlink w:anchor="_Toc194903454" w:history="1">
            <w:r w:rsidRPr="00F8431B">
              <w:rPr>
                <w:rStyle w:val="Hyperlink"/>
                <w:rFonts w:ascii="Times New Roman" w:hAnsi="Times New Roman"/>
                <w:b/>
                <w:bCs/>
                <w:noProof/>
                <w:sz w:val="24"/>
                <w:szCs w:val="24"/>
              </w:rPr>
              <w:t>4.2 Findings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_Toc194903454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23</w:t>
            </w:r>
            <w:r w:rsidRPr="00F8431B">
              <w:rPr>
                <w:rFonts w:ascii="Times New Roman" w:hAnsi="Times New Roman"/>
                <w:b/>
                <w:noProof/>
                <w:webHidden/>
                <w:sz w:val="24"/>
                <w:szCs w:val="24"/>
              </w:rPr>
              <w:fldChar w:fldCharType="end"/>
            </w:r>
          </w:hyperlink>
        </w:p>
        <w:p w14:paraId="4EA3AE4F" w14:textId="77777777" w:rsidR="00F8431B" w:rsidRPr="00F8431B" w:rsidRDefault="00F8431B">
          <w:pPr>
            <w:pStyle w:val="TOC3"/>
            <w:tabs>
              <w:tab w:val="right" w:leader="dot" w:pos="9056"/>
            </w:tabs>
            <w:rPr>
              <w:rFonts w:ascii="Times New Roman" w:hAnsi="Times New Roman"/>
              <w:b/>
              <w:noProof/>
              <w:sz w:val="24"/>
              <w:szCs w:val="24"/>
            </w:rPr>
          </w:pPr>
          <w:hyperlink w:anchor="_Toc194903455" w:history="1">
            <w:r w:rsidRPr="00F8431B">
              <w:rPr>
                <w:rStyle w:val="Hyperlink"/>
                <w:rFonts w:ascii="Times New Roman" w:hAnsi="Times New Roman"/>
                <w:b/>
                <w:noProof/>
                <w:sz w:val="24"/>
                <w:szCs w:val="24"/>
              </w:rPr>
              <w:t>4.2.1 Hypothesis Proved: ESG Score moderates the Relationship between ICR and DER.</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_Toc194903455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23</w:t>
            </w:r>
            <w:r w:rsidRPr="00F8431B">
              <w:rPr>
                <w:rFonts w:ascii="Times New Roman" w:hAnsi="Times New Roman"/>
                <w:b/>
                <w:noProof/>
                <w:webHidden/>
                <w:sz w:val="24"/>
                <w:szCs w:val="24"/>
              </w:rPr>
              <w:fldChar w:fldCharType="end"/>
            </w:r>
          </w:hyperlink>
        </w:p>
        <w:p w14:paraId="7862E988" w14:textId="77777777" w:rsidR="00F8431B" w:rsidRPr="00F8431B" w:rsidRDefault="00F8431B">
          <w:pPr>
            <w:pStyle w:val="TOC3"/>
            <w:tabs>
              <w:tab w:val="right" w:leader="dot" w:pos="9056"/>
            </w:tabs>
            <w:rPr>
              <w:rFonts w:ascii="Times New Roman" w:hAnsi="Times New Roman"/>
              <w:b/>
              <w:noProof/>
              <w:sz w:val="24"/>
              <w:szCs w:val="24"/>
            </w:rPr>
          </w:pPr>
          <w:hyperlink w:anchor="_Toc194903456" w:history="1">
            <w:r w:rsidRPr="00F8431B">
              <w:rPr>
                <w:rStyle w:val="Hyperlink"/>
                <w:rFonts w:ascii="Times New Roman" w:hAnsi="Times New Roman"/>
                <w:b/>
                <w:noProof/>
                <w:sz w:val="24"/>
                <w:szCs w:val="24"/>
              </w:rPr>
              <w:t>4.2.2 ESG as a Statistically Significant Moderator</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_Toc194903456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23</w:t>
            </w:r>
            <w:r w:rsidRPr="00F8431B">
              <w:rPr>
                <w:rFonts w:ascii="Times New Roman" w:hAnsi="Times New Roman"/>
                <w:b/>
                <w:noProof/>
                <w:webHidden/>
                <w:sz w:val="24"/>
                <w:szCs w:val="24"/>
              </w:rPr>
              <w:fldChar w:fldCharType="end"/>
            </w:r>
          </w:hyperlink>
        </w:p>
        <w:p w14:paraId="05A608A3" w14:textId="77777777" w:rsidR="00F8431B" w:rsidRPr="00F8431B" w:rsidRDefault="00F8431B">
          <w:pPr>
            <w:pStyle w:val="TOC2"/>
            <w:tabs>
              <w:tab w:val="right" w:leader="dot" w:pos="9056"/>
            </w:tabs>
            <w:rPr>
              <w:rFonts w:ascii="Times New Roman" w:hAnsi="Times New Roman"/>
              <w:b/>
              <w:noProof/>
              <w:sz w:val="24"/>
              <w:szCs w:val="24"/>
            </w:rPr>
          </w:pPr>
          <w:hyperlink w:anchor="_Toc194903457" w:history="1">
            <w:r w:rsidRPr="00F8431B">
              <w:rPr>
                <w:rStyle w:val="Hyperlink"/>
                <w:rFonts w:ascii="Times New Roman" w:hAnsi="Times New Roman"/>
                <w:b/>
                <w:bCs/>
                <w:noProof/>
                <w:sz w:val="24"/>
                <w:szCs w:val="24"/>
              </w:rPr>
              <w:t>4.3 Implications for the Oil and Gas Industry</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_Toc194903457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24</w:t>
            </w:r>
            <w:r w:rsidRPr="00F8431B">
              <w:rPr>
                <w:rFonts w:ascii="Times New Roman" w:hAnsi="Times New Roman"/>
                <w:b/>
                <w:noProof/>
                <w:webHidden/>
                <w:sz w:val="24"/>
                <w:szCs w:val="24"/>
              </w:rPr>
              <w:fldChar w:fldCharType="end"/>
            </w:r>
          </w:hyperlink>
        </w:p>
        <w:p w14:paraId="4DA5FD00" w14:textId="77777777" w:rsidR="00F8431B" w:rsidRPr="00F8431B" w:rsidRDefault="00F8431B">
          <w:pPr>
            <w:pStyle w:val="TOC3"/>
            <w:tabs>
              <w:tab w:val="right" w:leader="dot" w:pos="9056"/>
            </w:tabs>
            <w:rPr>
              <w:rFonts w:ascii="Times New Roman" w:hAnsi="Times New Roman"/>
              <w:b/>
              <w:noProof/>
              <w:sz w:val="24"/>
              <w:szCs w:val="24"/>
            </w:rPr>
          </w:pPr>
          <w:hyperlink w:anchor="_Toc194903458" w:history="1">
            <w:r w:rsidRPr="00F8431B">
              <w:rPr>
                <w:rStyle w:val="Hyperlink"/>
                <w:rFonts w:ascii="Times New Roman" w:hAnsi="Times New Roman"/>
                <w:b/>
                <w:noProof/>
                <w:sz w:val="24"/>
                <w:szCs w:val="24"/>
              </w:rPr>
              <w:t>4.3.1 Shifting Capital Structure Preferences in the Oil and Gas Sector</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_Toc194903458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24</w:t>
            </w:r>
            <w:r w:rsidRPr="00F8431B">
              <w:rPr>
                <w:rFonts w:ascii="Times New Roman" w:hAnsi="Times New Roman"/>
                <w:b/>
                <w:noProof/>
                <w:webHidden/>
                <w:sz w:val="24"/>
                <w:szCs w:val="24"/>
              </w:rPr>
              <w:fldChar w:fldCharType="end"/>
            </w:r>
          </w:hyperlink>
        </w:p>
        <w:p w14:paraId="73E7D425" w14:textId="77777777" w:rsidR="00F8431B" w:rsidRPr="00F8431B" w:rsidRDefault="00F8431B">
          <w:pPr>
            <w:pStyle w:val="TOC3"/>
            <w:tabs>
              <w:tab w:val="right" w:leader="dot" w:pos="9056"/>
            </w:tabs>
            <w:rPr>
              <w:rFonts w:ascii="Times New Roman" w:hAnsi="Times New Roman"/>
              <w:b/>
              <w:noProof/>
              <w:sz w:val="24"/>
              <w:szCs w:val="24"/>
            </w:rPr>
          </w:pPr>
          <w:hyperlink w:anchor="_Toc194903459" w:history="1">
            <w:r w:rsidRPr="00F8431B">
              <w:rPr>
                <w:rStyle w:val="Hyperlink"/>
                <w:rFonts w:ascii="Times New Roman" w:hAnsi="Times New Roman"/>
                <w:b/>
                <w:noProof/>
                <w:sz w:val="24"/>
                <w:szCs w:val="24"/>
              </w:rPr>
              <w:t>4.3.2 Investor and Lender Sentiment and Capital Market Dynamics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_Toc194903459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24</w:t>
            </w:r>
            <w:r w:rsidRPr="00F8431B">
              <w:rPr>
                <w:rFonts w:ascii="Times New Roman" w:hAnsi="Times New Roman"/>
                <w:b/>
                <w:noProof/>
                <w:webHidden/>
                <w:sz w:val="24"/>
                <w:szCs w:val="24"/>
              </w:rPr>
              <w:fldChar w:fldCharType="end"/>
            </w:r>
          </w:hyperlink>
        </w:p>
        <w:p w14:paraId="1FC285E8" w14:textId="77777777" w:rsidR="00F8431B" w:rsidRPr="00F8431B" w:rsidRDefault="00F8431B">
          <w:pPr>
            <w:pStyle w:val="TOC3"/>
            <w:tabs>
              <w:tab w:val="right" w:leader="dot" w:pos="9056"/>
            </w:tabs>
            <w:rPr>
              <w:rFonts w:ascii="Times New Roman" w:hAnsi="Times New Roman"/>
              <w:b/>
              <w:noProof/>
              <w:sz w:val="24"/>
              <w:szCs w:val="24"/>
            </w:rPr>
          </w:pPr>
          <w:hyperlink w:anchor="_Toc194903460" w:history="1">
            <w:r w:rsidRPr="00F8431B">
              <w:rPr>
                <w:rStyle w:val="Hyperlink"/>
                <w:rFonts w:ascii="Times New Roman" w:hAnsi="Times New Roman"/>
                <w:b/>
                <w:noProof/>
                <w:sz w:val="24"/>
                <w:szCs w:val="24"/>
              </w:rPr>
              <w:t>4.3.3 Regulatory and Policy Considerations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_Toc194903460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25</w:t>
            </w:r>
            <w:r w:rsidRPr="00F8431B">
              <w:rPr>
                <w:rFonts w:ascii="Times New Roman" w:hAnsi="Times New Roman"/>
                <w:b/>
                <w:noProof/>
                <w:webHidden/>
                <w:sz w:val="24"/>
                <w:szCs w:val="24"/>
              </w:rPr>
              <w:fldChar w:fldCharType="end"/>
            </w:r>
          </w:hyperlink>
        </w:p>
        <w:p w14:paraId="0497CF81" w14:textId="77777777" w:rsidR="00F8431B" w:rsidRPr="00F8431B" w:rsidRDefault="00F8431B">
          <w:pPr>
            <w:pStyle w:val="TOC1"/>
            <w:tabs>
              <w:tab w:val="right" w:leader="dot" w:pos="9056"/>
            </w:tabs>
            <w:rPr>
              <w:rFonts w:ascii="Times New Roman" w:hAnsi="Times New Roman"/>
              <w:b/>
              <w:noProof/>
              <w:sz w:val="24"/>
              <w:szCs w:val="24"/>
            </w:rPr>
          </w:pPr>
          <w:hyperlink w:anchor="_Toc194903461" w:history="1">
            <w:r w:rsidRPr="00F8431B">
              <w:rPr>
                <w:rStyle w:val="Hyperlink"/>
                <w:rFonts w:ascii="Times New Roman" w:hAnsi="Times New Roman"/>
                <w:b/>
                <w:noProof/>
                <w:sz w:val="24"/>
                <w:szCs w:val="24"/>
              </w:rPr>
              <w:t>Chapter 5. Conclusion</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_Toc194903461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25</w:t>
            </w:r>
            <w:r w:rsidRPr="00F8431B">
              <w:rPr>
                <w:rFonts w:ascii="Times New Roman" w:hAnsi="Times New Roman"/>
                <w:b/>
                <w:noProof/>
                <w:webHidden/>
                <w:sz w:val="24"/>
                <w:szCs w:val="24"/>
              </w:rPr>
              <w:fldChar w:fldCharType="end"/>
            </w:r>
          </w:hyperlink>
        </w:p>
        <w:p w14:paraId="4F004082" w14:textId="77777777" w:rsidR="00F8431B" w:rsidRPr="00F8431B" w:rsidRDefault="00F8431B">
          <w:pPr>
            <w:pStyle w:val="TOC2"/>
            <w:tabs>
              <w:tab w:val="right" w:leader="dot" w:pos="9056"/>
            </w:tabs>
            <w:rPr>
              <w:rFonts w:ascii="Times New Roman" w:hAnsi="Times New Roman"/>
              <w:b/>
              <w:noProof/>
              <w:sz w:val="24"/>
              <w:szCs w:val="24"/>
            </w:rPr>
          </w:pPr>
          <w:hyperlink w:anchor="_Toc194903462" w:history="1">
            <w:r w:rsidRPr="00F8431B">
              <w:rPr>
                <w:rStyle w:val="Hyperlink"/>
                <w:rFonts w:ascii="Times New Roman" w:hAnsi="Times New Roman"/>
                <w:b/>
                <w:bCs/>
                <w:noProof/>
                <w:sz w:val="24"/>
                <w:szCs w:val="24"/>
              </w:rPr>
              <w:t>5.1 Limitations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_Toc194903462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25</w:t>
            </w:r>
            <w:r w:rsidRPr="00F8431B">
              <w:rPr>
                <w:rFonts w:ascii="Times New Roman" w:hAnsi="Times New Roman"/>
                <w:b/>
                <w:noProof/>
                <w:webHidden/>
                <w:sz w:val="24"/>
                <w:szCs w:val="24"/>
              </w:rPr>
              <w:fldChar w:fldCharType="end"/>
            </w:r>
          </w:hyperlink>
        </w:p>
        <w:p w14:paraId="57B7A15A" w14:textId="77777777" w:rsidR="00F8431B" w:rsidRPr="00F8431B" w:rsidRDefault="00F8431B">
          <w:pPr>
            <w:pStyle w:val="TOC2"/>
            <w:tabs>
              <w:tab w:val="right" w:leader="dot" w:pos="9056"/>
            </w:tabs>
            <w:rPr>
              <w:rFonts w:ascii="Times New Roman" w:hAnsi="Times New Roman"/>
              <w:b/>
              <w:noProof/>
              <w:sz w:val="24"/>
              <w:szCs w:val="24"/>
            </w:rPr>
          </w:pPr>
          <w:hyperlink w:anchor="_Toc194903463" w:history="1">
            <w:r w:rsidRPr="00F8431B">
              <w:rPr>
                <w:rStyle w:val="Hyperlink"/>
                <w:rFonts w:ascii="Times New Roman" w:hAnsi="Times New Roman"/>
                <w:b/>
                <w:noProof/>
                <w:sz w:val="24"/>
                <w:szCs w:val="24"/>
              </w:rPr>
              <w:t>Despite the robustness of the findings, certain limitations existed, such as;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_Toc194903463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25</w:t>
            </w:r>
            <w:r w:rsidRPr="00F8431B">
              <w:rPr>
                <w:rFonts w:ascii="Times New Roman" w:hAnsi="Times New Roman"/>
                <w:b/>
                <w:noProof/>
                <w:webHidden/>
                <w:sz w:val="24"/>
                <w:szCs w:val="24"/>
              </w:rPr>
              <w:fldChar w:fldCharType="end"/>
            </w:r>
          </w:hyperlink>
        </w:p>
        <w:p w14:paraId="3AB5E9A4" w14:textId="77777777" w:rsidR="00F8431B" w:rsidRPr="00F8431B" w:rsidRDefault="00F8431B">
          <w:pPr>
            <w:pStyle w:val="TOC2"/>
            <w:tabs>
              <w:tab w:val="right" w:leader="dot" w:pos="9056"/>
            </w:tabs>
            <w:rPr>
              <w:rFonts w:ascii="Times New Roman" w:hAnsi="Times New Roman"/>
              <w:b/>
              <w:noProof/>
              <w:sz w:val="24"/>
              <w:szCs w:val="24"/>
            </w:rPr>
          </w:pPr>
          <w:hyperlink w:anchor="_Toc194903464" w:history="1">
            <w:r w:rsidRPr="00F8431B">
              <w:rPr>
                <w:rStyle w:val="Hyperlink"/>
                <w:rFonts w:ascii="Times New Roman" w:hAnsi="Times New Roman"/>
                <w:b/>
                <w:bCs/>
                <w:noProof/>
                <w:sz w:val="24"/>
                <w:szCs w:val="24"/>
              </w:rPr>
              <w:t>5.2 Future Scope</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_Toc194903464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26</w:t>
            </w:r>
            <w:r w:rsidRPr="00F8431B">
              <w:rPr>
                <w:rFonts w:ascii="Times New Roman" w:hAnsi="Times New Roman"/>
                <w:b/>
                <w:noProof/>
                <w:webHidden/>
                <w:sz w:val="24"/>
                <w:szCs w:val="24"/>
              </w:rPr>
              <w:fldChar w:fldCharType="end"/>
            </w:r>
          </w:hyperlink>
        </w:p>
        <w:p w14:paraId="6FD0FA4A" w14:textId="77777777" w:rsidR="00F8431B" w:rsidRPr="00F8431B" w:rsidRDefault="00F8431B">
          <w:pPr>
            <w:pStyle w:val="TOC2"/>
            <w:tabs>
              <w:tab w:val="right" w:leader="dot" w:pos="9056"/>
            </w:tabs>
            <w:rPr>
              <w:rFonts w:ascii="Times New Roman" w:hAnsi="Times New Roman"/>
              <w:b/>
              <w:noProof/>
              <w:sz w:val="24"/>
              <w:szCs w:val="24"/>
            </w:rPr>
          </w:pPr>
          <w:hyperlink w:anchor="_Toc194903465" w:history="1">
            <w:r w:rsidRPr="00F8431B">
              <w:rPr>
                <w:rStyle w:val="Hyperlink"/>
                <w:rFonts w:ascii="Times New Roman" w:hAnsi="Times New Roman"/>
                <w:b/>
                <w:bCs/>
                <w:noProof/>
                <w:sz w:val="24"/>
                <w:szCs w:val="24"/>
              </w:rPr>
              <w:t>References</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_Toc194903465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27</w:t>
            </w:r>
            <w:r w:rsidRPr="00F8431B">
              <w:rPr>
                <w:rFonts w:ascii="Times New Roman" w:hAnsi="Times New Roman"/>
                <w:b/>
                <w:noProof/>
                <w:webHidden/>
                <w:sz w:val="24"/>
                <w:szCs w:val="24"/>
              </w:rPr>
              <w:fldChar w:fldCharType="end"/>
            </w:r>
          </w:hyperlink>
        </w:p>
        <w:p w14:paraId="3F1ECE30" w14:textId="77777777" w:rsidR="00F8431B" w:rsidRPr="00F8431B" w:rsidRDefault="00F8431B">
          <w:pPr>
            <w:pStyle w:val="TOC2"/>
            <w:tabs>
              <w:tab w:val="right" w:leader="dot" w:pos="9056"/>
            </w:tabs>
            <w:rPr>
              <w:rFonts w:ascii="Times New Roman" w:hAnsi="Times New Roman"/>
              <w:b/>
              <w:noProof/>
              <w:sz w:val="24"/>
              <w:szCs w:val="24"/>
            </w:rPr>
          </w:pPr>
          <w:hyperlink w:anchor="_Toc194903466" w:history="1">
            <w:r w:rsidRPr="00F8431B">
              <w:rPr>
                <w:rStyle w:val="Hyperlink"/>
                <w:rFonts w:ascii="Times New Roman" w:hAnsi="Times New Roman"/>
                <w:b/>
                <w:bCs/>
                <w:noProof/>
                <w:sz w:val="24"/>
                <w:szCs w:val="24"/>
              </w:rPr>
              <w:t>TURNITIN PLAGIARISM REPORT</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_Toc194903466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31</w:t>
            </w:r>
            <w:r w:rsidRPr="00F8431B">
              <w:rPr>
                <w:rFonts w:ascii="Times New Roman" w:hAnsi="Times New Roman"/>
                <w:b/>
                <w:noProof/>
                <w:webHidden/>
                <w:sz w:val="24"/>
                <w:szCs w:val="24"/>
              </w:rPr>
              <w:fldChar w:fldCharType="end"/>
            </w:r>
          </w:hyperlink>
        </w:p>
        <w:p w14:paraId="1BD8D118" w14:textId="77777777" w:rsidR="00F8431B" w:rsidRPr="00F8431B" w:rsidRDefault="00F8431B">
          <w:pPr>
            <w:pStyle w:val="TOC3"/>
            <w:tabs>
              <w:tab w:val="right" w:leader="dot" w:pos="9056"/>
            </w:tabs>
            <w:rPr>
              <w:rFonts w:ascii="Times New Roman" w:hAnsi="Times New Roman"/>
              <w:b/>
              <w:noProof/>
              <w:sz w:val="24"/>
              <w:szCs w:val="24"/>
            </w:rPr>
          </w:pPr>
          <w:hyperlink w:anchor="_Toc194903467" w:history="1">
            <w:r w:rsidRPr="00F8431B">
              <w:rPr>
                <w:rStyle w:val="Hyperlink"/>
                <w:rFonts w:ascii="Times New Roman" w:hAnsi="Times New Roman"/>
                <w:b/>
                <w:noProof/>
                <w:sz w:val="24"/>
                <w:szCs w:val="24"/>
              </w:rPr>
              <w:t>Plagiarism Summary</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_Toc194903467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31</w:t>
            </w:r>
            <w:r w:rsidRPr="00F8431B">
              <w:rPr>
                <w:rFonts w:ascii="Times New Roman" w:hAnsi="Times New Roman"/>
                <w:b/>
                <w:noProof/>
                <w:webHidden/>
                <w:sz w:val="24"/>
                <w:szCs w:val="24"/>
              </w:rPr>
              <w:fldChar w:fldCharType="end"/>
            </w:r>
          </w:hyperlink>
        </w:p>
        <w:p w14:paraId="67DA4E66" w14:textId="77777777" w:rsidR="00F8431B" w:rsidRPr="00F8431B" w:rsidRDefault="00F8431B">
          <w:pPr>
            <w:pStyle w:val="TOC3"/>
            <w:tabs>
              <w:tab w:val="right" w:leader="dot" w:pos="9056"/>
            </w:tabs>
            <w:rPr>
              <w:rFonts w:ascii="Times New Roman" w:hAnsi="Times New Roman"/>
              <w:b/>
              <w:noProof/>
              <w:sz w:val="24"/>
              <w:szCs w:val="24"/>
            </w:rPr>
          </w:pPr>
          <w:hyperlink w:anchor="_Toc194903468" w:history="1">
            <w:r w:rsidRPr="00F8431B">
              <w:rPr>
                <w:rStyle w:val="Hyperlink"/>
                <w:rFonts w:ascii="Times New Roman" w:hAnsi="Times New Roman"/>
                <w:b/>
                <w:noProof/>
                <w:sz w:val="24"/>
                <w:szCs w:val="24"/>
              </w:rPr>
              <w:t>AI Detection Summary</w:t>
            </w:r>
            <w:r w:rsidRPr="00F8431B">
              <w:rPr>
                <w:rFonts w:ascii="Times New Roman" w:hAnsi="Times New Roman"/>
                <w:b/>
                <w:noProof/>
                <w:webHidden/>
                <w:sz w:val="24"/>
                <w:szCs w:val="24"/>
              </w:rPr>
              <w:tab/>
            </w:r>
            <w:r w:rsidRPr="00F8431B">
              <w:rPr>
                <w:rFonts w:ascii="Times New Roman" w:hAnsi="Times New Roman"/>
                <w:b/>
                <w:noProof/>
                <w:webHidden/>
                <w:sz w:val="24"/>
                <w:szCs w:val="24"/>
              </w:rPr>
              <w:fldChar w:fldCharType="begin"/>
            </w:r>
            <w:r w:rsidRPr="00F8431B">
              <w:rPr>
                <w:rFonts w:ascii="Times New Roman" w:hAnsi="Times New Roman"/>
                <w:b/>
                <w:noProof/>
                <w:webHidden/>
                <w:sz w:val="24"/>
                <w:szCs w:val="24"/>
              </w:rPr>
              <w:instrText xml:space="preserve"> PAGEREF _Toc194903468 \h </w:instrText>
            </w:r>
            <w:r w:rsidRPr="00F8431B">
              <w:rPr>
                <w:rFonts w:ascii="Times New Roman" w:hAnsi="Times New Roman"/>
                <w:b/>
                <w:noProof/>
                <w:webHidden/>
                <w:sz w:val="24"/>
                <w:szCs w:val="24"/>
              </w:rPr>
            </w:r>
            <w:r w:rsidRPr="00F8431B">
              <w:rPr>
                <w:rFonts w:ascii="Times New Roman" w:hAnsi="Times New Roman"/>
                <w:b/>
                <w:noProof/>
                <w:webHidden/>
                <w:sz w:val="24"/>
                <w:szCs w:val="24"/>
              </w:rPr>
              <w:fldChar w:fldCharType="separate"/>
            </w:r>
            <w:r w:rsidR="0033720D">
              <w:rPr>
                <w:rFonts w:ascii="Times New Roman" w:hAnsi="Times New Roman"/>
                <w:b/>
                <w:noProof/>
                <w:webHidden/>
                <w:sz w:val="24"/>
                <w:szCs w:val="24"/>
              </w:rPr>
              <w:t>31</w:t>
            </w:r>
            <w:r w:rsidRPr="00F8431B">
              <w:rPr>
                <w:rFonts w:ascii="Times New Roman" w:hAnsi="Times New Roman"/>
                <w:b/>
                <w:noProof/>
                <w:webHidden/>
                <w:sz w:val="24"/>
                <w:szCs w:val="24"/>
              </w:rPr>
              <w:fldChar w:fldCharType="end"/>
            </w:r>
          </w:hyperlink>
        </w:p>
        <w:p w14:paraId="3EE26DCE" w14:textId="77777777" w:rsidR="007D145F" w:rsidRPr="00557024" w:rsidRDefault="007D145F" w:rsidP="007D145F">
          <w:pPr>
            <w:rPr>
              <w:b/>
              <w:sz w:val="24"/>
              <w:szCs w:val="24"/>
            </w:rPr>
          </w:pPr>
          <w:r w:rsidRPr="00F8431B">
            <w:rPr>
              <w:b/>
              <w:bCs/>
              <w:noProof/>
              <w:sz w:val="24"/>
              <w:szCs w:val="24"/>
            </w:rPr>
            <w:fldChar w:fldCharType="end"/>
          </w:r>
        </w:p>
      </w:sdtContent>
    </w:sdt>
    <w:p w14:paraId="0F9B4AA3" w14:textId="77777777" w:rsidR="007D145F" w:rsidRPr="00557024" w:rsidRDefault="007D145F" w:rsidP="007D145F">
      <w:pPr>
        <w:rPr>
          <w:b/>
          <w:sz w:val="24"/>
          <w:szCs w:val="24"/>
        </w:rPr>
      </w:pPr>
    </w:p>
    <w:p w14:paraId="538AF7AD" w14:textId="77777777" w:rsidR="007D145F" w:rsidRPr="00557024" w:rsidRDefault="007D145F" w:rsidP="007D145F">
      <w:pPr>
        <w:jc w:val="center"/>
        <w:rPr>
          <w:b/>
          <w:bCs/>
          <w:sz w:val="24"/>
          <w:szCs w:val="24"/>
        </w:rPr>
      </w:pPr>
    </w:p>
    <w:p w14:paraId="154C84FD" w14:textId="77777777" w:rsidR="007D145F" w:rsidRDefault="007D145F" w:rsidP="007D145F">
      <w:pPr>
        <w:jc w:val="center"/>
        <w:rPr>
          <w:b/>
          <w:bCs/>
          <w:sz w:val="32"/>
          <w:szCs w:val="32"/>
        </w:rPr>
      </w:pPr>
    </w:p>
    <w:p w14:paraId="339688EC" w14:textId="77777777" w:rsidR="007D145F" w:rsidRDefault="007D145F" w:rsidP="007D145F">
      <w:pPr>
        <w:jc w:val="center"/>
        <w:rPr>
          <w:b/>
          <w:bCs/>
          <w:sz w:val="32"/>
          <w:szCs w:val="32"/>
        </w:rPr>
      </w:pPr>
    </w:p>
    <w:p w14:paraId="310F8340" w14:textId="77777777" w:rsidR="007D145F" w:rsidRDefault="007D145F" w:rsidP="007D145F">
      <w:pPr>
        <w:jc w:val="center"/>
        <w:rPr>
          <w:b/>
          <w:bCs/>
          <w:sz w:val="32"/>
          <w:szCs w:val="32"/>
        </w:rPr>
      </w:pPr>
    </w:p>
    <w:p w14:paraId="3B2B0CF6" w14:textId="77777777" w:rsidR="007D145F" w:rsidRDefault="007D145F" w:rsidP="007D145F">
      <w:pPr>
        <w:jc w:val="center"/>
        <w:rPr>
          <w:b/>
          <w:bCs/>
          <w:sz w:val="32"/>
          <w:szCs w:val="32"/>
        </w:rPr>
      </w:pPr>
    </w:p>
    <w:p w14:paraId="7D9D039E" w14:textId="77777777" w:rsidR="007D145F" w:rsidRDefault="007D145F" w:rsidP="007D145F">
      <w:pPr>
        <w:jc w:val="center"/>
        <w:rPr>
          <w:b/>
          <w:bCs/>
          <w:sz w:val="32"/>
          <w:szCs w:val="32"/>
        </w:rPr>
      </w:pPr>
    </w:p>
    <w:p w14:paraId="0BA0C4D4" w14:textId="77777777" w:rsidR="007D145F" w:rsidRDefault="007D145F" w:rsidP="007D145F">
      <w:pPr>
        <w:jc w:val="center"/>
        <w:rPr>
          <w:b/>
          <w:bCs/>
          <w:sz w:val="32"/>
          <w:szCs w:val="32"/>
        </w:rPr>
      </w:pPr>
    </w:p>
    <w:p w14:paraId="31ABB961" w14:textId="77777777" w:rsidR="007D145F" w:rsidRDefault="007D145F" w:rsidP="007D145F">
      <w:pPr>
        <w:jc w:val="center"/>
        <w:rPr>
          <w:b/>
          <w:bCs/>
          <w:sz w:val="32"/>
          <w:szCs w:val="32"/>
        </w:rPr>
      </w:pPr>
    </w:p>
    <w:p w14:paraId="23F39934" w14:textId="77777777" w:rsidR="007D145F" w:rsidRDefault="007D145F" w:rsidP="007D145F">
      <w:pPr>
        <w:jc w:val="center"/>
        <w:rPr>
          <w:b/>
          <w:bCs/>
          <w:sz w:val="32"/>
          <w:szCs w:val="32"/>
        </w:rPr>
      </w:pPr>
    </w:p>
    <w:p w14:paraId="534926FF" w14:textId="77777777" w:rsidR="007D145F" w:rsidRDefault="007D145F" w:rsidP="007D145F">
      <w:pPr>
        <w:jc w:val="center"/>
        <w:rPr>
          <w:b/>
          <w:bCs/>
          <w:sz w:val="32"/>
          <w:szCs w:val="32"/>
        </w:rPr>
      </w:pPr>
    </w:p>
    <w:p w14:paraId="3869ECF0" w14:textId="77777777" w:rsidR="007D145F" w:rsidRDefault="007D145F" w:rsidP="007D145F">
      <w:pPr>
        <w:jc w:val="center"/>
        <w:rPr>
          <w:b/>
          <w:bCs/>
          <w:sz w:val="32"/>
          <w:szCs w:val="32"/>
        </w:rPr>
      </w:pPr>
    </w:p>
    <w:p w14:paraId="52B38708" w14:textId="77777777" w:rsidR="007D145F" w:rsidRDefault="007D145F" w:rsidP="007D145F">
      <w:pPr>
        <w:jc w:val="center"/>
        <w:rPr>
          <w:b/>
          <w:bCs/>
          <w:sz w:val="32"/>
          <w:szCs w:val="32"/>
        </w:rPr>
      </w:pPr>
    </w:p>
    <w:p w14:paraId="4C50218F" w14:textId="77777777" w:rsidR="007D145F" w:rsidRDefault="007D145F" w:rsidP="007D145F">
      <w:pPr>
        <w:jc w:val="center"/>
        <w:rPr>
          <w:b/>
          <w:bCs/>
          <w:sz w:val="32"/>
          <w:szCs w:val="32"/>
        </w:rPr>
      </w:pPr>
    </w:p>
    <w:p w14:paraId="72DB1CB8" w14:textId="77777777" w:rsidR="007D145F" w:rsidRDefault="007D145F" w:rsidP="007D145F">
      <w:pPr>
        <w:jc w:val="center"/>
        <w:rPr>
          <w:b/>
          <w:bCs/>
          <w:sz w:val="32"/>
          <w:szCs w:val="32"/>
        </w:rPr>
      </w:pPr>
    </w:p>
    <w:p w14:paraId="556414E5" w14:textId="77777777" w:rsidR="007D145F" w:rsidRDefault="007D145F" w:rsidP="007D145F">
      <w:pPr>
        <w:jc w:val="center"/>
        <w:rPr>
          <w:b/>
          <w:bCs/>
          <w:sz w:val="32"/>
          <w:szCs w:val="32"/>
        </w:rPr>
      </w:pPr>
    </w:p>
    <w:p w14:paraId="4560919B" w14:textId="77777777" w:rsidR="007D145F" w:rsidRDefault="007D145F" w:rsidP="007D145F">
      <w:pPr>
        <w:jc w:val="center"/>
        <w:rPr>
          <w:b/>
          <w:bCs/>
          <w:sz w:val="32"/>
          <w:szCs w:val="32"/>
        </w:rPr>
      </w:pPr>
    </w:p>
    <w:p w14:paraId="39245B1E" w14:textId="77777777" w:rsidR="007D145F" w:rsidRDefault="007D145F" w:rsidP="007D145F">
      <w:pPr>
        <w:rPr>
          <w:b/>
          <w:bCs/>
          <w:sz w:val="32"/>
          <w:szCs w:val="32"/>
        </w:rPr>
      </w:pPr>
    </w:p>
    <w:p w14:paraId="42C86484" w14:textId="77777777" w:rsidR="007D145F" w:rsidRDefault="007D145F" w:rsidP="007D145F">
      <w:pPr>
        <w:jc w:val="center"/>
        <w:rPr>
          <w:b/>
          <w:bCs/>
          <w:sz w:val="32"/>
          <w:szCs w:val="32"/>
        </w:rPr>
      </w:pPr>
    </w:p>
    <w:p w14:paraId="4D6B4514" w14:textId="77777777" w:rsidR="00557024" w:rsidRDefault="00557024" w:rsidP="007D145F">
      <w:pPr>
        <w:jc w:val="center"/>
        <w:rPr>
          <w:b/>
          <w:bCs/>
          <w:sz w:val="32"/>
          <w:szCs w:val="32"/>
        </w:rPr>
      </w:pPr>
    </w:p>
    <w:p w14:paraId="2745E8AF" w14:textId="77777777" w:rsidR="00557024" w:rsidRDefault="00557024" w:rsidP="007D145F">
      <w:pPr>
        <w:jc w:val="center"/>
        <w:rPr>
          <w:b/>
          <w:bCs/>
          <w:sz w:val="32"/>
          <w:szCs w:val="32"/>
        </w:rPr>
      </w:pPr>
    </w:p>
    <w:p w14:paraId="3FFC41F0" w14:textId="77777777" w:rsidR="00557024" w:rsidRDefault="00557024" w:rsidP="007D145F">
      <w:pPr>
        <w:jc w:val="center"/>
        <w:rPr>
          <w:b/>
          <w:bCs/>
          <w:sz w:val="32"/>
          <w:szCs w:val="32"/>
        </w:rPr>
      </w:pPr>
    </w:p>
    <w:p w14:paraId="4B7A6F26" w14:textId="77777777" w:rsidR="00557024" w:rsidRDefault="00557024" w:rsidP="007D145F">
      <w:pPr>
        <w:jc w:val="center"/>
        <w:rPr>
          <w:b/>
          <w:bCs/>
          <w:sz w:val="32"/>
          <w:szCs w:val="32"/>
        </w:rPr>
      </w:pPr>
    </w:p>
    <w:p w14:paraId="60119D82" w14:textId="77777777" w:rsidR="00201C5B" w:rsidRDefault="00201C5B" w:rsidP="007D145F">
      <w:pPr>
        <w:jc w:val="center"/>
        <w:rPr>
          <w:b/>
          <w:bCs/>
          <w:sz w:val="32"/>
          <w:szCs w:val="32"/>
        </w:rPr>
      </w:pPr>
    </w:p>
    <w:p w14:paraId="1CC4F4E5" w14:textId="77777777" w:rsidR="007D145F" w:rsidRPr="00A96B10" w:rsidRDefault="007D145F" w:rsidP="007D145F">
      <w:pPr>
        <w:jc w:val="center"/>
        <w:rPr>
          <w:b/>
          <w:bCs/>
          <w:sz w:val="32"/>
          <w:szCs w:val="32"/>
        </w:rPr>
      </w:pPr>
      <w:r w:rsidRPr="00A96B10">
        <w:rPr>
          <w:b/>
          <w:bCs/>
          <w:sz w:val="32"/>
          <w:szCs w:val="32"/>
        </w:rPr>
        <w:t>LIST OF FIGURES</w:t>
      </w:r>
    </w:p>
    <w:p w14:paraId="4AF3BFF8" w14:textId="77777777" w:rsidR="007D145F" w:rsidRPr="004E3A96" w:rsidRDefault="007D145F" w:rsidP="007D145F">
      <w:pPr>
        <w:rPr>
          <w:noProof/>
          <w:sz w:val="24"/>
          <w:szCs w:val="24"/>
        </w:rPr>
      </w:pPr>
      <w:r w:rsidRPr="004E3A96">
        <w:rPr>
          <w:sz w:val="24"/>
          <w:szCs w:val="24"/>
        </w:rPr>
        <w:fldChar w:fldCharType="begin"/>
      </w:r>
      <w:r w:rsidRPr="004E3A96">
        <w:rPr>
          <w:sz w:val="24"/>
          <w:szCs w:val="24"/>
        </w:rPr>
        <w:instrText xml:space="preserve"> TOC \h \z \c "Figure" </w:instrText>
      </w:r>
      <w:r w:rsidRPr="004E3A96">
        <w:rPr>
          <w:sz w:val="24"/>
          <w:szCs w:val="24"/>
        </w:rPr>
        <w:fldChar w:fldCharType="separate"/>
      </w:r>
    </w:p>
    <w:p w14:paraId="04187194" w14:textId="47896789" w:rsidR="007D145F" w:rsidRPr="004E3A96" w:rsidRDefault="007D145F" w:rsidP="007D145F">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194667095" w:history="1">
        <w:r w:rsidRPr="004E3A96">
          <w:rPr>
            <w:rStyle w:val="Hyperlink"/>
            <w:rFonts w:ascii="Times New Roman" w:hAnsi="Times New Roman" w:cs="Times New Roman"/>
            <w:noProof/>
            <w:sz w:val="24"/>
            <w:szCs w:val="24"/>
          </w:rPr>
          <w:t>Figure 1: Conceptual Model of the Study</w:t>
        </w:r>
        <w:r w:rsidRPr="004E3A96">
          <w:rPr>
            <w:rFonts w:ascii="Times New Roman" w:hAnsi="Times New Roman" w:cs="Times New Roman"/>
            <w:noProof/>
            <w:webHidden/>
            <w:sz w:val="24"/>
            <w:szCs w:val="24"/>
          </w:rPr>
          <w:tab/>
        </w:r>
        <w:r w:rsidRPr="004E3A96">
          <w:rPr>
            <w:rFonts w:ascii="Times New Roman" w:hAnsi="Times New Roman" w:cs="Times New Roman"/>
            <w:noProof/>
            <w:webHidden/>
            <w:sz w:val="24"/>
            <w:szCs w:val="24"/>
          </w:rPr>
          <w:fldChar w:fldCharType="begin"/>
        </w:r>
        <w:r w:rsidRPr="004E3A96">
          <w:rPr>
            <w:rFonts w:ascii="Times New Roman" w:hAnsi="Times New Roman" w:cs="Times New Roman"/>
            <w:noProof/>
            <w:webHidden/>
            <w:sz w:val="24"/>
            <w:szCs w:val="24"/>
          </w:rPr>
          <w:instrText xml:space="preserve"> PAGEREF _Toc194667095 \h </w:instrText>
        </w:r>
        <w:r w:rsidRPr="004E3A96">
          <w:rPr>
            <w:rFonts w:ascii="Times New Roman" w:hAnsi="Times New Roman" w:cs="Times New Roman"/>
            <w:noProof/>
            <w:webHidden/>
            <w:sz w:val="24"/>
            <w:szCs w:val="24"/>
          </w:rPr>
        </w:r>
        <w:r w:rsidRPr="004E3A96">
          <w:rPr>
            <w:rFonts w:ascii="Times New Roman" w:hAnsi="Times New Roman" w:cs="Times New Roman"/>
            <w:noProof/>
            <w:webHidden/>
            <w:sz w:val="24"/>
            <w:szCs w:val="24"/>
          </w:rPr>
          <w:fldChar w:fldCharType="separate"/>
        </w:r>
        <w:r w:rsidR="0033720D">
          <w:rPr>
            <w:rFonts w:ascii="Times New Roman" w:hAnsi="Times New Roman" w:cs="Times New Roman"/>
            <w:noProof/>
            <w:webHidden/>
            <w:sz w:val="24"/>
            <w:szCs w:val="24"/>
          </w:rPr>
          <w:t>16</w:t>
        </w:r>
        <w:r w:rsidRPr="004E3A96">
          <w:rPr>
            <w:rFonts w:ascii="Times New Roman" w:hAnsi="Times New Roman" w:cs="Times New Roman"/>
            <w:noProof/>
            <w:webHidden/>
            <w:sz w:val="24"/>
            <w:szCs w:val="24"/>
          </w:rPr>
          <w:fldChar w:fldCharType="end"/>
        </w:r>
      </w:hyperlink>
    </w:p>
    <w:p w14:paraId="38C9DE22" w14:textId="5FD0CBC1" w:rsidR="007D145F" w:rsidRPr="004E3A96" w:rsidRDefault="007D145F" w:rsidP="007D145F">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194667096" w:history="1">
        <w:r w:rsidRPr="004E3A96">
          <w:rPr>
            <w:rStyle w:val="Hyperlink"/>
            <w:rFonts w:ascii="Times New Roman" w:hAnsi="Times New Roman" w:cs="Times New Roman"/>
            <w:noProof/>
            <w:sz w:val="24"/>
            <w:szCs w:val="24"/>
          </w:rPr>
          <w:t>Figure 2: Bloomberg Terminal Functional</w:t>
        </w:r>
        <w:r w:rsidRPr="004E3A96">
          <w:rPr>
            <w:rFonts w:ascii="Times New Roman" w:hAnsi="Times New Roman" w:cs="Times New Roman"/>
            <w:noProof/>
            <w:webHidden/>
            <w:sz w:val="24"/>
            <w:szCs w:val="24"/>
          </w:rPr>
          <w:tab/>
        </w:r>
        <w:r w:rsidRPr="004E3A96">
          <w:rPr>
            <w:rFonts w:ascii="Times New Roman" w:hAnsi="Times New Roman" w:cs="Times New Roman"/>
            <w:noProof/>
            <w:webHidden/>
            <w:sz w:val="24"/>
            <w:szCs w:val="24"/>
          </w:rPr>
          <w:fldChar w:fldCharType="begin"/>
        </w:r>
        <w:r w:rsidRPr="004E3A96">
          <w:rPr>
            <w:rFonts w:ascii="Times New Roman" w:hAnsi="Times New Roman" w:cs="Times New Roman"/>
            <w:noProof/>
            <w:webHidden/>
            <w:sz w:val="24"/>
            <w:szCs w:val="24"/>
          </w:rPr>
          <w:instrText xml:space="preserve"> PAGEREF _Toc194667096 \h </w:instrText>
        </w:r>
        <w:r w:rsidRPr="004E3A96">
          <w:rPr>
            <w:rFonts w:ascii="Times New Roman" w:hAnsi="Times New Roman" w:cs="Times New Roman"/>
            <w:noProof/>
            <w:webHidden/>
            <w:sz w:val="24"/>
            <w:szCs w:val="24"/>
          </w:rPr>
        </w:r>
        <w:r w:rsidRPr="004E3A96">
          <w:rPr>
            <w:rFonts w:ascii="Times New Roman" w:hAnsi="Times New Roman" w:cs="Times New Roman"/>
            <w:noProof/>
            <w:webHidden/>
            <w:sz w:val="24"/>
            <w:szCs w:val="24"/>
          </w:rPr>
          <w:fldChar w:fldCharType="separate"/>
        </w:r>
        <w:r w:rsidR="0033720D">
          <w:rPr>
            <w:rFonts w:ascii="Times New Roman" w:hAnsi="Times New Roman" w:cs="Times New Roman"/>
            <w:noProof/>
            <w:webHidden/>
            <w:sz w:val="24"/>
            <w:szCs w:val="24"/>
          </w:rPr>
          <w:t>18</w:t>
        </w:r>
        <w:r w:rsidRPr="004E3A96">
          <w:rPr>
            <w:rFonts w:ascii="Times New Roman" w:hAnsi="Times New Roman" w:cs="Times New Roman"/>
            <w:noProof/>
            <w:webHidden/>
            <w:sz w:val="24"/>
            <w:szCs w:val="24"/>
          </w:rPr>
          <w:fldChar w:fldCharType="end"/>
        </w:r>
      </w:hyperlink>
    </w:p>
    <w:p w14:paraId="335B8E00" w14:textId="07441E73" w:rsidR="007D145F" w:rsidRPr="004E3A96" w:rsidRDefault="007D145F" w:rsidP="007D145F">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194667097" w:history="1">
        <w:r w:rsidRPr="004E3A96">
          <w:rPr>
            <w:rStyle w:val="Hyperlink"/>
            <w:rFonts w:ascii="Times New Roman" w:hAnsi="Times New Roman" w:cs="Times New Roman"/>
            <w:noProof/>
            <w:sz w:val="24"/>
            <w:szCs w:val="24"/>
          </w:rPr>
          <w:t>Figure 3 R Studio Code</w:t>
        </w:r>
        <w:r w:rsidRPr="004E3A96">
          <w:rPr>
            <w:rFonts w:ascii="Times New Roman" w:hAnsi="Times New Roman" w:cs="Times New Roman"/>
            <w:noProof/>
            <w:webHidden/>
            <w:sz w:val="24"/>
            <w:szCs w:val="24"/>
          </w:rPr>
          <w:tab/>
        </w:r>
        <w:r w:rsidRPr="004E3A96">
          <w:rPr>
            <w:rFonts w:ascii="Times New Roman" w:hAnsi="Times New Roman" w:cs="Times New Roman"/>
            <w:noProof/>
            <w:webHidden/>
            <w:sz w:val="24"/>
            <w:szCs w:val="24"/>
          </w:rPr>
          <w:fldChar w:fldCharType="begin"/>
        </w:r>
        <w:r w:rsidRPr="004E3A96">
          <w:rPr>
            <w:rFonts w:ascii="Times New Roman" w:hAnsi="Times New Roman" w:cs="Times New Roman"/>
            <w:noProof/>
            <w:webHidden/>
            <w:sz w:val="24"/>
            <w:szCs w:val="24"/>
          </w:rPr>
          <w:instrText xml:space="preserve"> PAGEREF _Toc194667097 \h </w:instrText>
        </w:r>
        <w:r w:rsidRPr="004E3A96">
          <w:rPr>
            <w:rFonts w:ascii="Times New Roman" w:hAnsi="Times New Roman" w:cs="Times New Roman"/>
            <w:noProof/>
            <w:webHidden/>
            <w:sz w:val="24"/>
            <w:szCs w:val="24"/>
          </w:rPr>
        </w:r>
        <w:r w:rsidRPr="004E3A96">
          <w:rPr>
            <w:rFonts w:ascii="Times New Roman" w:hAnsi="Times New Roman" w:cs="Times New Roman"/>
            <w:noProof/>
            <w:webHidden/>
            <w:sz w:val="24"/>
            <w:szCs w:val="24"/>
          </w:rPr>
          <w:fldChar w:fldCharType="separate"/>
        </w:r>
        <w:r w:rsidR="0033720D">
          <w:rPr>
            <w:rFonts w:ascii="Times New Roman" w:hAnsi="Times New Roman" w:cs="Times New Roman"/>
            <w:noProof/>
            <w:webHidden/>
            <w:sz w:val="24"/>
            <w:szCs w:val="24"/>
          </w:rPr>
          <w:t>20</w:t>
        </w:r>
        <w:r w:rsidRPr="004E3A96">
          <w:rPr>
            <w:rFonts w:ascii="Times New Roman" w:hAnsi="Times New Roman" w:cs="Times New Roman"/>
            <w:noProof/>
            <w:webHidden/>
            <w:sz w:val="24"/>
            <w:szCs w:val="24"/>
          </w:rPr>
          <w:fldChar w:fldCharType="end"/>
        </w:r>
      </w:hyperlink>
    </w:p>
    <w:p w14:paraId="5A63730F" w14:textId="44AACBF6" w:rsidR="007D145F" w:rsidRPr="004E3A96" w:rsidRDefault="007D145F" w:rsidP="007D145F">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hyperlink w:anchor="_Toc194667098" w:history="1">
        <w:r w:rsidRPr="004E3A96">
          <w:rPr>
            <w:rStyle w:val="Hyperlink"/>
            <w:rFonts w:ascii="Times New Roman" w:hAnsi="Times New Roman" w:cs="Times New Roman"/>
            <w:noProof/>
            <w:sz w:val="24"/>
            <w:szCs w:val="24"/>
          </w:rPr>
          <w:t>Figure 4: R Studio Regression Results</w:t>
        </w:r>
        <w:r w:rsidRPr="004E3A96">
          <w:rPr>
            <w:rFonts w:ascii="Times New Roman" w:hAnsi="Times New Roman" w:cs="Times New Roman"/>
            <w:noProof/>
            <w:webHidden/>
            <w:sz w:val="24"/>
            <w:szCs w:val="24"/>
          </w:rPr>
          <w:tab/>
        </w:r>
        <w:r w:rsidRPr="004E3A96">
          <w:rPr>
            <w:rFonts w:ascii="Times New Roman" w:hAnsi="Times New Roman" w:cs="Times New Roman"/>
            <w:noProof/>
            <w:webHidden/>
            <w:sz w:val="24"/>
            <w:szCs w:val="24"/>
          </w:rPr>
          <w:fldChar w:fldCharType="begin"/>
        </w:r>
        <w:r w:rsidRPr="004E3A96">
          <w:rPr>
            <w:rFonts w:ascii="Times New Roman" w:hAnsi="Times New Roman" w:cs="Times New Roman"/>
            <w:noProof/>
            <w:webHidden/>
            <w:sz w:val="24"/>
            <w:szCs w:val="24"/>
          </w:rPr>
          <w:instrText xml:space="preserve"> PAGEREF _Toc194667098 \h </w:instrText>
        </w:r>
        <w:r w:rsidRPr="004E3A96">
          <w:rPr>
            <w:rFonts w:ascii="Times New Roman" w:hAnsi="Times New Roman" w:cs="Times New Roman"/>
            <w:noProof/>
            <w:webHidden/>
            <w:sz w:val="24"/>
            <w:szCs w:val="24"/>
          </w:rPr>
        </w:r>
        <w:r w:rsidRPr="004E3A96">
          <w:rPr>
            <w:rFonts w:ascii="Times New Roman" w:hAnsi="Times New Roman" w:cs="Times New Roman"/>
            <w:noProof/>
            <w:webHidden/>
            <w:sz w:val="24"/>
            <w:szCs w:val="24"/>
          </w:rPr>
          <w:fldChar w:fldCharType="separate"/>
        </w:r>
        <w:r w:rsidR="0033720D">
          <w:rPr>
            <w:rFonts w:ascii="Times New Roman" w:hAnsi="Times New Roman" w:cs="Times New Roman"/>
            <w:noProof/>
            <w:webHidden/>
            <w:sz w:val="24"/>
            <w:szCs w:val="24"/>
          </w:rPr>
          <w:t>21</w:t>
        </w:r>
        <w:r w:rsidRPr="004E3A96">
          <w:rPr>
            <w:rFonts w:ascii="Times New Roman" w:hAnsi="Times New Roman" w:cs="Times New Roman"/>
            <w:noProof/>
            <w:webHidden/>
            <w:sz w:val="24"/>
            <w:szCs w:val="24"/>
          </w:rPr>
          <w:fldChar w:fldCharType="end"/>
        </w:r>
      </w:hyperlink>
    </w:p>
    <w:p w14:paraId="3441F738" w14:textId="77777777" w:rsidR="007D145F" w:rsidRPr="004E3A96" w:rsidRDefault="007D145F" w:rsidP="007D145F">
      <w:pPr>
        <w:rPr>
          <w:sz w:val="24"/>
          <w:szCs w:val="24"/>
        </w:rPr>
      </w:pPr>
      <w:r w:rsidRPr="004E3A96">
        <w:rPr>
          <w:sz w:val="24"/>
          <w:szCs w:val="24"/>
        </w:rPr>
        <w:fldChar w:fldCharType="end"/>
      </w:r>
    </w:p>
    <w:p w14:paraId="61B5E0FB" w14:textId="77777777" w:rsidR="007D145F" w:rsidRPr="004E3A96" w:rsidRDefault="007D145F" w:rsidP="007D145F">
      <w:pPr>
        <w:rPr>
          <w:sz w:val="24"/>
          <w:szCs w:val="24"/>
        </w:rPr>
      </w:pPr>
    </w:p>
    <w:p w14:paraId="1984DB85" w14:textId="77777777" w:rsidR="007D145F" w:rsidRPr="004E3A96" w:rsidRDefault="007D145F" w:rsidP="007D145F">
      <w:pPr>
        <w:jc w:val="center"/>
        <w:rPr>
          <w:b/>
          <w:bCs/>
          <w:sz w:val="32"/>
          <w:szCs w:val="32"/>
        </w:rPr>
      </w:pPr>
      <w:r w:rsidRPr="004E3A96">
        <w:rPr>
          <w:b/>
          <w:bCs/>
          <w:sz w:val="32"/>
          <w:szCs w:val="32"/>
        </w:rPr>
        <w:t>LIST OF TABLES</w:t>
      </w:r>
    </w:p>
    <w:p w14:paraId="18E64B18" w14:textId="5424227A" w:rsidR="007D145F" w:rsidRPr="004E3A96" w:rsidRDefault="007D145F" w:rsidP="007D145F">
      <w:pPr>
        <w:pStyle w:val="TableofFigures"/>
        <w:tabs>
          <w:tab w:val="right" w:leader="dot" w:pos="9350"/>
        </w:tabs>
        <w:rPr>
          <w:rFonts w:ascii="Times New Roman" w:eastAsiaTheme="minorEastAsia" w:hAnsi="Times New Roman" w:cs="Times New Roman"/>
          <w:noProof/>
          <w:kern w:val="2"/>
          <w:sz w:val="24"/>
          <w:szCs w:val="24"/>
          <w:lang w:val="en-US"/>
          <w14:ligatures w14:val="standardContextual"/>
        </w:rPr>
      </w:pPr>
      <w:r w:rsidRPr="004E3A96">
        <w:rPr>
          <w:rFonts w:ascii="Times New Roman" w:hAnsi="Times New Roman" w:cs="Times New Roman"/>
          <w:b/>
          <w:bCs/>
          <w:sz w:val="24"/>
          <w:szCs w:val="24"/>
        </w:rPr>
        <w:fldChar w:fldCharType="begin"/>
      </w:r>
      <w:r w:rsidRPr="004E3A96">
        <w:rPr>
          <w:rFonts w:ascii="Times New Roman" w:hAnsi="Times New Roman" w:cs="Times New Roman"/>
          <w:b/>
          <w:bCs/>
          <w:sz w:val="24"/>
          <w:szCs w:val="24"/>
        </w:rPr>
        <w:instrText xml:space="preserve"> TOC \h \z \c "Table" </w:instrText>
      </w:r>
      <w:r w:rsidRPr="004E3A96">
        <w:rPr>
          <w:rFonts w:ascii="Times New Roman" w:hAnsi="Times New Roman" w:cs="Times New Roman"/>
          <w:b/>
          <w:bCs/>
          <w:sz w:val="24"/>
          <w:szCs w:val="24"/>
        </w:rPr>
        <w:fldChar w:fldCharType="separate"/>
      </w:r>
      <w:hyperlink w:anchor="_Toc194667107" w:history="1">
        <w:r w:rsidRPr="004E3A96">
          <w:rPr>
            <w:rStyle w:val="Hyperlink"/>
            <w:rFonts w:ascii="Times New Roman" w:hAnsi="Times New Roman" w:cs="Times New Roman"/>
            <w:noProof/>
            <w:sz w:val="24"/>
            <w:szCs w:val="24"/>
          </w:rPr>
          <w:t>Table 1 Regression Results</w:t>
        </w:r>
        <w:r w:rsidRPr="004E3A96">
          <w:rPr>
            <w:rFonts w:ascii="Times New Roman" w:hAnsi="Times New Roman" w:cs="Times New Roman"/>
            <w:noProof/>
            <w:webHidden/>
            <w:sz w:val="24"/>
            <w:szCs w:val="24"/>
          </w:rPr>
          <w:tab/>
        </w:r>
        <w:r w:rsidRPr="004E3A96">
          <w:rPr>
            <w:rFonts w:ascii="Times New Roman" w:hAnsi="Times New Roman" w:cs="Times New Roman"/>
            <w:noProof/>
            <w:webHidden/>
            <w:sz w:val="24"/>
            <w:szCs w:val="24"/>
          </w:rPr>
          <w:fldChar w:fldCharType="begin"/>
        </w:r>
        <w:r w:rsidRPr="004E3A96">
          <w:rPr>
            <w:rFonts w:ascii="Times New Roman" w:hAnsi="Times New Roman" w:cs="Times New Roman"/>
            <w:noProof/>
            <w:webHidden/>
            <w:sz w:val="24"/>
            <w:szCs w:val="24"/>
          </w:rPr>
          <w:instrText xml:space="preserve"> PAGEREF _Toc194667107 \h </w:instrText>
        </w:r>
        <w:r w:rsidRPr="004E3A96">
          <w:rPr>
            <w:rFonts w:ascii="Times New Roman" w:hAnsi="Times New Roman" w:cs="Times New Roman"/>
            <w:noProof/>
            <w:webHidden/>
            <w:sz w:val="24"/>
            <w:szCs w:val="24"/>
          </w:rPr>
        </w:r>
        <w:r w:rsidRPr="004E3A96">
          <w:rPr>
            <w:rFonts w:ascii="Times New Roman" w:hAnsi="Times New Roman" w:cs="Times New Roman"/>
            <w:noProof/>
            <w:webHidden/>
            <w:sz w:val="24"/>
            <w:szCs w:val="24"/>
          </w:rPr>
          <w:fldChar w:fldCharType="separate"/>
        </w:r>
        <w:r w:rsidR="0033720D">
          <w:rPr>
            <w:rFonts w:ascii="Times New Roman" w:hAnsi="Times New Roman" w:cs="Times New Roman"/>
            <w:noProof/>
            <w:webHidden/>
            <w:sz w:val="24"/>
            <w:szCs w:val="24"/>
          </w:rPr>
          <w:t>22</w:t>
        </w:r>
        <w:r w:rsidRPr="004E3A96">
          <w:rPr>
            <w:rFonts w:ascii="Times New Roman" w:hAnsi="Times New Roman" w:cs="Times New Roman"/>
            <w:noProof/>
            <w:webHidden/>
            <w:sz w:val="24"/>
            <w:szCs w:val="24"/>
          </w:rPr>
          <w:fldChar w:fldCharType="end"/>
        </w:r>
      </w:hyperlink>
    </w:p>
    <w:p w14:paraId="55DBA006" w14:textId="77777777" w:rsidR="007D145F" w:rsidRPr="00A96B10" w:rsidRDefault="007D145F" w:rsidP="007D145F">
      <w:pPr>
        <w:rPr>
          <w:b/>
          <w:bCs/>
          <w:sz w:val="32"/>
          <w:szCs w:val="32"/>
        </w:rPr>
      </w:pPr>
      <w:r w:rsidRPr="004E3A96">
        <w:rPr>
          <w:b/>
          <w:bCs/>
          <w:sz w:val="24"/>
          <w:szCs w:val="24"/>
        </w:rPr>
        <w:fldChar w:fldCharType="end"/>
      </w:r>
      <w:r w:rsidRPr="004E3A96">
        <w:rPr>
          <w:b/>
          <w:bCs/>
          <w:sz w:val="24"/>
          <w:szCs w:val="24"/>
        </w:rPr>
        <w:br w:type="page"/>
      </w:r>
    </w:p>
    <w:p w14:paraId="6596EAE2" w14:textId="77777777" w:rsidR="007D145F" w:rsidRPr="00970BCD" w:rsidRDefault="007D145F" w:rsidP="007D145F">
      <w:pPr>
        <w:pStyle w:val="Heading2"/>
        <w:jc w:val="both"/>
        <w:rPr>
          <w:b/>
          <w:bCs/>
        </w:rPr>
      </w:pPr>
      <w:bookmarkStart w:id="2" w:name="_Toc194903425"/>
      <w:r w:rsidRPr="00970BCD">
        <w:rPr>
          <w:b/>
          <w:bCs/>
        </w:rPr>
        <w:t>Abstract</w:t>
      </w:r>
      <w:bookmarkEnd w:id="2"/>
    </w:p>
    <w:p w14:paraId="69BDBEBC" w14:textId="77777777" w:rsidR="007D145F" w:rsidRDefault="007D145F" w:rsidP="007D145F">
      <w:pPr>
        <w:jc w:val="both"/>
      </w:pPr>
    </w:p>
    <w:p w14:paraId="2BFC3C14" w14:textId="77777777" w:rsidR="00B22EFF" w:rsidRDefault="00201C5B" w:rsidP="00B22EFF">
      <w:pPr>
        <w:jc w:val="both"/>
        <w:rPr>
          <w:sz w:val="24"/>
          <w:szCs w:val="24"/>
        </w:rPr>
      </w:pPr>
      <w:r>
        <w:rPr>
          <w:sz w:val="24"/>
          <w:szCs w:val="24"/>
        </w:rPr>
        <w:t>With the</w:t>
      </w:r>
      <w:r w:rsidR="007D145F" w:rsidRPr="00986069">
        <w:rPr>
          <w:sz w:val="24"/>
          <w:szCs w:val="24"/>
        </w:rPr>
        <w:t xml:space="preserve"> ever-evolving landscape of Environmental, Social and Governance (ESG) practices, it is crucial to understand the impact it can hold on conventional financial metrics</w:t>
      </w:r>
      <w:r w:rsidR="007D145F">
        <w:rPr>
          <w:sz w:val="24"/>
          <w:szCs w:val="24"/>
        </w:rPr>
        <w:t>,</w:t>
      </w:r>
      <w:r w:rsidR="007D145F" w:rsidRPr="00986069">
        <w:rPr>
          <w:sz w:val="24"/>
          <w:szCs w:val="24"/>
        </w:rPr>
        <w:t xml:space="preserve"> particularly in capital intensive sectors such as oil and gas. This paper investigates ESG performance as a moderator in strengthening the relationship between interest Coverage Ratio (ICR) and Debt to Equity (DER) by using the data of 80 oil and gas companies constituting the S&amp;P Global Oil </w:t>
      </w:r>
    </w:p>
    <w:p w14:paraId="2F4B1BF2" w14:textId="06999B85" w:rsidR="007D145F" w:rsidRPr="00986069" w:rsidRDefault="007D145F" w:rsidP="00B22EFF">
      <w:pPr>
        <w:jc w:val="both"/>
        <w:rPr>
          <w:sz w:val="24"/>
          <w:szCs w:val="24"/>
        </w:rPr>
      </w:pPr>
      <w:r w:rsidRPr="00986069">
        <w:rPr>
          <w:sz w:val="24"/>
          <w:szCs w:val="24"/>
        </w:rPr>
        <w:t>Index. Through the application of linear regression analysis</w:t>
      </w:r>
      <w:r>
        <w:rPr>
          <w:sz w:val="24"/>
          <w:szCs w:val="24"/>
        </w:rPr>
        <w:t>,</w:t>
      </w:r>
      <w:r w:rsidRPr="00986069">
        <w:rPr>
          <w:sz w:val="24"/>
          <w:szCs w:val="24"/>
        </w:rPr>
        <w:t xml:space="preserve"> this study demonstrates the moderation effect of ESG on the ICR-DER relationship. Companies with a strong ESG score can diminish the vulnerability of debt to interest coverage. Meanwhile, lower ESG scores exert a stronger negative relationship, suggesting an increased financial risk. The results of the study emphasize the growing importance of ESG performance as a moderator for financial leverage within </w:t>
      </w:r>
      <w:r>
        <w:rPr>
          <w:sz w:val="24"/>
          <w:szCs w:val="24"/>
        </w:rPr>
        <w:t>high-stakes</w:t>
      </w:r>
      <w:r w:rsidRPr="00986069">
        <w:rPr>
          <w:sz w:val="24"/>
          <w:szCs w:val="24"/>
        </w:rPr>
        <w:t xml:space="preserve">, </w:t>
      </w:r>
      <w:r>
        <w:rPr>
          <w:sz w:val="24"/>
          <w:szCs w:val="24"/>
        </w:rPr>
        <w:t>high-emission</w:t>
      </w:r>
      <w:r w:rsidRPr="00986069">
        <w:rPr>
          <w:sz w:val="24"/>
          <w:szCs w:val="24"/>
        </w:rPr>
        <w:t xml:space="preserve"> industries</w:t>
      </w:r>
      <w:r>
        <w:rPr>
          <w:sz w:val="24"/>
          <w:szCs w:val="24"/>
        </w:rPr>
        <w:t>,</w:t>
      </w:r>
      <w:r w:rsidRPr="00986069">
        <w:rPr>
          <w:sz w:val="24"/>
          <w:szCs w:val="24"/>
        </w:rPr>
        <w:t xml:space="preserve"> thus providing purposeful implications for various stakeholders in aligning themselves to incorporate and grow within the sustainability landscape. Through the </w:t>
      </w:r>
      <w:r>
        <w:rPr>
          <w:sz w:val="24"/>
          <w:szCs w:val="24"/>
        </w:rPr>
        <w:t>narrowed-down</w:t>
      </w:r>
      <w:r w:rsidRPr="00986069">
        <w:rPr>
          <w:sz w:val="24"/>
          <w:szCs w:val="24"/>
        </w:rPr>
        <w:t xml:space="preserve"> focus </w:t>
      </w:r>
      <w:r>
        <w:rPr>
          <w:sz w:val="24"/>
          <w:szCs w:val="24"/>
        </w:rPr>
        <w:t>on</w:t>
      </w:r>
      <w:r w:rsidRPr="00986069">
        <w:rPr>
          <w:sz w:val="24"/>
          <w:szCs w:val="24"/>
        </w:rPr>
        <w:t xml:space="preserve"> </w:t>
      </w:r>
      <w:r>
        <w:rPr>
          <w:sz w:val="24"/>
          <w:szCs w:val="24"/>
        </w:rPr>
        <w:t xml:space="preserve">the </w:t>
      </w:r>
      <w:r w:rsidRPr="00986069">
        <w:rPr>
          <w:sz w:val="24"/>
          <w:szCs w:val="24"/>
        </w:rPr>
        <w:t xml:space="preserve">oil and gas sector, the current study aims to provide </w:t>
      </w:r>
      <w:r>
        <w:rPr>
          <w:sz w:val="24"/>
          <w:szCs w:val="24"/>
        </w:rPr>
        <w:t xml:space="preserve">a </w:t>
      </w:r>
      <w:r w:rsidRPr="00986069">
        <w:rPr>
          <w:sz w:val="24"/>
          <w:szCs w:val="24"/>
        </w:rPr>
        <w:t xml:space="preserve">futuristic direction towards ESG-conscious investments ensuring </w:t>
      </w:r>
      <w:r>
        <w:rPr>
          <w:sz w:val="24"/>
          <w:szCs w:val="24"/>
        </w:rPr>
        <w:t>long-term</w:t>
      </w:r>
      <w:r w:rsidRPr="00986069">
        <w:rPr>
          <w:sz w:val="24"/>
          <w:szCs w:val="24"/>
        </w:rPr>
        <w:t xml:space="preserve"> sustenance.</w:t>
      </w:r>
    </w:p>
    <w:p w14:paraId="6F7BF119" w14:textId="77777777" w:rsidR="007D145F" w:rsidRPr="004D119C" w:rsidRDefault="007D145F" w:rsidP="007D145F">
      <w:pPr>
        <w:jc w:val="both"/>
      </w:pPr>
    </w:p>
    <w:p w14:paraId="00DD324A" w14:textId="77777777" w:rsidR="007D145F" w:rsidRPr="00201C5B" w:rsidRDefault="007D145F" w:rsidP="007D145F">
      <w:pPr>
        <w:jc w:val="both"/>
        <w:rPr>
          <w:rStyle w:val="editortnoteditedlongjunnx"/>
          <w:spacing w:val="2"/>
          <w:sz w:val="24"/>
          <w:szCs w:val="24"/>
          <w:shd w:val="clear" w:color="auto" w:fill="FFFFFF"/>
        </w:rPr>
      </w:pPr>
      <w:r w:rsidRPr="00201C5B">
        <w:rPr>
          <w:rStyle w:val="editortnoteditedlongjunnx"/>
          <w:spacing w:val="2"/>
          <w:sz w:val="24"/>
          <w:szCs w:val="24"/>
          <w:shd w:val="clear" w:color="auto" w:fill="FFFFFF"/>
        </w:rPr>
        <w:t>Keywords: ESG, financial leverage, oil and gas </w:t>
      </w:r>
      <w:r w:rsidRPr="00201C5B">
        <w:rPr>
          <w:rStyle w:val="editortaddedltunj"/>
          <w:spacing w:val="2"/>
          <w:sz w:val="24"/>
          <w:szCs w:val="24"/>
          <w:shd w:val="clear" w:color="auto" w:fill="FFFFFF"/>
        </w:rPr>
        <w:t>sector</w:t>
      </w:r>
      <w:r w:rsidRPr="00201C5B">
        <w:rPr>
          <w:rStyle w:val="editortnoteditedlongjunnx"/>
          <w:spacing w:val="2"/>
          <w:sz w:val="24"/>
          <w:szCs w:val="24"/>
          <w:shd w:val="clear" w:color="auto" w:fill="FFFFFF"/>
        </w:rPr>
        <w:t>, Interest Coverage Ratio (ICR), Debt-to-Equity Ratio (DER)</w:t>
      </w:r>
    </w:p>
    <w:p w14:paraId="2997D7FF" w14:textId="77777777" w:rsidR="007D145F" w:rsidRPr="00970BCD" w:rsidRDefault="007D145F" w:rsidP="007D145F">
      <w:pPr>
        <w:jc w:val="both"/>
      </w:pPr>
    </w:p>
    <w:p w14:paraId="40DEEB11" w14:textId="77777777" w:rsidR="007D145F" w:rsidRDefault="007D145F" w:rsidP="007D145F">
      <w:pPr>
        <w:pStyle w:val="Heading1"/>
        <w:jc w:val="both"/>
      </w:pPr>
      <w:bookmarkStart w:id="3" w:name="_Toc194903426"/>
      <w:r>
        <w:t xml:space="preserve">Chapter </w:t>
      </w:r>
      <w:r w:rsidRPr="004D119C">
        <w:t>1. Introduction</w:t>
      </w:r>
      <w:bookmarkEnd w:id="3"/>
    </w:p>
    <w:p w14:paraId="4A8F49FC" w14:textId="77777777" w:rsidR="007D145F" w:rsidRPr="004D119C" w:rsidRDefault="007D145F" w:rsidP="007D145F">
      <w:pPr>
        <w:pStyle w:val="Heading1"/>
        <w:jc w:val="both"/>
        <w:rPr>
          <w:b w:val="0"/>
          <w:bCs w:val="0"/>
        </w:rPr>
      </w:pPr>
    </w:p>
    <w:p w14:paraId="42ECCF22" w14:textId="77777777" w:rsidR="007D145F" w:rsidRPr="004D119C" w:rsidRDefault="007D145F" w:rsidP="007D145F">
      <w:pPr>
        <w:pStyle w:val="Heading2"/>
        <w:jc w:val="both"/>
        <w:rPr>
          <w:b/>
          <w:bCs/>
        </w:rPr>
      </w:pPr>
      <w:bookmarkStart w:id="4" w:name="_Toc194903427"/>
      <w:r w:rsidRPr="004D119C">
        <w:rPr>
          <w:b/>
          <w:bCs/>
        </w:rPr>
        <w:t>1.1 Background and Significance</w:t>
      </w:r>
      <w:bookmarkEnd w:id="4"/>
    </w:p>
    <w:p w14:paraId="11D31622" w14:textId="77777777" w:rsidR="007D145F" w:rsidRDefault="007D145F" w:rsidP="007D145F">
      <w:pPr>
        <w:jc w:val="both"/>
        <w:rPr>
          <w:rStyle w:val="editortnoteditedwurp8"/>
          <w:color w:val="191919"/>
          <w:spacing w:val="2"/>
          <w:shd w:val="clear" w:color="auto" w:fill="FFFFFF"/>
        </w:rPr>
      </w:pPr>
    </w:p>
    <w:p w14:paraId="6A04D477"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The oil and gas sector undoubtedly is one of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world’s most capital-intensive industries with multifaceted environmental, social, and governance (ESG) concerns. According to IEA (2023), the industry is responsible for almost 42% of the world’s CO₂ emissions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becoming crucial in climate change mitigation discussions. The year 2022 marked the emission of a staggering sum of 36.8 billion tonnes of energy-related carbon dioxide, a 0.9% increase from the preceding year. Specifically, the manufacturing, transportation</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and processing of oil and gas resulted </w:t>
      </w:r>
      <w:r>
        <w:rPr>
          <w:rStyle w:val="editortnoteditedwurp8"/>
          <w:color w:val="191919"/>
          <w:spacing w:val="2"/>
          <w:sz w:val="24"/>
          <w:szCs w:val="24"/>
          <w:shd w:val="clear" w:color="auto" w:fill="FFFFFF"/>
        </w:rPr>
        <w:t>in</w:t>
      </w:r>
      <w:r w:rsidRPr="00986069">
        <w:rPr>
          <w:rStyle w:val="editortnoteditedwurp8"/>
          <w:color w:val="191919"/>
          <w:spacing w:val="2"/>
          <w:sz w:val="24"/>
          <w:szCs w:val="24"/>
          <w:shd w:val="clear" w:color="auto" w:fill="FFFFFF"/>
        </w:rPr>
        <w:t xml:space="preserve"> almost 5.1 billion tonnes of carbon-dioxide-equivalent emissions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which represents almost 15% of the aggregated total </w:t>
      </w:r>
      <w:r>
        <w:rPr>
          <w:rStyle w:val="editortnoteditedwurp8"/>
          <w:color w:val="191919"/>
          <w:spacing w:val="2"/>
          <w:sz w:val="24"/>
          <w:szCs w:val="24"/>
          <w:shd w:val="clear" w:color="auto" w:fill="FFFFFF"/>
        </w:rPr>
        <w:t>energy-related</w:t>
      </w:r>
      <w:r w:rsidRPr="00986069">
        <w:rPr>
          <w:rStyle w:val="editortnoteditedwurp8"/>
          <w:color w:val="191919"/>
          <w:spacing w:val="2"/>
          <w:sz w:val="24"/>
          <w:szCs w:val="24"/>
          <w:shd w:val="clear" w:color="auto" w:fill="FFFFFF"/>
        </w:rPr>
        <w:t xml:space="preserve"> gas emissions. Such statistics imply the crucial position that the sector holds in the environmental landscape pertaining to climate change and</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thus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the obligation to uphold practices of sustainability and sustainable measures. Moreover, diverse stakeholders such as investors, regulators, financial analysts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and </w:t>
      </w:r>
      <w:r>
        <w:rPr>
          <w:rStyle w:val="editortnoteditedwurp8"/>
          <w:color w:val="191919"/>
          <w:spacing w:val="2"/>
          <w:sz w:val="24"/>
          <w:szCs w:val="24"/>
          <w:shd w:val="clear" w:color="auto" w:fill="FFFFFF"/>
        </w:rPr>
        <w:t>policymakers</w:t>
      </w:r>
      <w:r w:rsidRPr="00986069">
        <w:rPr>
          <w:rStyle w:val="editortnoteditedwurp8"/>
          <w:color w:val="191919"/>
          <w:spacing w:val="2"/>
          <w:sz w:val="24"/>
          <w:szCs w:val="24"/>
          <w:shd w:val="clear" w:color="auto" w:fill="FFFFFF"/>
        </w:rPr>
        <w:t xml:space="preserve"> are exerting pressure on companies to ensure financial stability and prevent environmental harm.</w:t>
      </w:r>
    </w:p>
    <w:p w14:paraId="00D344CE" w14:textId="77777777" w:rsidR="007D145F" w:rsidRDefault="007D145F" w:rsidP="007D145F">
      <w:pPr>
        <w:jc w:val="both"/>
        <w:rPr>
          <w:rStyle w:val="editortnoteditedwurp8"/>
          <w:color w:val="191919"/>
          <w:spacing w:val="2"/>
          <w:shd w:val="clear" w:color="auto" w:fill="FFFFFF"/>
        </w:rPr>
      </w:pPr>
    </w:p>
    <w:p w14:paraId="44034989" w14:textId="77777777" w:rsidR="007D145F" w:rsidRPr="00986069" w:rsidRDefault="007D145F" w:rsidP="007D145F">
      <w:pPr>
        <w:jc w:val="both"/>
        <w:rPr>
          <w:rStyle w:val="editortnoteditedwurp8"/>
          <w:color w:val="191919"/>
          <w:spacing w:val="2"/>
          <w:sz w:val="24"/>
          <w:szCs w:val="24"/>
          <w:shd w:val="clear" w:color="auto" w:fill="FFFFFF"/>
        </w:rPr>
      </w:pPr>
    </w:p>
    <w:p w14:paraId="4D28D72D"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Financial leverage, an important constituent of corporate finance</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can be quantified through the use of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 xml:space="preserve">Debt to Equity Ratio (DER) that measures the company’s external debt in comparison to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 xml:space="preserve">Shareholder’s equity. The Interest Coverage Ratio (ICR) is another financial measure that essentially allows a company to gauge </w:t>
      </w:r>
      <w:r>
        <w:rPr>
          <w:rStyle w:val="editortnoteditedwurp8"/>
          <w:color w:val="191919"/>
          <w:spacing w:val="2"/>
          <w:sz w:val="24"/>
          <w:szCs w:val="24"/>
          <w:shd w:val="clear" w:color="auto" w:fill="FFFFFF"/>
        </w:rPr>
        <w:t>its</w:t>
      </w:r>
      <w:r w:rsidRPr="00986069">
        <w:rPr>
          <w:rStyle w:val="editortnoteditedwurp8"/>
          <w:color w:val="191919"/>
          <w:spacing w:val="2"/>
          <w:sz w:val="24"/>
          <w:szCs w:val="24"/>
          <w:shd w:val="clear" w:color="auto" w:fill="FFFFFF"/>
        </w:rPr>
        <w:t xml:space="preserve"> capability to cover interest charges efficiently. These ratios are important in assessing financial risk</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particularly </w:t>
      </w:r>
      <w:r>
        <w:rPr>
          <w:rStyle w:val="editortnoteditedwurp8"/>
          <w:color w:val="191919"/>
          <w:spacing w:val="2"/>
          <w:sz w:val="24"/>
          <w:szCs w:val="24"/>
          <w:shd w:val="clear" w:color="auto" w:fill="FFFFFF"/>
        </w:rPr>
        <w:t>in</w:t>
      </w:r>
      <w:r w:rsidRPr="00986069">
        <w:rPr>
          <w:rStyle w:val="editortnoteditedwurp8"/>
          <w:color w:val="191919"/>
          <w:spacing w:val="2"/>
          <w:sz w:val="24"/>
          <w:szCs w:val="24"/>
          <w:shd w:val="clear" w:color="auto" w:fill="FFFFFF"/>
        </w:rPr>
        <w:t xml:space="preserve"> highly sensitive or volatile sectors like oil and gas, where the revenue is highly dependent on volatile commodity prices.</w:t>
      </w:r>
    </w:p>
    <w:p w14:paraId="32D3A673" w14:textId="77777777" w:rsidR="007D145F" w:rsidRPr="00986069" w:rsidRDefault="007D145F" w:rsidP="007D145F">
      <w:pPr>
        <w:jc w:val="both"/>
        <w:rPr>
          <w:rStyle w:val="editortnoteditedwurp8"/>
          <w:color w:val="191919"/>
          <w:spacing w:val="2"/>
          <w:sz w:val="24"/>
          <w:szCs w:val="24"/>
          <w:shd w:val="clear" w:color="auto" w:fill="FFFFFF"/>
        </w:rPr>
      </w:pPr>
    </w:p>
    <w:p w14:paraId="7CA56017" w14:textId="77777777" w:rsidR="007D145F" w:rsidRPr="00986069" w:rsidRDefault="007D145F" w:rsidP="007D145F">
      <w:pPr>
        <w:jc w:val="both"/>
        <w:rPr>
          <w:rStyle w:val="editortnoteditedwurp8"/>
          <w:color w:val="191919"/>
          <w:spacing w:val="2"/>
          <w:sz w:val="24"/>
          <w:szCs w:val="24"/>
          <w:shd w:val="clear" w:color="auto" w:fill="FFFFFF"/>
        </w:rPr>
      </w:pPr>
    </w:p>
    <w:p w14:paraId="396EC5DA" w14:textId="77777777" w:rsidR="007D145F"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Despite conventional financial theories suggesting that leverage is determined by firm-</w:t>
      </w:r>
    </w:p>
    <w:p w14:paraId="6F645C25" w14:textId="699CA4E5" w:rsidR="007D145F"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specific indicators such as profitability, composition of assets and prevailing market conditions (Myers,2001), newer evidence indicates how ESG performance moderates capital structure, where companies with commendable ESG performance tend to earn the credibility of investors, reduce the cost of borrowing and maintain long term stability (Friede et al., 2015). Thus, it has become imperative to study how ESG  performance affects the relationship between ICR and DER for stakeholders and analysts belonging to the oil and gas industry.</w:t>
      </w:r>
    </w:p>
    <w:p w14:paraId="1F2656F1" w14:textId="77777777" w:rsidR="007D145F" w:rsidRPr="00986069" w:rsidRDefault="007D145F" w:rsidP="007D145F">
      <w:pPr>
        <w:jc w:val="both"/>
        <w:rPr>
          <w:rStyle w:val="editortnoteditedwurp8"/>
          <w:color w:val="191919"/>
          <w:spacing w:val="2"/>
          <w:sz w:val="24"/>
          <w:szCs w:val="24"/>
          <w:shd w:val="clear" w:color="auto" w:fill="FFFFFF"/>
        </w:rPr>
      </w:pPr>
    </w:p>
    <w:p w14:paraId="782FF924" w14:textId="77777777" w:rsidR="007D145F" w:rsidRDefault="007D145F" w:rsidP="007D145F">
      <w:pPr>
        <w:pStyle w:val="Heading2"/>
        <w:jc w:val="both"/>
        <w:rPr>
          <w:b/>
          <w:bCs/>
        </w:rPr>
      </w:pPr>
      <w:bookmarkStart w:id="5" w:name="_Toc194903428"/>
      <w:r w:rsidRPr="004D119C">
        <w:rPr>
          <w:b/>
          <w:bCs/>
        </w:rPr>
        <w:t>1.2. ESG and Financial Leverage: Empirical Evidence</w:t>
      </w:r>
      <w:bookmarkEnd w:id="5"/>
    </w:p>
    <w:p w14:paraId="3D5C61F1" w14:textId="77777777" w:rsidR="00E90521" w:rsidRPr="004D119C" w:rsidRDefault="00E90521" w:rsidP="007D145F">
      <w:pPr>
        <w:pStyle w:val="Heading2"/>
        <w:jc w:val="both"/>
        <w:rPr>
          <w:b/>
          <w:bCs/>
        </w:rPr>
      </w:pPr>
    </w:p>
    <w:p w14:paraId="6375C41A"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ESG performance and its corresponding relationship with financial leverage </w:t>
      </w:r>
      <w:r>
        <w:rPr>
          <w:rStyle w:val="editortnoteditedwurp8"/>
          <w:color w:val="191919"/>
          <w:spacing w:val="2"/>
          <w:sz w:val="24"/>
          <w:szCs w:val="24"/>
          <w:shd w:val="clear" w:color="auto" w:fill="FFFFFF"/>
        </w:rPr>
        <w:t>have been</w:t>
      </w:r>
      <w:r w:rsidRPr="00986069">
        <w:rPr>
          <w:rStyle w:val="editortnoteditedwurp8"/>
          <w:color w:val="191919"/>
          <w:spacing w:val="2"/>
          <w:sz w:val="24"/>
          <w:szCs w:val="24"/>
          <w:shd w:val="clear" w:color="auto" w:fill="FFFFFF"/>
        </w:rPr>
        <w:t xml:space="preserve"> garnering prominence in recent years. </w:t>
      </w:r>
      <w:r>
        <w:rPr>
          <w:rStyle w:val="editortnoteditedwurp8"/>
          <w:color w:val="191919"/>
          <w:spacing w:val="2"/>
          <w:sz w:val="24"/>
          <w:szCs w:val="24"/>
          <w:shd w:val="clear" w:color="auto" w:fill="FFFFFF"/>
        </w:rPr>
        <w:t>A considerable</w:t>
      </w:r>
      <w:r w:rsidRPr="00986069">
        <w:rPr>
          <w:rStyle w:val="editortnoteditedwurp8"/>
          <w:color w:val="191919"/>
          <w:spacing w:val="2"/>
          <w:sz w:val="24"/>
          <w:szCs w:val="24"/>
          <w:shd w:val="clear" w:color="auto" w:fill="FFFFFF"/>
        </w:rPr>
        <w:t xml:space="preserve"> amount of papers has established the relationship between high ESG scores and lower cost of borrowing and lower risk leading to a perception of resilient firms in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wake of shocks, reputational and regulatory risks (Giese et al., 2019).</w:t>
      </w:r>
    </w:p>
    <w:p w14:paraId="37F0F42F" w14:textId="77777777" w:rsidR="007D145F" w:rsidRPr="00986069" w:rsidRDefault="007D145F" w:rsidP="007D145F">
      <w:pPr>
        <w:jc w:val="both"/>
        <w:rPr>
          <w:rStyle w:val="editortnoteditedwurp8"/>
          <w:color w:val="191919"/>
          <w:spacing w:val="2"/>
          <w:sz w:val="24"/>
          <w:szCs w:val="24"/>
          <w:shd w:val="clear" w:color="auto" w:fill="FFFFFF"/>
        </w:rPr>
      </w:pPr>
    </w:p>
    <w:p w14:paraId="31D487A4"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A study by Amiraslani et al. (2022) revealed that companies that are ESG-conscious in </w:t>
      </w:r>
      <w:r>
        <w:rPr>
          <w:rStyle w:val="editortnoteditedwurp8"/>
          <w:color w:val="191919"/>
          <w:spacing w:val="2"/>
          <w:sz w:val="24"/>
          <w:szCs w:val="24"/>
          <w:shd w:val="clear" w:color="auto" w:fill="FFFFFF"/>
        </w:rPr>
        <w:t>capital-intensive</w:t>
      </w:r>
      <w:r w:rsidRPr="00986069">
        <w:rPr>
          <w:rStyle w:val="editortnoteditedwurp8"/>
          <w:color w:val="191919"/>
          <w:spacing w:val="2"/>
          <w:sz w:val="24"/>
          <w:szCs w:val="24"/>
          <w:shd w:val="clear" w:color="auto" w:fill="FFFFFF"/>
        </w:rPr>
        <w:t xml:space="preserve"> sectors tend to obtain cheaper debt due to the perceived reduced default risk. A similar study </w:t>
      </w:r>
      <w:r>
        <w:rPr>
          <w:rStyle w:val="editortnoteditedwurp8"/>
          <w:color w:val="191919"/>
          <w:spacing w:val="2"/>
          <w:sz w:val="24"/>
          <w:szCs w:val="24"/>
          <w:shd w:val="clear" w:color="auto" w:fill="FFFFFF"/>
        </w:rPr>
        <w:t xml:space="preserve">by </w:t>
      </w:r>
      <w:r w:rsidRPr="00986069">
        <w:rPr>
          <w:rStyle w:val="editortnoteditedwurp8"/>
          <w:color w:val="191919"/>
          <w:spacing w:val="2"/>
          <w:sz w:val="24"/>
          <w:szCs w:val="24"/>
          <w:shd w:val="clear" w:color="auto" w:fill="FFFFFF"/>
        </w:rPr>
        <w:t>Broadstock et al. (2021) demonstrated that companies with higher ESG ratings have better interest coverage ratios and lower debt-to-equity ratios, illustrating reduced financial distress.</w:t>
      </w:r>
    </w:p>
    <w:p w14:paraId="41646CE1" w14:textId="77777777" w:rsidR="007D145F" w:rsidRPr="00986069" w:rsidRDefault="007D145F" w:rsidP="007D145F">
      <w:pPr>
        <w:jc w:val="both"/>
        <w:rPr>
          <w:rStyle w:val="editortnoteditedwurp8"/>
          <w:color w:val="191919"/>
          <w:spacing w:val="2"/>
          <w:sz w:val="24"/>
          <w:szCs w:val="24"/>
          <w:shd w:val="clear" w:color="auto" w:fill="FFFFFF"/>
        </w:rPr>
      </w:pPr>
    </w:p>
    <w:p w14:paraId="44B1C676" w14:textId="19D0A08F"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In stark contrast, companies with inadequate ESG performance experience an increased leverage sensitivity since investors demand risk premiums as a means to compensate for uncertainties pertaining to regulatory and environmental concerns. The aftermath of the Deepwater Horizon oil spill in 2010, for instance, led to </w:t>
      </w:r>
      <w:r>
        <w:rPr>
          <w:rStyle w:val="editortnoteditedwurp8"/>
          <w:color w:val="191919"/>
          <w:spacing w:val="2"/>
          <w:sz w:val="24"/>
          <w:szCs w:val="24"/>
          <w:shd w:val="clear" w:color="auto" w:fill="FFFFFF"/>
        </w:rPr>
        <w:t xml:space="preserve">a </w:t>
      </w:r>
      <w:r w:rsidR="0056380F">
        <w:rPr>
          <w:rStyle w:val="editortnoteditedwurp8"/>
          <w:color w:val="191919"/>
          <w:spacing w:val="2"/>
          <w:sz w:val="24"/>
          <w:szCs w:val="24"/>
          <w:shd w:val="clear" w:color="auto" w:fill="FFFFFF"/>
        </w:rPr>
        <w:t>55</w:t>
      </w:r>
      <w:r w:rsidRPr="00986069">
        <w:rPr>
          <w:rStyle w:val="editortnoteditedwurp8"/>
          <w:color w:val="191919"/>
          <w:spacing w:val="2"/>
          <w:sz w:val="24"/>
          <w:szCs w:val="24"/>
          <w:shd w:val="clear" w:color="auto" w:fill="FFFFFF"/>
        </w:rPr>
        <w:t xml:space="preserve">% decline </w:t>
      </w:r>
      <w:r>
        <w:rPr>
          <w:rStyle w:val="editortnoteditedwurp8"/>
          <w:color w:val="191919"/>
          <w:spacing w:val="2"/>
          <w:sz w:val="24"/>
          <w:szCs w:val="24"/>
          <w:shd w:val="clear" w:color="auto" w:fill="FFFFFF"/>
        </w:rPr>
        <w:t>in</w:t>
      </w:r>
      <w:r w:rsidRPr="00986069">
        <w:rPr>
          <w:rStyle w:val="editortnoteditedwurp8"/>
          <w:color w:val="191919"/>
          <w:spacing w:val="2"/>
          <w:sz w:val="24"/>
          <w:szCs w:val="24"/>
          <w:shd w:val="clear" w:color="auto" w:fill="FFFFFF"/>
        </w:rPr>
        <w:t xml:space="preserve"> stock value within two months following the spill while also witnessing a decline in credit rating, thus increasing its dependence on debt financing at a substantially higher cost (Kölbel et al., 2020).</w:t>
      </w:r>
    </w:p>
    <w:p w14:paraId="731764B8" w14:textId="77777777" w:rsidR="007D145F" w:rsidRPr="00986069" w:rsidRDefault="007D145F" w:rsidP="007D145F">
      <w:pPr>
        <w:jc w:val="both"/>
        <w:rPr>
          <w:rStyle w:val="editortnoteditedwurp8"/>
          <w:color w:val="191919"/>
          <w:spacing w:val="2"/>
          <w:sz w:val="24"/>
          <w:szCs w:val="24"/>
          <w:shd w:val="clear" w:color="auto" w:fill="FFFFFF"/>
        </w:rPr>
      </w:pPr>
    </w:p>
    <w:p w14:paraId="637FEE76" w14:textId="77777777" w:rsidR="007D145F" w:rsidRPr="00986069" w:rsidRDefault="007D145F" w:rsidP="007D145F">
      <w:pPr>
        <w:jc w:val="both"/>
        <w:rPr>
          <w:rStyle w:val="editortnoteditedwurp8"/>
          <w:color w:val="191919"/>
          <w:spacing w:val="2"/>
          <w:sz w:val="24"/>
          <w:szCs w:val="24"/>
          <w:shd w:val="clear" w:color="auto" w:fill="FFFFFF"/>
        </w:rPr>
      </w:pPr>
    </w:p>
    <w:p w14:paraId="3DEC1C61"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In addition, ESG rules and shareholder activism have picked up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pace in recent years. A 2023 PwC report established that 49% of institutional investors take ESG considerations into account when allocating capital, and 57% of asset managers have incorporated ESG into their investment models (PwC, 2023). Accordingly, companies with poor ESG profiles will increasingly struggle to raise cheap debt, thus amplifying financial leverage pressures.</w:t>
      </w:r>
    </w:p>
    <w:p w14:paraId="26098437" w14:textId="77777777" w:rsidR="007D145F" w:rsidRPr="00986069" w:rsidRDefault="007D145F" w:rsidP="007D145F">
      <w:pPr>
        <w:jc w:val="both"/>
        <w:rPr>
          <w:rStyle w:val="editortnoteditedwurp8"/>
          <w:color w:val="191919"/>
          <w:spacing w:val="2"/>
          <w:sz w:val="24"/>
          <w:szCs w:val="24"/>
          <w:shd w:val="clear" w:color="auto" w:fill="FFFFFF"/>
        </w:rPr>
      </w:pPr>
    </w:p>
    <w:p w14:paraId="5621F6B0" w14:textId="77777777" w:rsidR="007D145F" w:rsidRDefault="007D145F" w:rsidP="007D145F">
      <w:pPr>
        <w:pStyle w:val="Heading2"/>
        <w:jc w:val="both"/>
        <w:rPr>
          <w:rStyle w:val="editortnoteditedwurp8"/>
          <w:b/>
          <w:bCs/>
          <w:color w:val="191919"/>
          <w:spacing w:val="2"/>
          <w:shd w:val="clear" w:color="auto" w:fill="FFFFFF"/>
        </w:rPr>
      </w:pPr>
      <w:bookmarkStart w:id="6" w:name="_Toc194903429"/>
      <w:r w:rsidRPr="004D119C">
        <w:rPr>
          <w:rStyle w:val="editortnoteditedwurp8"/>
          <w:b/>
          <w:bCs/>
          <w:color w:val="191919"/>
          <w:spacing w:val="2"/>
          <w:shd w:val="clear" w:color="auto" w:fill="FFFFFF"/>
        </w:rPr>
        <w:t>1.3. Theoretical Framework</w:t>
      </w:r>
      <w:bookmarkEnd w:id="6"/>
    </w:p>
    <w:p w14:paraId="7FF13ACA" w14:textId="77777777" w:rsidR="00E90521" w:rsidRPr="004D119C" w:rsidRDefault="00E90521" w:rsidP="007D145F">
      <w:pPr>
        <w:pStyle w:val="Heading2"/>
        <w:jc w:val="both"/>
        <w:rPr>
          <w:rStyle w:val="editortnoteditedwurp8"/>
          <w:b/>
          <w:bCs/>
          <w:color w:val="191919"/>
          <w:spacing w:val="2"/>
          <w:shd w:val="clear" w:color="auto" w:fill="FFFFFF"/>
        </w:rPr>
      </w:pPr>
    </w:p>
    <w:p w14:paraId="7001AD6E"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This research is based on two prominent financial theories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w:t>
      </w:r>
      <w:r>
        <w:rPr>
          <w:rStyle w:val="editortnoteditedwurp8"/>
          <w:color w:val="191919"/>
          <w:spacing w:val="2"/>
          <w:sz w:val="24"/>
          <w:szCs w:val="24"/>
          <w:shd w:val="clear" w:color="auto" w:fill="FFFFFF"/>
        </w:rPr>
        <w:t>the</w:t>
      </w:r>
      <w:r w:rsidRPr="00986069">
        <w:rPr>
          <w:rStyle w:val="editortnoteditedwurp8"/>
          <w:color w:val="191919"/>
          <w:spacing w:val="2"/>
          <w:sz w:val="24"/>
          <w:szCs w:val="24"/>
          <w:shd w:val="clear" w:color="auto" w:fill="FFFFFF"/>
        </w:rPr>
        <w:t xml:space="preserve"> Stakeholder Theory and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Signaling Theory. The theories offer direction to explain how ESG performance influences the interplay between interest coverage ratio (ICR) and Debt to Equity Ratio (DER), thus helping shape stakeholder perspectives.</w:t>
      </w:r>
    </w:p>
    <w:p w14:paraId="0B673998" w14:textId="77777777" w:rsidR="007D145F" w:rsidRPr="00986069" w:rsidRDefault="007D145F" w:rsidP="007D145F">
      <w:pPr>
        <w:jc w:val="both"/>
        <w:rPr>
          <w:rStyle w:val="editortnoteditedwurp8"/>
          <w:color w:val="191919"/>
          <w:spacing w:val="2"/>
          <w:sz w:val="24"/>
          <w:szCs w:val="24"/>
          <w:shd w:val="clear" w:color="auto" w:fill="FFFFFF"/>
        </w:rPr>
      </w:pPr>
    </w:p>
    <w:p w14:paraId="12192D9A"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Stakeholder Theory: Managing Diverse Interests</w:t>
      </w:r>
    </w:p>
    <w:p w14:paraId="6AF714F4" w14:textId="77777777" w:rsidR="007D145F" w:rsidRPr="00986069" w:rsidRDefault="007D145F" w:rsidP="007D145F">
      <w:pPr>
        <w:jc w:val="both"/>
        <w:rPr>
          <w:rStyle w:val="editortnoteditedwurp8"/>
          <w:color w:val="191919"/>
          <w:spacing w:val="2"/>
          <w:sz w:val="24"/>
          <w:szCs w:val="24"/>
          <w:shd w:val="clear" w:color="auto" w:fill="FFFFFF"/>
        </w:rPr>
      </w:pPr>
    </w:p>
    <w:p w14:paraId="23EBD4B2"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Stakeholder Theory (Freeman, 1984) states that companies must weigh the interests of all stakeholders such as investors, creditors, communities, regulatory authorities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and employees instead of channeling all the focus towards shareholder profits. In the context of this study, companies equipped with better sustainability initiatives and practices can address stakeholder needs and requirements, thus decreasing </w:t>
      </w:r>
      <w:r>
        <w:rPr>
          <w:rStyle w:val="editortnoteditedwurp8"/>
          <w:color w:val="191919"/>
          <w:spacing w:val="2"/>
          <w:sz w:val="24"/>
          <w:szCs w:val="24"/>
          <w:shd w:val="clear" w:color="auto" w:fill="FFFFFF"/>
        </w:rPr>
        <w:t xml:space="preserve">the </w:t>
      </w:r>
      <w:r w:rsidRPr="00986069">
        <w:rPr>
          <w:rStyle w:val="editortnoteditedwurp8"/>
          <w:color w:val="191919"/>
          <w:spacing w:val="2"/>
          <w:sz w:val="24"/>
          <w:szCs w:val="24"/>
          <w:shd w:val="clear" w:color="auto" w:fill="FFFFFF"/>
        </w:rPr>
        <w:t>chances of financial instability.</w:t>
      </w:r>
      <w:r w:rsidRPr="00986069">
        <w:rPr>
          <w:sz w:val="24"/>
          <w:szCs w:val="24"/>
        </w:rPr>
        <w:t xml:space="preserve"> </w:t>
      </w:r>
      <w:r w:rsidRPr="00986069">
        <w:rPr>
          <w:rStyle w:val="editortnoteditedwurp8"/>
          <w:color w:val="191919"/>
          <w:spacing w:val="2"/>
          <w:sz w:val="24"/>
          <w:szCs w:val="24"/>
          <w:shd w:val="clear" w:color="auto" w:fill="FFFFFF"/>
        </w:rPr>
        <w:t xml:space="preserve">Strong ESG performance enables companies </w:t>
      </w:r>
      <w:r>
        <w:rPr>
          <w:rStyle w:val="editortnoteditedwurp8"/>
          <w:color w:val="191919"/>
          <w:spacing w:val="2"/>
          <w:sz w:val="24"/>
          <w:szCs w:val="24"/>
          <w:shd w:val="clear" w:color="auto" w:fill="FFFFFF"/>
        </w:rPr>
        <w:t>to reduce</w:t>
      </w:r>
      <w:r w:rsidRPr="00986069">
        <w:rPr>
          <w:rStyle w:val="editortnoteditedwurp8"/>
          <w:color w:val="191919"/>
          <w:spacing w:val="2"/>
          <w:sz w:val="24"/>
          <w:szCs w:val="24"/>
          <w:shd w:val="clear" w:color="auto" w:fill="FFFFFF"/>
        </w:rPr>
        <w:t xml:space="preserve"> risks like regulatory penalties, reputational risks, and credit restraints. Creditors and investors imbibe perceptions that companies with good ESG are </w:t>
      </w:r>
      <w:r>
        <w:rPr>
          <w:rStyle w:val="editortnoteditedwurp8"/>
          <w:color w:val="191919"/>
          <w:spacing w:val="2"/>
          <w:sz w:val="24"/>
          <w:szCs w:val="24"/>
          <w:shd w:val="clear" w:color="auto" w:fill="FFFFFF"/>
        </w:rPr>
        <w:t>low-risk</w:t>
      </w:r>
      <w:r w:rsidRPr="00986069">
        <w:rPr>
          <w:rStyle w:val="editortnoteditedwurp8"/>
          <w:color w:val="191919"/>
          <w:spacing w:val="2"/>
          <w:sz w:val="24"/>
          <w:szCs w:val="24"/>
          <w:shd w:val="clear" w:color="auto" w:fill="FFFFFF"/>
        </w:rPr>
        <w:t xml:space="preserve"> borrowers.</w:t>
      </w:r>
    </w:p>
    <w:p w14:paraId="294B747A" w14:textId="77777777" w:rsidR="007D145F" w:rsidRPr="00986069" w:rsidRDefault="007D145F" w:rsidP="007D145F">
      <w:pPr>
        <w:jc w:val="both"/>
        <w:rPr>
          <w:rStyle w:val="editortnoteditedwurp8"/>
          <w:color w:val="191919"/>
          <w:spacing w:val="2"/>
          <w:sz w:val="24"/>
          <w:szCs w:val="24"/>
          <w:shd w:val="clear" w:color="auto" w:fill="FFFFFF"/>
        </w:rPr>
      </w:pPr>
    </w:p>
    <w:p w14:paraId="4EC02E8E"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Signaling Theory: ESG as a Financial Health Indicator</w:t>
      </w:r>
    </w:p>
    <w:p w14:paraId="3DC6ED4E"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Signaling Theory (Spence, 1973) indicates that firms use ESG to convey financial resilience and risk prevention capability to external parties. </w:t>
      </w:r>
      <w:r>
        <w:rPr>
          <w:rStyle w:val="editortnoteditedwurp8"/>
          <w:color w:val="191919"/>
          <w:spacing w:val="2"/>
          <w:sz w:val="24"/>
          <w:szCs w:val="24"/>
          <w:shd w:val="clear" w:color="auto" w:fill="FFFFFF"/>
        </w:rPr>
        <w:t>A</w:t>
      </w:r>
      <w:r w:rsidRPr="00986069">
        <w:rPr>
          <w:rStyle w:val="editortnoteditedwurp8"/>
          <w:color w:val="191919"/>
          <w:spacing w:val="2"/>
          <w:sz w:val="24"/>
          <w:szCs w:val="24"/>
          <w:shd w:val="clear" w:color="auto" w:fill="FFFFFF"/>
        </w:rPr>
        <w:t xml:space="preserve"> strong ESG score can serve as a positive signal, reducing any asymmetry in information and assuring investors with </w:t>
      </w:r>
      <w:r>
        <w:rPr>
          <w:rStyle w:val="editortnoteditedwurp8"/>
          <w:color w:val="191919"/>
          <w:spacing w:val="2"/>
          <w:sz w:val="24"/>
          <w:szCs w:val="24"/>
          <w:shd w:val="clear" w:color="auto" w:fill="FFFFFF"/>
        </w:rPr>
        <w:t>long-term</w:t>
      </w:r>
      <w:r w:rsidRPr="00986069">
        <w:rPr>
          <w:rStyle w:val="editortnoteditedwurp8"/>
          <w:color w:val="191919"/>
          <w:spacing w:val="2"/>
          <w:sz w:val="24"/>
          <w:szCs w:val="24"/>
          <w:shd w:val="clear" w:color="auto" w:fill="FFFFFF"/>
        </w:rPr>
        <w:t xml:space="preserve"> credibility and accountability. Good ESG performance may reflect good risk management, compliance with regulators, and operational efficiency, thus appealing to investors who increasingly care about sustainable finance (Lins et al., 2017).</w:t>
      </w:r>
    </w:p>
    <w:p w14:paraId="138A9C82" w14:textId="77777777" w:rsidR="007D145F" w:rsidRPr="00986069" w:rsidRDefault="007D145F" w:rsidP="007D145F">
      <w:pPr>
        <w:jc w:val="both"/>
        <w:rPr>
          <w:rStyle w:val="editortnoteditedwurp8"/>
          <w:color w:val="191919"/>
          <w:spacing w:val="2"/>
          <w:sz w:val="24"/>
          <w:szCs w:val="24"/>
          <w:shd w:val="clear" w:color="auto" w:fill="FFFFFF"/>
        </w:rPr>
      </w:pPr>
    </w:p>
    <w:p w14:paraId="47A2F288"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Together, the theories provide a basis for understanding why firms with better ESG performance may have less sensitivity to the changes in financial leverage compared with firms with lower ESG scores</w:t>
      </w:r>
      <w:r>
        <w:rPr>
          <w:rStyle w:val="editortnoteditedwurp8"/>
          <w:color w:val="191919"/>
          <w:spacing w:val="2"/>
          <w:sz w:val="24"/>
          <w:szCs w:val="24"/>
          <w:shd w:val="clear" w:color="auto" w:fill="FFFFFF"/>
        </w:rPr>
        <w:t>,</w:t>
      </w:r>
      <w:r w:rsidRPr="00986069">
        <w:rPr>
          <w:rStyle w:val="editortnoteditedwurp8"/>
          <w:color w:val="191919"/>
          <w:spacing w:val="2"/>
          <w:sz w:val="24"/>
          <w:szCs w:val="24"/>
          <w:shd w:val="clear" w:color="auto" w:fill="FFFFFF"/>
        </w:rPr>
        <w:t xml:space="preserve"> where stakeholder theory explains why firms invest in ESG and signaling theory explains how ESG performance influences investor and creditor behavior thus impacting leverage and risk.</w:t>
      </w:r>
    </w:p>
    <w:p w14:paraId="513F13F0" w14:textId="77777777" w:rsidR="007D145F" w:rsidRPr="00986069" w:rsidRDefault="007D145F" w:rsidP="007D145F">
      <w:pPr>
        <w:jc w:val="both"/>
        <w:rPr>
          <w:rStyle w:val="editortnoteditedwurp8"/>
          <w:color w:val="191919"/>
          <w:spacing w:val="2"/>
          <w:sz w:val="24"/>
          <w:szCs w:val="24"/>
          <w:shd w:val="clear" w:color="auto" w:fill="FFFFFF"/>
        </w:rPr>
      </w:pPr>
    </w:p>
    <w:p w14:paraId="7BECB16E" w14:textId="77777777" w:rsidR="007D145F" w:rsidRDefault="007D145F" w:rsidP="007D145F">
      <w:pPr>
        <w:pStyle w:val="Heading2"/>
        <w:jc w:val="both"/>
        <w:rPr>
          <w:rStyle w:val="editortnoteditedwurp8"/>
          <w:b/>
          <w:bCs/>
        </w:rPr>
      </w:pPr>
      <w:bookmarkStart w:id="7" w:name="_Toc194903430"/>
      <w:r w:rsidRPr="004D119C">
        <w:rPr>
          <w:rStyle w:val="editortnoteditedwurp8"/>
          <w:b/>
          <w:bCs/>
        </w:rPr>
        <w:t>1.4 Industry Trends and Regulatory Landscape</w:t>
      </w:r>
      <w:bookmarkEnd w:id="7"/>
    </w:p>
    <w:p w14:paraId="3A0113D7" w14:textId="77777777" w:rsidR="00E90521" w:rsidRPr="004D119C" w:rsidRDefault="00E90521" w:rsidP="007D145F">
      <w:pPr>
        <w:pStyle w:val="Heading2"/>
        <w:jc w:val="both"/>
        <w:rPr>
          <w:rStyle w:val="editortnoteditedwurp8"/>
          <w:b/>
          <w:bCs/>
        </w:rPr>
      </w:pPr>
    </w:p>
    <w:p w14:paraId="425FC198"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The regulatory and investor landscape for oil and gas firms is rapidly changing as the regulatory framework and investor expectations change. Some of the trends in the industry include:</w:t>
      </w:r>
    </w:p>
    <w:p w14:paraId="6E92CF24" w14:textId="77777777" w:rsidR="007D145F" w:rsidRPr="00986069" w:rsidRDefault="007D145F" w:rsidP="007D145F">
      <w:pPr>
        <w:jc w:val="both"/>
        <w:rPr>
          <w:rStyle w:val="editortnoteditedwurp8"/>
          <w:color w:val="191919"/>
          <w:spacing w:val="2"/>
          <w:sz w:val="24"/>
          <w:szCs w:val="24"/>
          <w:shd w:val="clear" w:color="auto" w:fill="FFFFFF"/>
        </w:rPr>
      </w:pPr>
    </w:p>
    <w:p w14:paraId="112179A3"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The prominence of ESG can be coupled with regulatory amendments as can be seen with The European Green Deal (2019) and U.S. SEC Climate Disclosure Rules (2023) that require strict compliance by publicly listed companies. Integrated energy companies are being pressured to adhere to these regulations in their financial reports to attract and retain institutional investors (European Commission, 2019).</w:t>
      </w:r>
    </w:p>
    <w:p w14:paraId="4C4428DF"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 xml:space="preserve"> </w:t>
      </w:r>
    </w:p>
    <w:p w14:paraId="6DE0D7DD"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In addition to this, giant banks such as JPMorgan Chase and Goldman Sachs have committed to reduce lending to fossil fuel projects, consequently leading to higher borrowing expenses for companies that do not adhere to these policies (Bloomberg, 2022). The Norwegian Sovereign Wealth Fund, which one of the world’s largest institutional investors has been involved in numerous divestment strategies of oil and gas companies due to poor ESG performance, citing the impendence of long-term risks (Reuters, 2021).</w:t>
      </w:r>
    </w:p>
    <w:p w14:paraId="65C625DB" w14:textId="77777777" w:rsidR="007D145F" w:rsidRPr="00986069" w:rsidRDefault="007D145F" w:rsidP="007D145F">
      <w:pPr>
        <w:jc w:val="both"/>
        <w:rPr>
          <w:rStyle w:val="editortnoteditedwurp8"/>
          <w:color w:val="191919"/>
          <w:spacing w:val="2"/>
          <w:sz w:val="24"/>
          <w:szCs w:val="24"/>
          <w:shd w:val="clear" w:color="auto" w:fill="FFFFFF"/>
        </w:rPr>
      </w:pPr>
    </w:p>
    <w:p w14:paraId="7DA72409"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These trends point to a definite movement towards ESG-influenced financial decision-making, and it is therefore crucial for oil and gas companies to synchronize their leverage strategies with ESG performance.</w:t>
      </w:r>
    </w:p>
    <w:p w14:paraId="101E798A" w14:textId="77777777" w:rsidR="007D145F" w:rsidRPr="004D119C" w:rsidRDefault="007D145F" w:rsidP="007D145F">
      <w:pPr>
        <w:jc w:val="both"/>
        <w:rPr>
          <w:rStyle w:val="editortnoteditedwurp8"/>
          <w:color w:val="191919"/>
          <w:spacing w:val="2"/>
          <w:shd w:val="clear" w:color="auto" w:fill="FFFFFF"/>
        </w:rPr>
      </w:pPr>
    </w:p>
    <w:p w14:paraId="7C2957CE" w14:textId="77777777" w:rsidR="007D145F" w:rsidRDefault="007D145F" w:rsidP="007D145F">
      <w:pPr>
        <w:pStyle w:val="Heading2"/>
        <w:jc w:val="both"/>
        <w:rPr>
          <w:rStyle w:val="editortnoteditedwurp8"/>
          <w:b/>
          <w:bCs/>
        </w:rPr>
      </w:pPr>
      <w:bookmarkStart w:id="8" w:name="_Toc194903431"/>
      <w:r w:rsidRPr="004D119C">
        <w:rPr>
          <w:rStyle w:val="editortnoteditedwurp8"/>
          <w:b/>
          <w:bCs/>
        </w:rPr>
        <w:t>1.5 Research Problem</w:t>
      </w:r>
      <w:bookmarkEnd w:id="8"/>
    </w:p>
    <w:p w14:paraId="3963CC54" w14:textId="77777777" w:rsidR="00E90521" w:rsidRPr="004D119C" w:rsidRDefault="00E90521" w:rsidP="007D145F">
      <w:pPr>
        <w:pStyle w:val="Heading2"/>
        <w:jc w:val="both"/>
        <w:rPr>
          <w:rStyle w:val="editortnoteditedwurp8"/>
          <w:b/>
          <w:bCs/>
        </w:rPr>
      </w:pPr>
    </w:p>
    <w:p w14:paraId="591A6E46" w14:textId="77777777" w:rsidR="007D145F"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There is a broad range of literature that examines the financial leverage-firm performance relationship but has limited knowledge about how ESG performance engages with financial health proxies, especially among risky sectors such as oil and gas. In addition to this is the uncertainty about whether ESG performance acts as a moderating variable that buffers or exaggerates the ICR-DER relationship. Since oil and gas companies experience a special set of financial and environmental challenges, exploration of this moderation effect is also critical in revealing how sustainability strategies impact financial risk management.</w:t>
      </w:r>
    </w:p>
    <w:p w14:paraId="54B450E1" w14:textId="77777777" w:rsidR="00E90521" w:rsidRPr="00986069" w:rsidRDefault="00E90521" w:rsidP="007D145F">
      <w:pPr>
        <w:jc w:val="both"/>
        <w:rPr>
          <w:rStyle w:val="editortnoteditedwurp8"/>
          <w:color w:val="191919"/>
          <w:spacing w:val="2"/>
          <w:sz w:val="24"/>
          <w:szCs w:val="24"/>
          <w:shd w:val="clear" w:color="auto" w:fill="FFFFFF"/>
        </w:rPr>
      </w:pPr>
    </w:p>
    <w:p w14:paraId="660557C2" w14:textId="77777777" w:rsidR="007D145F" w:rsidRDefault="007D145F" w:rsidP="007D145F">
      <w:pPr>
        <w:pStyle w:val="Heading2"/>
        <w:jc w:val="both"/>
        <w:rPr>
          <w:rStyle w:val="editortnoteditedwurp8"/>
          <w:b/>
          <w:bCs/>
          <w:color w:val="191919"/>
          <w:spacing w:val="2"/>
          <w:shd w:val="clear" w:color="auto" w:fill="FFFFFF"/>
        </w:rPr>
      </w:pPr>
      <w:bookmarkStart w:id="9" w:name="_Toc194903432"/>
      <w:r w:rsidRPr="004D119C">
        <w:rPr>
          <w:rStyle w:val="editortnoteditedwurp8"/>
          <w:b/>
          <w:bCs/>
          <w:color w:val="191919"/>
          <w:spacing w:val="2"/>
          <w:shd w:val="clear" w:color="auto" w:fill="FFFFFF"/>
        </w:rPr>
        <w:t>1.6 Research Question:</w:t>
      </w:r>
      <w:bookmarkEnd w:id="9"/>
    </w:p>
    <w:p w14:paraId="2E4889D6" w14:textId="77777777" w:rsidR="00E90521" w:rsidRPr="004D119C" w:rsidRDefault="00E90521" w:rsidP="007D145F">
      <w:pPr>
        <w:pStyle w:val="Heading2"/>
        <w:jc w:val="both"/>
        <w:rPr>
          <w:rStyle w:val="editortnoteditedwurp8"/>
          <w:b/>
          <w:bCs/>
          <w:color w:val="191919"/>
          <w:spacing w:val="2"/>
          <w:shd w:val="clear" w:color="auto" w:fill="FFFFFF"/>
        </w:rPr>
      </w:pPr>
    </w:p>
    <w:p w14:paraId="76048FA1"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Derived from the articulated research problem, this research formulates the following research question;</w:t>
      </w:r>
    </w:p>
    <w:p w14:paraId="280711BF" w14:textId="77777777" w:rsidR="007D145F" w:rsidRPr="00986069" w:rsidRDefault="007D145F" w:rsidP="007D145F">
      <w:pPr>
        <w:jc w:val="both"/>
        <w:rPr>
          <w:rStyle w:val="editortnoteditedwurp8"/>
          <w:color w:val="191919"/>
          <w:spacing w:val="2"/>
          <w:sz w:val="24"/>
          <w:szCs w:val="24"/>
          <w:shd w:val="clear" w:color="auto" w:fill="FFFFFF"/>
        </w:rPr>
      </w:pPr>
    </w:p>
    <w:p w14:paraId="32408269" w14:textId="77777777" w:rsidR="007D145F" w:rsidRPr="00986069" w:rsidRDefault="007D145F" w:rsidP="007D145F">
      <w:pPr>
        <w:jc w:val="both"/>
        <w:rPr>
          <w:rStyle w:val="editortnoteditedwurp8"/>
          <w:color w:val="191919"/>
          <w:spacing w:val="2"/>
          <w:sz w:val="24"/>
          <w:szCs w:val="24"/>
          <w:shd w:val="clear" w:color="auto" w:fill="FFFFFF"/>
        </w:rPr>
      </w:pPr>
      <w:r w:rsidRPr="00986069">
        <w:rPr>
          <w:rStyle w:val="editortnoteditedwurp8"/>
          <w:color w:val="191919"/>
          <w:spacing w:val="2"/>
          <w:sz w:val="24"/>
          <w:szCs w:val="24"/>
          <w:shd w:val="clear" w:color="auto" w:fill="FFFFFF"/>
        </w:rPr>
        <w:t>1.How does the relationship between Debt-to-Equity Ratio (DER) and Interest Coverage Ratio (ICR) vary depending on Bloomberg ESG Scores in oil and gas companies?</w:t>
      </w:r>
    </w:p>
    <w:p w14:paraId="6FD7CE8F" w14:textId="77777777" w:rsidR="007D145F" w:rsidRPr="00986069" w:rsidRDefault="007D145F" w:rsidP="007D145F">
      <w:pPr>
        <w:jc w:val="both"/>
        <w:rPr>
          <w:rStyle w:val="editortnoteditedwurp8"/>
          <w:color w:val="191919"/>
          <w:spacing w:val="2"/>
          <w:sz w:val="24"/>
          <w:szCs w:val="24"/>
          <w:shd w:val="clear" w:color="auto" w:fill="FFFFFF"/>
        </w:rPr>
      </w:pPr>
    </w:p>
    <w:p w14:paraId="451C2AAD" w14:textId="77777777" w:rsidR="007D145F" w:rsidRPr="00986069" w:rsidRDefault="007D145F" w:rsidP="007D145F">
      <w:pPr>
        <w:jc w:val="both"/>
        <w:rPr>
          <w:sz w:val="24"/>
          <w:szCs w:val="24"/>
        </w:rPr>
      </w:pPr>
      <w:r w:rsidRPr="00986069">
        <w:rPr>
          <w:sz w:val="24"/>
          <w:szCs w:val="24"/>
        </w:rPr>
        <w:t>The oil and gas industry is highly regulated and economically complex, where the measures of financial health: Interest Coverage Ratio (ICR) and Debt-to-Equity Ratio (DER) determine companies' financial capacities. ESG performance has become the focus of interest, and the knowledge of how financial leverage is affected by ESG drivers has never been more relevant. Prior studies have established that companies which apply ESG principles take on lower financial risk and pay a lower borrowing cost, but how far compounding ESG performance as a moderator could affect the relationship between ICR and DER in the oil and gas sector remains rather unexplored.</w:t>
      </w:r>
    </w:p>
    <w:p w14:paraId="649E09E2" w14:textId="77777777" w:rsidR="007D145F" w:rsidRPr="004D119C" w:rsidRDefault="007D145F" w:rsidP="007D145F">
      <w:pPr>
        <w:jc w:val="both"/>
      </w:pPr>
    </w:p>
    <w:p w14:paraId="1DEE178B" w14:textId="77777777" w:rsidR="007D145F" w:rsidRPr="004D119C" w:rsidRDefault="007D145F" w:rsidP="007D145F">
      <w:pPr>
        <w:jc w:val="both"/>
      </w:pPr>
    </w:p>
    <w:p w14:paraId="5209ED50" w14:textId="77777777" w:rsidR="007D145F" w:rsidRPr="00986069" w:rsidRDefault="007D145F" w:rsidP="007D145F">
      <w:pPr>
        <w:jc w:val="both"/>
        <w:rPr>
          <w:sz w:val="24"/>
          <w:szCs w:val="24"/>
        </w:rPr>
      </w:pPr>
      <w:r w:rsidRPr="00986069">
        <w:rPr>
          <w:sz w:val="24"/>
          <w:szCs w:val="24"/>
        </w:rPr>
        <w:t>Through the examination of this relationship, the current study attempts to fill the existing gap in research and establish empirical evidence of the moderating effect of ESG performance on financial risk management.</w:t>
      </w:r>
    </w:p>
    <w:p w14:paraId="442FEA0C" w14:textId="77777777" w:rsidR="007D145F" w:rsidRDefault="007D145F" w:rsidP="007D145F">
      <w:pPr>
        <w:pStyle w:val="Heading1"/>
        <w:jc w:val="both"/>
      </w:pPr>
    </w:p>
    <w:p w14:paraId="61E1EA48" w14:textId="24BEBB9B" w:rsidR="007D145F" w:rsidRDefault="007D145F" w:rsidP="007D145F">
      <w:pPr>
        <w:pStyle w:val="Heading1"/>
        <w:jc w:val="both"/>
      </w:pPr>
      <w:bookmarkStart w:id="10" w:name="_Toc194903433"/>
      <w:r>
        <w:t xml:space="preserve">Chapter </w:t>
      </w:r>
      <w:r w:rsidRPr="004D119C">
        <w:t>2. Literature Review</w:t>
      </w:r>
      <w:bookmarkEnd w:id="10"/>
    </w:p>
    <w:p w14:paraId="12D11635" w14:textId="77777777" w:rsidR="007D145F" w:rsidRPr="004D119C" w:rsidRDefault="007D145F" w:rsidP="007D145F">
      <w:pPr>
        <w:pStyle w:val="Heading1"/>
        <w:jc w:val="both"/>
        <w:rPr>
          <w:b w:val="0"/>
          <w:bCs w:val="0"/>
        </w:rPr>
      </w:pPr>
    </w:p>
    <w:p w14:paraId="32E5AC4A" w14:textId="77777777" w:rsidR="007D145F" w:rsidRPr="004D119C" w:rsidRDefault="007D145F" w:rsidP="007D145F">
      <w:pPr>
        <w:pStyle w:val="Heading2"/>
        <w:jc w:val="both"/>
        <w:rPr>
          <w:b/>
          <w:bCs/>
        </w:rPr>
      </w:pPr>
      <w:bookmarkStart w:id="11" w:name="_dwxesnlexfbm" w:colFirst="0" w:colLast="0"/>
      <w:bookmarkStart w:id="12" w:name="_Toc194903434"/>
      <w:bookmarkEnd w:id="11"/>
      <w:r w:rsidRPr="004D119C">
        <w:rPr>
          <w:b/>
          <w:bCs/>
        </w:rPr>
        <w:t>2.1 Review of International Studies</w:t>
      </w:r>
      <w:bookmarkEnd w:id="12"/>
    </w:p>
    <w:p w14:paraId="300F6E72" w14:textId="77777777" w:rsidR="007D145F" w:rsidRPr="004D119C" w:rsidRDefault="007D145F" w:rsidP="007D145F">
      <w:pPr>
        <w:jc w:val="both"/>
      </w:pPr>
    </w:p>
    <w:p w14:paraId="5B0CE3E7" w14:textId="77777777" w:rsidR="007D145F" w:rsidRPr="00986069" w:rsidRDefault="007D145F" w:rsidP="007D145F">
      <w:pPr>
        <w:jc w:val="both"/>
        <w:rPr>
          <w:sz w:val="24"/>
          <w:szCs w:val="24"/>
        </w:rPr>
      </w:pPr>
      <w:r w:rsidRPr="00986069">
        <w:rPr>
          <w:sz w:val="24"/>
          <w:szCs w:val="24"/>
        </w:rPr>
        <w:t>The relationship between debt structure, solvency, and ESG in oil and gas corporations has become an area of critical research</w:t>
      </w:r>
      <w:r>
        <w:rPr>
          <w:sz w:val="24"/>
          <w:szCs w:val="24"/>
        </w:rPr>
        <w:t>,</w:t>
      </w:r>
      <w:r w:rsidRPr="00986069">
        <w:rPr>
          <w:sz w:val="24"/>
          <w:szCs w:val="24"/>
        </w:rPr>
        <w:t xml:space="preserve"> especially under stakeholder theory and signaling theory. These concepts offer robust frameworks for understanding how ESG issues may impact the financial metrics of </w:t>
      </w:r>
      <w:r>
        <w:rPr>
          <w:sz w:val="24"/>
          <w:szCs w:val="24"/>
        </w:rPr>
        <w:t xml:space="preserve">the </w:t>
      </w:r>
      <w:r w:rsidRPr="00986069">
        <w:rPr>
          <w:sz w:val="24"/>
          <w:szCs w:val="24"/>
        </w:rPr>
        <w:t xml:space="preserve">debt-to-equity ratio (DER) and interest coverage ratio (ICR), especially in a high-risk industry like oil and gas. </w:t>
      </w:r>
    </w:p>
    <w:p w14:paraId="1890029E" w14:textId="77777777" w:rsidR="007D145F" w:rsidRPr="00986069" w:rsidRDefault="007D145F" w:rsidP="007D145F">
      <w:pPr>
        <w:jc w:val="both"/>
        <w:rPr>
          <w:sz w:val="24"/>
          <w:szCs w:val="24"/>
        </w:rPr>
      </w:pPr>
    </w:p>
    <w:p w14:paraId="67C117E0" w14:textId="77777777" w:rsidR="007D145F" w:rsidRPr="00986069" w:rsidRDefault="007D145F" w:rsidP="007D145F">
      <w:pPr>
        <w:jc w:val="both"/>
        <w:rPr>
          <w:sz w:val="24"/>
          <w:szCs w:val="24"/>
        </w:rPr>
      </w:pPr>
      <w:r w:rsidRPr="00986069">
        <w:rPr>
          <w:sz w:val="24"/>
          <w:szCs w:val="24"/>
        </w:rPr>
        <w:t>The oil and gas industry is unique for its heavy environmental footprint, capital-intensive endeavors, and considerable regulatory scrutiny. The financial health and attendant strategies of the industry, however, tie very closely with its capital structure, which is at times capacitively informed by solvency metrics and stakeholder pressures. This literature review examines the relationship between various financial and non-financial elements through three different key themes</w:t>
      </w:r>
      <w:r>
        <w:rPr>
          <w:sz w:val="24"/>
          <w:szCs w:val="24"/>
        </w:rPr>
        <w:t>,</w:t>
      </w:r>
      <w:r w:rsidRPr="00986069">
        <w:rPr>
          <w:sz w:val="24"/>
          <w:szCs w:val="24"/>
        </w:rPr>
        <w:t xml:space="preserve"> which are</w:t>
      </w:r>
    </w:p>
    <w:p w14:paraId="75BDDA38" w14:textId="77777777" w:rsidR="007D145F" w:rsidRPr="00986069" w:rsidRDefault="007D145F" w:rsidP="007D145F">
      <w:pPr>
        <w:jc w:val="both"/>
        <w:rPr>
          <w:sz w:val="24"/>
          <w:szCs w:val="24"/>
        </w:rPr>
      </w:pPr>
    </w:p>
    <w:p w14:paraId="0F697B20" w14:textId="77777777" w:rsidR="007D145F" w:rsidRPr="00986069" w:rsidRDefault="007D145F" w:rsidP="007D145F">
      <w:pPr>
        <w:pStyle w:val="ListParagraph"/>
        <w:widowControl/>
        <w:numPr>
          <w:ilvl w:val="0"/>
          <w:numId w:val="11"/>
        </w:numPr>
        <w:autoSpaceDE/>
        <w:autoSpaceDN/>
        <w:spacing w:line="276" w:lineRule="auto"/>
        <w:contextualSpacing/>
        <w:jc w:val="both"/>
        <w:rPr>
          <w:sz w:val="24"/>
          <w:szCs w:val="24"/>
        </w:rPr>
      </w:pPr>
      <w:r w:rsidRPr="00986069">
        <w:rPr>
          <w:sz w:val="24"/>
          <w:szCs w:val="24"/>
        </w:rPr>
        <w:t>Solvency Metrics and Capital Structure Decisions</w:t>
      </w:r>
    </w:p>
    <w:p w14:paraId="5CA539F0" w14:textId="77777777" w:rsidR="007D145F" w:rsidRPr="00986069" w:rsidRDefault="007D145F" w:rsidP="007D145F">
      <w:pPr>
        <w:pStyle w:val="ListParagraph"/>
        <w:widowControl/>
        <w:numPr>
          <w:ilvl w:val="0"/>
          <w:numId w:val="11"/>
        </w:numPr>
        <w:autoSpaceDE/>
        <w:autoSpaceDN/>
        <w:spacing w:line="276" w:lineRule="auto"/>
        <w:contextualSpacing/>
        <w:jc w:val="both"/>
        <w:rPr>
          <w:sz w:val="24"/>
          <w:szCs w:val="24"/>
        </w:rPr>
      </w:pPr>
      <w:r w:rsidRPr="00986069">
        <w:rPr>
          <w:sz w:val="24"/>
          <w:szCs w:val="24"/>
        </w:rPr>
        <w:t xml:space="preserve">ESG Performance as a </w:t>
      </w:r>
      <w:r>
        <w:rPr>
          <w:sz w:val="24"/>
          <w:szCs w:val="24"/>
        </w:rPr>
        <w:t>Moderating Variable</w:t>
      </w:r>
    </w:p>
    <w:p w14:paraId="49AC98AF" w14:textId="77777777" w:rsidR="007D145F" w:rsidRPr="00986069" w:rsidRDefault="007D145F" w:rsidP="007D145F">
      <w:pPr>
        <w:pStyle w:val="ListParagraph"/>
        <w:widowControl/>
        <w:numPr>
          <w:ilvl w:val="0"/>
          <w:numId w:val="11"/>
        </w:numPr>
        <w:autoSpaceDE/>
        <w:autoSpaceDN/>
        <w:spacing w:line="276" w:lineRule="auto"/>
        <w:contextualSpacing/>
        <w:jc w:val="both"/>
        <w:rPr>
          <w:sz w:val="24"/>
          <w:szCs w:val="24"/>
        </w:rPr>
      </w:pPr>
      <w:r w:rsidRPr="00986069">
        <w:rPr>
          <w:sz w:val="24"/>
          <w:szCs w:val="24"/>
        </w:rPr>
        <w:t xml:space="preserve">Sector-specific Dynamics in oil and gas </w:t>
      </w:r>
    </w:p>
    <w:p w14:paraId="7D6A4C02" w14:textId="77777777" w:rsidR="007D145F" w:rsidRPr="00986069" w:rsidRDefault="007D145F" w:rsidP="007D145F">
      <w:pPr>
        <w:jc w:val="both"/>
        <w:rPr>
          <w:sz w:val="24"/>
          <w:szCs w:val="24"/>
        </w:rPr>
      </w:pPr>
    </w:p>
    <w:p w14:paraId="71F2F224" w14:textId="77777777" w:rsidR="007D145F" w:rsidRDefault="007D145F" w:rsidP="007D145F">
      <w:pPr>
        <w:jc w:val="both"/>
        <w:rPr>
          <w:sz w:val="24"/>
          <w:szCs w:val="24"/>
        </w:rPr>
      </w:pPr>
      <w:r w:rsidRPr="00986069">
        <w:rPr>
          <w:sz w:val="24"/>
          <w:szCs w:val="24"/>
        </w:rPr>
        <w:t>By analyzing studies that explore these aspects, this review aims to provide a comprehensive understanding of how ESG performance interacts with financial stability and strategic decision-making in this sector</w:t>
      </w:r>
      <w:r>
        <w:rPr>
          <w:sz w:val="24"/>
          <w:szCs w:val="24"/>
        </w:rPr>
        <w:t>.</w:t>
      </w:r>
    </w:p>
    <w:p w14:paraId="1B0F8257" w14:textId="77777777" w:rsidR="007D145F" w:rsidRPr="001C5640" w:rsidRDefault="007D145F" w:rsidP="007D145F">
      <w:pPr>
        <w:jc w:val="both"/>
        <w:rPr>
          <w:sz w:val="24"/>
          <w:szCs w:val="24"/>
        </w:rPr>
      </w:pPr>
    </w:p>
    <w:p w14:paraId="10405461" w14:textId="77777777" w:rsidR="007D145F" w:rsidRPr="00986069" w:rsidRDefault="007D145F" w:rsidP="007D145F">
      <w:pPr>
        <w:pStyle w:val="Heading3"/>
        <w:jc w:val="both"/>
        <w:rPr>
          <w:b w:val="0"/>
          <w:bCs w:val="0"/>
        </w:rPr>
      </w:pPr>
      <w:bookmarkStart w:id="13" w:name="_Toc194903435"/>
      <w:r w:rsidRPr="00986069">
        <w:t>2.1.1 Solvency Metrics and Capital Structure Decisions</w:t>
      </w:r>
      <w:bookmarkEnd w:id="13"/>
    </w:p>
    <w:p w14:paraId="0EF1C61D" w14:textId="77777777" w:rsidR="007D145F" w:rsidRPr="004D119C" w:rsidRDefault="007D145F" w:rsidP="007D145F">
      <w:pPr>
        <w:jc w:val="both"/>
      </w:pPr>
    </w:p>
    <w:p w14:paraId="6C49F4D7" w14:textId="77777777" w:rsidR="007D145F" w:rsidRPr="00986069" w:rsidRDefault="007D145F" w:rsidP="007D145F">
      <w:pPr>
        <w:jc w:val="both"/>
        <w:rPr>
          <w:sz w:val="24"/>
          <w:szCs w:val="24"/>
        </w:rPr>
      </w:pPr>
      <w:r w:rsidRPr="00986069">
        <w:rPr>
          <w:sz w:val="24"/>
          <w:szCs w:val="24"/>
        </w:rPr>
        <w:t>A major pillar of financial health involves solvency ratios</w:t>
      </w:r>
      <w:r>
        <w:rPr>
          <w:sz w:val="24"/>
          <w:szCs w:val="24"/>
        </w:rPr>
        <w:t>,</w:t>
      </w:r>
      <w:r w:rsidRPr="00986069">
        <w:rPr>
          <w:sz w:val="24"/>
          <w:szCs w:val="24"/>
        </w:rPr>
        <w:t xml:space="preserve"> and the prime very important in knowing the financial health and the ability to pay of a company: interest coverage ratio (ICR) and debt-to-equity ratio (DER). These ratios have special significance in the oil and gas industry, where companies often find themselves with huge capital investments in an industry laden with fluctuations in commodity prices.</w:t>
      </w:r>
    </w:p>
    <w:p w14:paraId="6C42BFAF" w14:textId="77777777" w:rsidR="007D145F" w:rsidRPr="00986069" w:rsidRDefault="007D145F" w:rsidP="007D145F">
      <w:pPr>
        <w:jc w:val="both"/>
        <w:rPr>
          <w:sz w:val="24"/>
          <w:szCs w:val="24"/>
        </w:rPr>
      </w:pPr>
    </w:p>
    <w:p w14:paraId="57C085D9" w14:textId="77777777" w:rsidR="007D145F" w:rsidRPr="00986069" w:rsidRDefault="007D145F" w:rsidP="007D145F">
      <w:pPr>
        <w:jc w:val="both"/>
        <w:rPr>
          <w:sz w:val="24"/>
          <w:szCs w:val="24"/>
        </w:rPr>
      </w:pPr>
      <w:r w:rsidRPr="00986069">
        <w:rPr>
          <w:sz w:val="24"/>
          <w:szCs w:val="24"/>
        </w:rPr>
        <w:t>Greenwald (2019) elaborated on the significance of the interest coverage covenants protecting the interests of creditor stakeholders. Their study found that lenders impose very stringent ICR conditions to protect themselves from default risks</w:t>
      </w:r>
      <w:r>
        <w:rPr>
          <w:sz w:val="24"/>
          <w:szCs w:val="24"/>
        </w:rPr>
        <w:t>,</w:t>
      </w:r>
      <w:r w:rsidRPr="00986069">
        <w:rPr>
          <w:sz w:val="24"/>
          <w:szCs w:val="24"/>
        </w:rPr>
        <w:t xml:space="preserve"> especially in areas where cyclical revenue applies. The "interest coverage channel" presumes that companies with better ICRs are in a position of greater financial flexibility, enabling them to withstand financial adversities- an important consideration for oil and gas firms that are so directly affected by moving oil prices. </w:t>
      </w:r>
    </w:p>
    <w:p w14:paraId="0FDBB79E" w14:textId="77777777" w:rsidR="007D145F" w:rsidRPr="00986069" w:rsidRDefault="007D145F" w:rsidP="007D145F">
      <w:pPr>
        <w:jc w:val="both"/>
        <w:rPr>
          <w:sz w:val="24"/>
          <w:szCs w:val="24"/>
        </w:rPr>
      </w:pPr>
    </w:p>
    <w:p w14:paraId="7B1FDD72" w14:textId="3F9613D9" w:rsidR="007D145F" w:rsidRPr="00986069" w:rsidRDefault="007D145F" w:rsidP="007D145F">
      <w:pPr>
        <w:jc w:val="both"/>
        <w:rPr>
          <w:sz w:val="24"/>
          <w:szCs w:val="24"/>
        </w:rPr>
      </w:pPr>
      <w:r w:rsidRPr="00986069">
        <w:rPr>
          <w:sz w:val="24"/>
          <w:szCs w:val="24"/>
        </w:rPr>
        <w:t xml:space="preserve">In the study by Utama et al. (2023), debt metrics affecting the financial performance of banking institutions were examined. The study finally concluded that the measures </w:t>
      </w:r>
      <w:r>
        <w:rPr>
          <w:sz w:val="24"/>
          <w:szCs w:val="24"/>
        </w:rPr>
        <w:t xml:space="preserve">of </w:t>
      </w:r>
      <w:r w:rsidRPr="00986069">
        <w:rPr>
          <w:sz w:val="24"/>
          <w:szCs w:val="24"/>
        </w:rPr>
        <w:t xml:space="preserve">DER and ICR influenced financial stability. Each of these measures reflects the interests of different stakeholders. In the case of DER, it looked at the </w:t>
      </w:r>
      <w:r w:rsidR="0056380F">
        <w:rPr>
          <w:sz w:val="24"/>
          <w:szCs w:val="24"/>
        </w:rPr>
        <w:t>debt to equity</w:t>
      </w:r>
      <w:r w:rsidRPr="00986069">
        <w:rPr>
          <w:sz w:val="24"/>
          <w:szCs w:val="24"/>
        </w:rPr>
        <w:t xml:space="preserve"> stakeholder balance, whereas ICR had to deal with crediting interest. Their study was confined to banks, but it is a relevant consideration for oil and gas firms, where the financing through </w:t>
      </w:r>
      <w:r>
        <w:rPr>
          <w:sz w:val="24"/>
          <w:szCs w:val="24"/>
        </w:rPr>
        <w:t>debt</w:t>
      </w:r>
      <w:r w:rsidRPr="00986069">
        <w:rPr>
          <w:sz w:val="24"/>
          <w:szCs w:val="24"/>
        </w:rPr>
        <w:t xml:space="preserve"> with its bargaining strengths and subsequent levels of financial resilience-becomes essential for strategy. </w:t>
      </w:r>
    </w:p>
    <w:p w14:paraId="107F4F56" w14:textId="77777777" w:rsidR="007D145F" w:rsidRPr="00986069" w:rsidRDefault="007D145F" w:rsidP="007D145F">
      <w:pPr>
        <w:jc w:val="both"/>
        <w:rPr>
          <w:sz w:val="24"/>
          <w:szCs w:val="24"/>
        </w:rPr>
      </w:pPr>
    </w:p>
    <w:p w14:paraId="7F133F86" w14:textId="77777777" w:rsidR="007D145F" w:rsidRPr="00986069" w:rsidRDefault="007D145F" w:rsidP="007D145F">
      <w:pPr>
        <w:jc w:val="both"/>
        <w:rPr>
          <w:sz w:val="24"/>
          <w:szCs w:val="24"/>
        </w:rPr>
      </w:pPr>
      <w:r w:rsidRPr="00986069">
        <w:rPr>
          <w:sz w:val="24"/>
          <w:szCs w:val="24"/>
        </w:rPr>
        <w:t xml:space="preserve">Mandeville and Yusuf (2022) argue that capital structure has a significant bearing on corporate governance, whereby highly </w:t>
      </w:r>
      <w:r>
        <w:rPr>
          <w:sz w:val="24"/>
          <w:szCs w:val="24"/>
        </w:rPr>
        <w:t>debt-financed</w:t>
      </w:r>
      <w:r w:rsidRPr="00986069">
        <w:rPr>
          <w:sz w:val="24"/>
          <w:szCs w:val="24"/>
        </w:rPr>
        <w:t xml:space="preserve"> firms will deploy more stringent governance regimes to protect stakeholder interests. This suggests that the debt-laden oil and gas companies would further strengthen their governance mechanisms, with potential inclusion of ESG disclosures, to assure investors and gain favorable access to financing.</w:t>
      </w:r>
    </w:p>
    <w:p w14:paraId="2078FB1B" w14:textId="77777777" w:rsidR="007D145F" w:rsidRPr="00986069" w:rsidRDefault="007D145F" w:rsidP="007D145F">
      <w:pPr>
        <w:jc w:val="both"/>
        <w:rPr>
          <w:sz w:val="24"/>
          <w:szCs w:val="24"/>
        </w:rPr>
      </w:pPr>
    </w:p>
    <w:p w14:paraId="5C46055C" w14:textId="77777777" w:rsidR="007D145F" w:rsidRPr="00986069" w:rsidRDefault="007D145F" w:rsidP="007D145F">
      <w:pPr>
        <w:jc w:val="both"/>
        <w:rPr>
          <w:sz w:val="24"/>
          <w:szCs w:val="24"/>
        </w:rPr>
      </w:pPr>
      <w:r w:rsidRPr="00986069">
        <w:rPr>
          <w:sz w:val="24"/>
          <w:szCs w:val="24"/>
        </w:rPr>
        <w:t>Recent research by Grosu et al. (2023) on oil and gas financial firm sustainability illustrates how solvency indicators fit into broader financial resilience strategies. What they have found is that traditional debt indicators must be balanced against new sustainability indicators when measuring financial health in the industry.</w:t>
      </w:r>
    </w:p>
    <w:p w14:paraId="0548905D" w14:textId="77777777" w:rsidR="007D145F" w:rsidRPr="00986069" w:rsidRDefault="007D145F" w:rsidP="007D145F">
      <w:pPr>
        <w:jc w:val="both"/>
        <w:rPr>
          <w:sz w:val="24"/>
          <w:szCs w:val="24"/>
        </w:rPr>
      </w:pPr>
    </w:p>
    <w:p w14:paraId="4BD6EF84" w14:textId="77777777" w:rsidR="007D145F" w:rsidRPr="00986069" w:rsidRDefault="007D145F" w:rsidP="007D145F">
      <w:pPr>
        <w:jc w:val="both"/>
        <w:rPr>
          <w:sz w:val="24"/>
          <w:szCs w:val="24"/>
        </w:rPr>
      </w:pPr>
      <w:r w:rsidRPr="00986069">
        <w:rPr>
          <w:sz w:val="24"/>
          <w:szCs w:val="24"/>
        </w:rPr>
        <w:t>Furthermore, Hartono et al. (2024) contrasted past leaders of prominent oil and gas corporations to ascertain if there is any relationship between solvency measures and long-term economic health. The study found that corporations that exercise a conservative approach to debt are in a better position to survive periods of economic downturn, upholding the argument that managing solvency matters in economic stability.</w:t>
      </w:r>
    </w:p>
    <w:p w14:paraId="0FAF697B" w14:textId="77777777" w:rsidR="007D145F" w:rsidRPr="00986069" w:rsidRDefault="007D145F" w:rsidP="007D145F">
      <w:pPr>
        <w:jc w:val="both"/>
        <w:rPr>
          <w:sz w:val="24"/>
          <w:szCs w:val="24"/>
        </w:rPr>
      </w:pPr>
    </w:p>
    <w:p w14:paraId="576E54F2" w14:textId="1ED47B97" w:rsidR="007D145F" w:rsidRDefault="007D145F" w:rsidP="007D145F">
      <w:pPr>
        <w:jc w:val="both"/>
        <w:rPr>
          <w:sz w:val="24"/>
          <w:szCs w:val="24"/>
        </w:rPr>
      </w:pPr>
      <w:r w:rsidRPr="00986069">
        <w:rPr>
          <w:sz w:val="24"/>
          <w:szCs w:val="24"/>
        </w:rPr>
        <w:t xml:space="preserve">Signaling theory implies that financially healthy companies with good solvency ratios can employ ESG disclosures as a signal to distinguish themselves from financially less healthy rivals. </w:t>
      </w:r>
    </w:p>
    <w:p w14:paraId="589610E4" w14:textId="77777777" w:rsidR="00201C5B" w:rsidRDefault="00201C5B" w:rsidP="007D145F">
      <w:pPr>
        <w:jc w:val="both"/>
        <w:rPr>
          <w:sz w:val="24"/>
          <w:szCs w:val="24"/>
        </w:rPr>
      </w:pPr>
    </w:p>
    <w:p w14:paraId="1012EE25" w14:textId="53B968F6" w:rsidR="00201C5B" w:rsidRDefault="00201C5B" w:rsidP="007D145F">
      <w:pPr>
        <w:jc w:val="both"/>
        <w:rPr>
          <w:sz w:val="24"/>
          <w:szCs w:val="24"/>
        </w:rPr>
      </w:pPr>
      <w:r>
        <w:rPr>
          <w:sz w:val="24"/>
          <w:szCs w:val="24"/>
        </w:rPr>
        <w:br w:type="page"/>
      </w:r>
    </w:p>
    <w:p w14:paraId="58E2FF6A" w14:textId="77777777" w:rsidR="007D145F" w:rsidRPr="00986069" w:rsidRDefault="007D145F" w:rsidP="007D145F">
      <w:pPr>
        <w:jc w:val="both"/>
        <w:rPr>
          <w:sz w:val="24"/>
          <w:szCs w:val="24"/>
        </w:rPr>
      </w:pPr>
    </w:p>
    <w:p w14:paraId="0D26CCF3" w14:textId="77777777" w:rsidR="007D145F" w:rsidRPr="00986069" w:rsidRDefault="007D145F" w:rsidP="007D145F">
      <w:pPr>
        <w:pStyle w:val="Heading3"/>
        <w:jc w:val="both"/>
        <w:rPr>
          <w:b w:val="0"/>
          <w:bCs w:val="0"/>
        </w:rPr>
      </w:pPr>
      <w:bookmarkStart w:id="14" w:name="_Toc194903436"/>
      <w:r w:rsidRPr="00986069">
        <w:t>2.1.2 ESG Performance as a Moderating Variable</w:t>
      </w:r>
      <w:bookmarkEnd w:id="14"/>
    </w:p>
    <w:p w14:paraId="24914CB6" w14:textId="77777777" w:rsidR="007D145F" w:rsidRPr="004D119C" w:rsidRDefault="007D145F" w:rsidP="007D145F">
      <w:pPr>
        <w:jc w:val="both"/>
      </w:pPr>
    </w:p>
    <w:p w14:paraId="7538B210" w14:textId="77777777" w:rsidR="007D145F" w:rsidRPr="00986069" w:rsidRDefault="007D145F" w:rsidP="007D145F">
      <w:pPr>
        <w:jc w:val="both"/>
        <w:rPr>
          <w:sz w:val="24"/>
          <w:szCs w:val="24"/>
        </w:rPr>
      </w:pPr>
      <w:r w:rsidRPr="00986069">
        <w:rPr>
          <w:sz w:val="24"/>
          <w:szCs w:val="24"/>
        </w:rPr>
        <w:t xml:space="preserve">The impact of ESG performance on solvency and financials has grown in prominence, specifically </w:t>
      </w:r>
      <w:r>
        <w:rPr>
          <w:sz w:val="24"/>
          <w:szCs w:val="24"/>
        </w:rPr>
        <w:t>in</w:t>
      </w:r>
      <w:r w:rsidRPr="00986069">
        <w:rPr>
          <w:sz w:val="24"/>
          <w:szCs w:val="24"/>
        </w:rPr>
        <w:t xml:space="preserve"> environmentally and socially sensitive industries. Stakeholder theory is an appropriate lens through which to examine how ESG drivers impact financing conditions and business strategy.</w:t>
      </w:r>
    </w:p>
    <w:p w14:paraId="6AA067D1" w14:textId="77777777" w:rsidR="007D145F" w:rsidRPr="00986069" w:rsidRDefault="007D145F" w:rsidP="007D145F">
      <w:pPr>
        <w:jc w:val="both"/>
        <w:rPr>
          <w:sz w:val="24"/>
          <w:szCs w:val="24"/>
        </w:rPr>
      </w:pPr>
    </w:p>
    <w:p w14:paraId="26BBB45D" w14:textId="77777777" w:rsidR="007D145F" w:rsidRPr="00986069" w:rsidRDefault="007D145F" w:rsidP="007D145F">
      <w:pPr>
        <w:jc w:val="both"/>
        <w:rPr>
          <w:sz w:val="24"/>
          <w:szCs w:val="24"/>
        </w:rPr>
      </w:pPr>
      <w:r w:rsidRPr="00986069">
        <w:rPr>
          <w:sz w:val="24"/>
          <w:szCs w:val="24"/>
        </w:rPr>
        <w:t>Ariefianto et al. (2024)</w:t>
      </w:r>
      <w:r>
        <w:rPr>
          <w:sz w:val="24"/>
          <w:szCs w:val="24"/>
        </w:rPr>
        <w:t>,</w:t>
      </w:r>
      <w:r w:rsidRPr="00986069">
        <w:rPr>
          <w:sz w:val="24"/>
          <w:szCs w:val="24"/>
        </w:rPr>
        <w:t xml:space="preserve"> in their study</w:t>
      </w:r>
      <w:r>
        <w:rPr>
          <w:sz w:val="24"/>
          <w:szCs w:val="24"/>
        </w:rPr>
        <w:t>,</w:t>
      </w:r>
      <w:r w:rsidRPr="00986069">
        <w:rPr>
          <w:sz w:val="24"/>
          <w:szCs w:val="24"/>
        </w:rPr>
        <w:t xml:space="preserve"> discovered that a higher ESG score substantially decreases the cost incurred on debt, suggesting that lenders consider sustainability concerns while evaluating risk parameters. With a focus on ASEAN countries, their study concludes that improved reputation in versatile stakeholder categories stemming from ESG performance results in decreased perceived risk</w:t>
      </w:r>
      <w:r>
        <w:rPr>
          <w:sz w:val="24"/>
          <w:szCs w:val="24"/>
        </w:rPr>
        <w:t>,</w:t>
      </w:r>
      <w:r w:rsidRPr="00986069">
        <w:rPr>
          <w:sz w:val="24"/>
          <w:szCs w:val="24"/>
        </w:rPr>
        <w:t xml:space="preserve"> thus leading to better borrowing conditions. Furthermore, this is complemented by Kjellevoll and Wilberg (2023) in their study</w:t>
      </w:r>
      <w:r>
        <w:rPr>
          <w:sz w:val="24"/>
          <w:szCs w:val="24"/>
        </w:rPr>
        <w:t>,</w:t>
      </w:r>
      <w:r w:rsidRPr="00986069">
        <w:rPr>
          <w:sz w:val="24"/>
          <w:szCs w:val="24"/>
        </w:rPr>
        <w:t xml:space="preserve"> which established a strong influence of ESG rating </w:t>
      </w:r>
      <w:r>
        <w:rPr>
          <w:sz w:val="24"/>
          <w:szCs w:val="24"/>
        </w:rPr>
        <w:t>on</w:t>
      </w:r>
      <w:r w:rsidRPr="00986069">
        <w:rPr>
          <w:sz w:val="24"/>
          <w:szCs w:val="24"/>
        </w:rPr>
        <w:t xml:space="preserve"> </w:t>
      </w:r>
      <w:r>
        <w:rPr>
          <w:sz w:val="24"/>
          <w:szCs w:val="24"/>
        </w:rPr>
        <w:t xml:space="preserve">the </w:t>
      </w:r>
      <w:r w:rsidRPr="00986069">
        <w:rPr>
          <w:sz w:val="24"/>
          <w:szCs w:val="24"/>
        </w:rPr>
        <w:t>cost of debt, presenting the influence of environmental constituents such as community foundations and regulatory frameworks on corporate financial performance. This furthers the premise of stakeholder theory</w:t>
      </w:r>
      <w:r>
        <w:rPr>
          <w:sz w:val="24"/>
          <w:szCs w:val="24"/>
        </w:rPr>
        <w:t>,</w:t>
      </w:r>
      <w:r w:rsidRPr="00986069">
        <w:rPr>
          <w:sz w:val="24"/>
          <w:szCs w:val="24"/>
        </w:rPr>
        <w:t xml:space="preserve"> where companies have an obligation to take into consideration the concerns of all stakeholders</w:t>
      </w:r>
      <w:r>
        <w:rPr>
          <w:sz w:val="24"/>
          <w:szCs w:val="24"/>
        </w:rPr>
        <w:t>,</w:t>
      </w:r>
      <w:r w:rsidRPr="00986069">
        <w:rPr>
          <w:sz w:val="24"/>
          <w:szCs w:val="24"/>
        </w:rPr>
        <w:t xml:space="preserve"> given the proven fact that an ESG-conscious performance can reduce the impending risks of regulatory policies and enhance long-term financial health.</w:t>
      </w:r>
    </w:p>
    <w:p w14:paraId="0A031BCB" w14:textId="77777777" w:rsidR="007D145F" w:rsidRPr="00986069" w:rsidRDefault="007D145F" w:rsidP="007D145F">
      <w:pPr>
        <w:jc w:val="both"/>
        <w:rPr>
          <w:sz w:val="24"/>
          <w:szCs w:val="24"/>
        </w:rPr>
      </w:pPr>
    </w:p>
    <w:p w14:paraId="344E0394" w14:textId="77777777" w:rsidR="007D145F" w:rsidRPr="00986069" w:rsidRDefault="007D145F" w:rsidP="007D145F">
      <w:pPr>
        <w:jc w:val="both"/>
        <w:rPr>
          <w:sz w:val="24"/>
          <w:szCs w:val="24"/>
        </w:rPr>
      </w:pPr>
      <w:r w:rsidRPr="00986069">
        <w:rPr>
          <w:sz w:val="24"/>
          <w:szCs w:val="24"/>
        </w:rPr>
        <w:t xml:space="preserve">The CGEP (2023) report details the influence of ESG in financing debt in the oil and gas industry. The study concretes the idea that a poor ESG performance results in higher financing costs due to perceptions of higher risk in assets as well as regulation, and it further strengthens the conclusions of the previously mentioned studies that significant ESG performance </w:t>
      </w:r>
      <w:r>
        <w:rPr>
          <w:sz w:val="24"/>
          <w:szCs w:val="24"/>
        </w:rPr>
        <w:t>catalyzes</w:t>
      </w:r>
      <w:r w:rsidRPr="00986069">
        <w:rPr>
          <w:sz w:val="24"/>
          <w:szCs w:val="24"/>
        </w:rPr>
        <w:t xml:space="preserve"> better terms due to the demonstration of resilience in both sustainability and operations. The study proves that ESG incorporation is a determinant of risk evaluations along with conventional financial metrics that are regarded </w:t>
      </w:r>
      <w:r>
        <w:rPr>
          <w:sz w:val="24"/>
          <w:szCs w:val="24"/>
        </w:rPr>
        <w:t xml:space="preserve">as </w:t>
      </w:r>
      <w:r w:rsidRPr="00986069">
        <w:rPr>
          <w:sz w:val="24"/>
          <w:szCs w:val="24"/>
        </w:rPr>
        <w:t>of great importance in the oil and gas sector.</w:t>
      </w:r>
    </w:p>
    <w:p w14:paraId="2FEC0D86" w14:textId="77777777" w:rsidR="007D145F" w:rsidRPr="00986069" w:rsidRDefault="007D145F" w:rsidP="007D145F">
      <w:pPr>
        <w:jc w:val="both"/>
        <w:rPr>
          <w:sz w:val="24"/>
          <w:szCs w:val="24"/>
        </w:rPr>
      </w:pPr>
    </w:p>
    <w:p w14:paraId="0DCF8F78" w14:textId="77777777" w:rsidR="007D145F" w:rsidRPr="00986069" w:rsidRDefault="007D145F" w:rsidP="007D145F">
      <w:pPr>
        <w:jc w:val="both"/>
        <w:rPr>
          <w:sz w:val="24"/>
          <w:szCs w:val="24"/>
        </w:rPr>
      </w:pPr>
      <w:r w:rsidRPr="00986069">
        <w:rPr>
          <w:sz w:val="24"/>
          <w:szCs w:val="24"/>
        </w:rPr>
        <w:t>Within the ESG constituents, the environmental dimension was noticed to be of significant influence. Apergis et al. (2022)</w:t>
      </w:r>
      <w:r>
        <w:rPr>
          <w:sz w:val="24"/>
          <w:szCs w:val="24"/>
        </w:rPr>
        <w:t>,</w:t>
      </w:r>
      <w:r w:rsidRPr="00986069">
        <w:rPr>
          <w:sz w:val="24"/>
          <w:szCs w:val="24"/>
        </w:rPr>
        <w:t xml:space="preserve"> in their study, demonstrated that factors concerning the environment </w:t>
      </w:r>
      <w:r>
        <w:rPr>
          <w:sz w:val="24"/>
          <w:szCs w:val="24"/>
        </w:rPr>
        <w:t>tend</w:t>
      </w:r>
      <w:r w:rsidRPr="00986069">
        <w:rPr>
          <w:sz w:val="24"/>
          <w:szCs w:val="24"/>
        </w:rPr>
        <w:t xml:space="preserve"> to dominate ESG’s financial impact in the oil and gas sector, which can be attributed to the substantial environmental footprint coupled with stringent regulatory exposure.</w:t>
      </w:r>
    </w:p>
    <w:p w14:paraId="6EBFB480" w14:textId="77777777" w:rsidR="007D145F" w:rsidRPr="00986069" w:rsidRDefault="007D145F" w:rsidP="007D145F">
      <w:pPr>
        <w:jc w:val="both"/>
        <w:rPr>
          <w:sz w:val="24"/>
          <w:szCs w:val="24"/>
        </w:rPr>
      </w:pPr>
    </w:p>
    <w:p w14:paraId="4B7C7E65" w14:textId="6E3C7264" w:rsidR="007D145F" w:rsidRPr="00986069" w:rsidRDefault="007D145F" w:rsidP="007D145F">
      <w:pPr>
        <w:jc w:val="both"/>
        <w:rPr>
          <w:sz w:val="24"/>
          <w:szCs w:val="24"/>
        </w:rPr>
      </w:pPr>
      <w:r w:rsidRPr="00986069">
        <w:rPr>
          <w:sz w:val="24"/>
          <w:szCs w:val="24"/>
        </w:rPr>
        <w:t>Despite the studies proving the relationship between ESG performance and reduced cost of debt, Moesga</w:t>
      </w:r>
      <w:r w:rsidR="00F8431B">
        <w:rPr>
          <w:sz w:val="24"/>
          <w:szCs w:val="24"/>
        </w:rPr>
        <w:t xml:space="preserve">ard (2024) and the CGEP (2023) </w:t>
      </w:r>
      <w:r w:rsidRPr="00986069">
        <w:rPr>
          <w:sz w:val="24"/>
          <w:szCs w:val="24"/>
        </w:rPr>
        <w:t>present that these relationships rely on the context and that other factors</w:t>
      </w:r>
      <w:r>
        <w:rPr>
          <w:sz w:val="24"/>
          <w:szCs w:val="24"/>
        </w:rPr>
        <w:t>,</w:t>
      </w:r>
      <w:r w:rsidRPr="00986069">
        <w:rPr>
          <w:sz w:val="24"/>
          <w:szCs w:val="24"/>
        </w:rPr>
        <w:t xml:space="preserve"> such as credit ratings and market conditions</w:t>
      </w:r>
      <w:r>
        <w:rPr>
          <w:sz w:val="24"/>
          <w:szCs w:val="24"/>
        </w:rPr>
        <w:t>,</w:t>
      </w:r>
      <w:r w:rsidRPr="00986069">
        <w:rPr>
          <w:sz w:val="24"/>
          <w:szCs w:val="24"/>
        </w:rPr>
        <w:t xml:space="preserve"> are significant determinants.</w:t>
      </w:r>
    </w:p>
    <w:p w14:paraId="0209D81D" w14:textId="77777777" w:rsidR="007D145F" w:rsidRPr="00986069" w:rsidRDefault="007D145F" w:rsidP="007D145F">
      <w:pPr>
        <w:jc w:val="both"/>
        <w:rPr>
          <w:sz w:val="24"/>
          <w:szCs w:val="24"/>
        </w:rPr>
      </w:pPr>
    </w:p>
    <w:p w14:paraId="4EB487D5" w14:textId="77777777" w:rsidR="007D145F" w:rsidRPr="00326532" w:rsidRDefault="007D145F" w:rsidP="007D145F">
      <w:pPr>
        <w:jc w:val="both"/>
        <w:rPr>
          <w:sz w:val="24"/>
          <w:szCs w:val="24"/>
        </w:rPr>
      </w:pPr>
      <w:r w:rsidRPr="00326532">
        <w:rPr>
          <w:sz w:val="24"/>
          <w:szCs w:val="24"/>
        </w:rPr>
        <w:t>While the studies exploring debt and ESG performance are still being studied, numerous studies on improved financial performance through ESG have also been prominent. Iazzolino et al. (2023) present evident links between ESG practices and financial efficiency, emphasizing sustained benefits and prevention of risk potential in energy companies. The study reveals that environmental factors, in particular, demonstrate a strong correlation with financial performance while also observing variances in ESG impacts across sectors. The study establishes that investments in sustainability, while requiring time to earn financial gains, it is crucial for oil and gas firms to undergo energy transitions to sustain.</w:t>
      </w:r>
    </w:p>
    <w:p w14:paraId="7ECBD22A" w14:textId="77777777" w:rsidR="007D145F" w:rsidRPr="00326532" w:rsidRDefault="007D145F" w:rsidP="007D145F">
      <w:pPr>
        <w:jc w:val="both"/>
        <w:rPr>
          <w:sz w:val="24"/>
          <w:szCs w:val="24"/>
        </w:rPr>
      </w:pPr>
    </w:p>
    <w:p w14:paraId="13C2C4C4" w14:textId="77777777" w:rsidR="00201C5B" w:rsidRDefault="007D145F" w:rsidP="007D145F">
      <w:pPr>
        <w:jc w:val="both"/>
        <w:rPr>
          <w:sz w:val="24"/>
          <w:szCs w:val="24"/>
        </w:rPr>
      </w:pPr>
      <w:r w:rsidRPr="00326532">
        <w:rPr>
          <w:sz w:val="24"/>
          <w:szCs w:val="24"/>
        </w:rPr>
        <w:t xml:space="preserve">Apergis et al. (2022) provides complex insights in their exploration of the non-linear relationships where their analysis depicts environmental performance influencing ESG’s </w:t>
      </w:r>
    </w:p>
    <w:p w14:paraId="42DAF176" w14:textId="77777777" w:rsidR="00201C5B" w:rsidRDefault="00201C5B" w:rsidP="007D145F">
      <w:pPr>
        <w:jc w:val="both"/>
        <w:rPr>
          <w:sz w:val="24"/>
          <w:szCs w:val="24"/>
        </w:rPr>
      </w:pPr>
    </w:p>
    <w:p w14:paraId="6C4A99A7" w14:textId="32034781" w:rsidR="007D145F" w:rsidRPr="00326532" w:rsidRDefault="007D145F" w:rsidP="007D145F">
      <w:pPr>
        <w:jc w:val="both"/>
        <w:rPr>
          <w:sz w:val="24"/>
          <w:szCs w:val="24"/>
        </w:rPr>
      </w:pPr>
      <w:r w:rsidRPr="00326532">
        <w:rPr>
          <w:sz w:val="24"/>
          <w:szCs w:val="24"/>
        </w:rPr>
        <w:t>impact on firm value, which was measured in terms of Tobin’s Q diminishing the marginal returns beyond certain limits. This study deploys a robust framework understanding individual ESG components, controlling for firm size, solvency, and profitability. The findings indicate that oil and gas companies must prioritize impactful environmental initiatives to improve financial returns to the fullest from ESG investments.</w:t>
      </w:r>
    </w:p>
    <w:p w14:paraId="536E12C0" w14:textId="77777777" w:rsidR="007D145F" w:rsidRDefault="007D145F" w:rsidP="006323E1">
      <w:pPr>
        <w:pStyle w:val="Heading3"/>
        <w:ind w:left="0" w:firstLine="0"/>
      </w:pPr>
    </w:p>
    <w:p w14:paraId="5D300E58" w14:textId="0AD2C8CD" w:rsidR="007D145F" w:rsidRPr="00986069" w:rsidRDefault="007D145F" w:rsidP="007D145F">
      <w:pPr>
        <w:pStyle w:val="Heading3"/>
        <w:rPr>
          <w:b w:val="0"/>
          <w:bCs w:val="0"/>
        </w:rPr>
      </w:pPr>
      <w:bookmarkStart w:id="15" w:name="_Toc194903437"/>
      <w:r w:rsidRPr="00986069">
        <w:t>2.1.3 Sector-Specific Dynamics in Oil and Gas</w:t>
      </w:r>
      <w:bookmarkEnd w:id="15"/>
    </w:p>
    <w:p w14:paraId="17A32C06" w14:textId="77777777" w:rsidR="007D145F" w:rsidRPr="004D119C" w:rsidRDefault="007D145F" w:rsidP="007D145F">
      <w:pPr>
        <w:jc w:val="both"/>
      </w:pPr>
    </w:p>
    <w:p w14:paraId="69DCA4CA" w14:textId="77777777" w:rsidR="007D145F" w:rsidRPr="00986069" w:rsidRDefault="007D145F" w:rsidP="007D145F">
      <w:pPr>
        <w:jc w:val="both"/>
        <w:rPr>
          <w:sz w:val="24"/>
          <w:szCs w:val="24"/>
        </w:rPr>
      </w:pPr>
      <w:r w:rsidRPr="00986069">
        <w:rPr>
          <w:sz w:val="24"/>
          <w:szCs w:val="24"/>
        </w:rPr>
        <w:t>Regulatory scrutiny, high carbon emissions</w:t>
      </w:r>
      <w:r>
        <w:rPr>
          <w:sz w:val="24"/>
          <w:szCs w:val="24"/>
        </w:rPr>
        <w:t>,</w:t>
      </w:r>
      <w:r w:rsidRPr="00986069">
        <w:rPr>
          <w:sz w:val="24"/>
          <w:szCs w:val="24"/>
        </w:rPr>
        <w:t xml:space="preserve"> and long-term investment strategies sum up the complex landscape of the oil and gas industry. It presents sector-specific challenges and opportunities pertaining to ESG incorporation given its </w:t>
      </w:r>
      <w:r>
        <w:rPr>
          <w:sz w:val="24"/>
          <w:szCs w:val="24"/>
        </w:rPr>
        <w:t>high-emission</w:t>
      </w:r>
      <w:r w:rsidRPr="00986069">
        <w:rPr>
          <w:sz w:val="24"/>
          <w:szCs w:val="24"/>
        </w:rPr>
        <w:t xml:space="preserve"> nature, thus creating a complicated environment to balance between financial and non-financial stakeholder needs and demands.</w:t>
      </w:r>
    </w:p>
    <w:p w14:paraId="50AAC594" w14:textId="77777777" w:rsidR="007D145F" w:rsidRPr="00986069" w:rsidRDefault="007D145F" w:rsidP="007D145F">
      <w:pPr>
        <w:jc w:val="both"/>
        <w:rPr>
          <w:sz w:val="24"/>
          <w:szCs w:val="24"/>
        </w:rPr>
      </w:pPr>
    </w:p>
    <w:p w14:paraId="426AA3B2" w14:textId="77777777" w:rsidR="007D145F" w:rsidRPr="00986069" w:rsidRDefault="007D145F" w:rsidP="007D145F">
      <w:pPr>
        <w:jc w:val="both"/>
        <w:rPr>
          <w:sz w:val="24"/>
          <w:szCs w:val="24"/>
        </w:rPr>
      </w:pPr>
      <w:r w:rsidRPr="00986069">
        <w:rPr>
          <w:sz w:val="24"/>
          <w:szCs w:val="24"/>
        </w:rPr>
        <w:t>Szczepańczyk et al. (2023)</w:t>
      </w:r>
      <w:r>
        <w:rPr>
          <w:sz w:val="24"/>
          <w:szCs w:val="24"/>
        </w:rPr>
        <w:t>,</w:t>
      </w:r>
      <w:r w:rsidRPr="00986069">
        <w:rPr>
          <w:sz w:val="24"/>
          <w:szCs w:val="24"/>
        </w:rPr>
        <w:t xml:space="preserve"> upon investigating a case study on UNIMOT, an energy and fuel company</w:t>
      </w:r>
      <w:r>
        <w:rPr>
          <w:sz w:val="24"/>
          <w:szCs w:val="24"/>
        </w:rPr>
        <w:t>,</w:t>
      </w:r>
      <w:r w:rsidRPr="00986069">
        <w:rPr>
          <w:sz w:val="24"/>
          <w:szCs w:val="24"/>
        </w:rPr>
        <w:t xml:space="preserve"> depicts the correlation of strengthened financial performance with ESG incorporation. The results yielded in the study proved </w:t>
      </w:r>
      <w:r>
        <w:rPr>
          <w:sz w:val="24"/>
          <w:szCs w:val="24"/>
        </w:rPr>
        <w:t xml:space="preserve">that </w:t>
      </w:r>
      <w:r w:rsidRPr="00986069">
        <w:rPr>
          <w:sz w:val="24"/>
          <w:szCs w:val="24"/>
        </w:rPr>
        <w:t xml:space="preserve">the proactive approach in ESG led to creating </w:t>
      </w:r>
      <w:r>
        <w:rPr>
          <w:sz w:val="24"/>
          <w:szCs w:val="24"/>
        </w:rPr>
        <w:t xml:space="preserve">a </w:t>
      </w:r>
      <w:r w:rsidRPr="00986069">
        <w:rPr>
          <w:sz w:val="24"/>
          <w:szCs w:val="24"/>
        </w:rPr>
        <w:t xml:space="preserve">concrete impact in financial value. This aligns with the previously mentioned stakeholder theory calling for the </w:t>
      </w:r>
      <w:r>
        <w:rPr>
          <w:sz w:val="24"/>
          <w:szCs w:val="24"/>
        </w:rPr>
        <w:t>benefits</w:t>
      </w:r>
      <w:r w:rsidRPr="00986069">
        <w:rPr>
          <w:sz w:val="24"/>
          <w:szCs w:val="24"/>
        </w:rPr>
        <w:t xml:space="preserve"> businesses derive from the consideration of a broader array of stakeholder interests instead of concentrated focus on short-term financial gains- a definite non-affordable luxury for oil and gas companies.</w:t>
      </w:r>
    </w:p>
    <w:p w14:paraId="1016B0D8" w14:textId="77777777" w:rsidR="007D145F" w:rsidRPr="00986069" w:rsidRDefault="007D145F" w:rsidP="007D145F">
      <w:pPr>
        <w:jc w:val="both"/>
        <w:rPr>
          <w:sz w:val="24"/>
          <w:szCs w:val="24"/>
        </w:rPr>
      </w:pPr>
    </w:p>
    <w:p w14:paraId="518B0564" w14:textId="77777777" w:rsidR="007D145F" w:rsidRPr="00986069" w:rsidRDefault="007D145F" w:rsidP="007D145F">
      <w:pPr>
        <w:jc w:val="both"/>
        <w:rPr>
          <w:sz w:val="24"/>
          <w:szCs w:val="24"/>
        </w:rPr>
      </w:pPr>
      <w:r w:rsidRPr="00986069">
        <w:rPr>
          <w:sz w:val="24"/>
          <w:szCs w:val="24"/>
        </w:rPr>
        <w:t xml:space="preserve">Furthermore, Aruna et al. (2024) investigated the relationship between financial leverage and environmental disclosures in Nigeria, </w:t>
      </w:r>
      <w:r>
        <w:rPr>
          <w:sz w:val="24"/>
          <w:szCs w:val="24"/>
        </w:rPr>
        <w:t>which</w:t>
      </w:r>
      <w:r w:rsidRPr="00986069">
        <w:rPr>
          <w:sz w:val="24"/>
          <w:szCs w:val="24"/>
        </w:rPr>
        <w:t xml:space="preserve"> emphasized the role regulatory stakeholders play in molding the behaviors of </w:t>
      </w:r>
      <w:r>
        <w:rPr>
          <w:sz w:val="24"/>
          <w:szCs w:val="24"/>
        </w:rPr>
        <w:t>corporations</w:t>
      </w:r>
      <w:r w:rsidRPr="00986069">
        <w:rPr>
          <w:sz w:val="24"/>
          <w:szCs w:val="24"/>
        </w:rPr>
        <w:t xml:space="preserve">. The findings indicated that varying forms of debt financing come </w:t>
      </w:r>
      <w:r>
        <w:rPr>
          <w:sz w:val="24"/>
          <w:szCs w:val="24"/>
        </w:rPr>
        <w:t xml:space="preserve">with </w:t>
      </w:r>
      <w:r w:rsidRPr="00986069">
        <w:rPr>
          <w:sz w:val="24"/>
          <w:szCs w:val="24"/>
        </w:rPr>
        <w:t xml:space="preserve">different impacts on ESG practices, suggesting that firms have to maneuver various stakeholder expectations while establishing the capital structure. Drawing upon the CGEP (2023) report again, the report notified the risks of stranded </w:t>
      </w:r>
      <w:r>
        <w:rPr>
          <w:sz w:val="24"/>
          <w:szCs w:val="24"/>
        </w:rPr>
        <w:t>assets</w:t>
      </w:r>
      <w:r w:rsidRPr="00986069">
        <w:rPr>
          <w:sz w:val="24"/>
          <w:szCs w:val="24"/>
        </w:rPr>
        <w:t xml:space="preserve"> and reducing investor interest</w:t>
      </w:r>
      <w:r>
        <w:rPr>
          <w:sz w:val="24"/>
          <w:szCs w:val="24"/>
        </w:rPr>
        <w:t>,</w:t>
      </w:r>
      <w:r w:rsidRPr="00986069">
        <w:rPr>
          <w:sz w:val="24"/>
          <w:szCs w:val="24"/>
        </w:rPr>
        <w:t xml:space="preserve"> creating a potential for financial challenges for the sector affecting DER and ICR.</w:t>
      </w:r>
    </w:p>
    <w:p w14:paraId="5D5AACA3" w14:textId="77777777" w:rsidR="007D145F" w:rsidRPr="00986069" w:rsidRDefault="007D145F" w:rsidP="007D145F">
      <w:pPr>
        <w:jc w:val="both"/>
        <w:rPr>
          <w:sz w:val="24"/>
          <w:szCs w:val="24"/>
        </w:rPr>
      </w:pPr>
    </w:p>
    <w:p w14:paraId="7A9DC4D9" w14:textId="77777777" w:rsidR="007D145F" w:rsidRDefault="007D145F" w:rsidP="007D145F">
      <w:pPr>
        <w:jc w:val="both"/>
        <w:rPr>
          <w:sz w:val="24"/>
          <w:szCs w:val="24"/>
        </w:rPr>
      </w:pPr>
      <w:r w:rsidRPr="00986069">
        <w:rPr>
          <w:sz w:val="24"/>
          <w:szCs w:val="24"/>
        </w:rPr>
        <w:t>This review brings to light the relevance of stakeholder theory in establishing the susceptible relationships of capital structure, solvency</w:t>
      </w:r>
      <w:r>
        <w:rPr>
          <w:sz w:val="24"/>
          <w:szCs w:val="24"/>
        </w:rPr>
        <w:t>,</w:t>
      </w:r>
      <w:r w:rsidRPr="00986069">
        <w:rPr>
          <w:sz w:val="24"/>
          <w:szCs w:val="24"/>
        </w:rPr>
        <w:t xml:space="preserve"> and ESG in general and with the oil and gas sector. Adding onto this is the signaling theory that acts complementary to the stakeholder theory</w:t>
      </w:r>
      <w:r>
        <w:rPr>
          <w:sz w:val="24"/>
          <w:szCs w:val="24"/>
        </w:rPr>
        <w:t>,</w:t>
      </w:r>
      <w:r w:rsidRPr="00986069">
        <w:rPr>
          <w:sz w:val="24"/>
          <w:szCs w:val="24"/>
        </w:rPr>
        <w:t xml:space="preserve"> highlighting the role of ESG disclosures as potential signals indicating financial resilience and responsibility towards sustainability. The adoption of these theoretical frameworks allows future research to navigate further into the ever-evolving financial landscape linked to ESG.</w:t>
      </w:r>
    </w:p>
    <w:p w14:paraId="5FDFB954" w14:textId="77777777" w:rsidR="00E90521" w:rsidRDefault="00E90521" w:rsidP="007D145F">
      <w:pPr>
        <w:jc w:val="both"/>
        <w:rPr>
          <w:sz w:val="24"/>
          <w:szCs w:val="24"/>
        </w:rPr>
      </w:pPr>
    </w:p>
    <w:p w14:paraId="2431D1FD" w14:textId="77777777" w:rsidR="00E90521" w:rsidRPr="001C5640" w:rsidRDefault="00E90521" w:rsidP="007D145F">
      <w:pPr>
        <w:jc w:val="both"/>
        <w:rPr>
          <w:sz w:val="24"/>
          <w:szCs w:val="24"/>
        </w:rPr>
      </w:pPr>
    </w:p>
    <w:p w14:paraId="1195BEA8" w14:textId="77777777" w:rsidR="007D145F" w:rsidRPr="00986069" w:rsidRDefault="007D145F" w:rsidP="007D145F">
      <w:pPr>
        <w:pStyle w:val="Heading2"/>
        <w:jc w:val="both"/>
        <w:rPr>
          <w:b/>
          <w:bCs/>
        </w:rPr>
      </w:pPr>
      <w:bookmarkStart w:id="16" w:name="_Toc194903438"/>
      <w:r w:rsidRPr="00986069">
        <w:rPr>
          <w:b/>
          <w:bCs/>
        </w:rPr>
        <w:t>2.2 Research Gap</w:t>
      </w:r>
      <w:bookmarkEnd w:id="16"/>
    </w:p>
    <w:p w14:paraId="38BFF664" w14:textId="77777777" w:rsidR="007D145F" w:rsidRPr="004D119C" w:rsidRDefault="007D145F" w:rsidP="007D145F">
      <w:pPr>
        <w:jc w:val="both"/>
      </w:pPr>
    </w:p>
    <w:p w14:paraId="646E0E49" w14:textId="77777777" w:rsidR="00201C5B" w:rsidRDefault="007D145F" w:rsidP="007D145F">
      <w:pPr>
        <w:jc w:val="both"/>
        <w:rPr>
          <w:sz w:val="24"/>
          <w:szCs w:val="24"/>
        </w:rPr>
      </w:pPr>
      <w:r w:rsidRPr="00986069">
        <w:rPr>
          <w:sz w:val="24"/>
          <w:szCs w:val="24"/>
        </w:rPr>
        <w:t xml:space="preserve">The exploration of the relationship governing financial performance and capital structure remains a slowly evolving area of study. While metrics such as interest coverage ratio (ICR) and Debt-to-Equity Ratio (DER) have been studied in corporate finance, the existence of substantial studies on how ICR influences corporate leverage or debt to equity in particular has been limited. The current studies have been primarily focused </w:t>
      </w:r>
      <w:r>
        <w:rPr>
          <w:sz w:val="24"/>
          <w:szCs w:val="24"/>
        </w:rPr>
        <w:t>on</w:t>
      </w:r>
      <w:r w:rsidRPr="00986069">
        <w:rPr>
          <w:sz w:val="24"/>
          <w:szCs w:val="24"/>
        </w:rPr>
        <w:t xml:space="preserve"> the corporate finance settings, with little focus provided to specific industries or even the role of ESG as a moderator. Notably, there is </w:t>
      </w:r>
      <w:r>
        <w:rPr>
          <w:sz w:val="24"/>
          <w:szCs w:val="24"/>
        </w:rPr>
        <w:t xml:space="preserve">a </w:t>
      </w:r>
      <w:r w:rsidRPr="00986069">
        <w:rPr>
          <w:sz w:val="24"/>
          <w:szCs w:val="24"/>
        </w:rPr>
        <w:t xml:space="preserve">dearth </w:t>
      </w:r>
      <w:r>
        <w:rPr>
          <w:sz w:val="24"/>
          <w:szCs w:val="24"/>
        </w:rPr>
        <w:t>of</w:t>
      </w:r>
      <w:r w:rsidRPr="00986069">
        <w:rPr>
          <w:sz w:val="24"/>
          <w:szCs w:val="24"/>
        </w:rPr>
        <w:t xml:space="preserve"> research studying the interaction between ICR and DER, particularly within </w:t>
      </w:r>
    </w:p>
    <w:p w14:paraId="0C1A45D1" w14:textId="77777777" w:rsidR="00201C5B" w:rsidRDefault="00201C5B" w:rsidP="007D145F">
      <w:pPr>
        <w:jc w:val="both"/>
        <w:rPr>
          <w:sz w:val="24"/>
          <w:szCs w:val="24"/>
        </w:rPr>
      </w:pPr>
    </w:p>
    <w:p w14:paraId="375C3F7B" w14:textId="6D26FF3A" w:rsidR="007D145F" w:rsidRPr="00986069" w:rsidRDefault="007D145F" w:rsidP="007D145F">
      <w:pPr>
        <w:jc w:val="both"/>
        <w:rPr>
          <w:sz w:val="24"/>
          <w:szCs w:val="24"/>
        </w:rPr>
      </w:pPr>
      <w:r w:rsidRPr="00986069">
        <w:rPr>
          <w:sz w:val="24"/>
          <w:szCs w:val="24"/>
        </w:rPr>
        <w:t xml:space="preserve">the moderating landscape of ESG. Most literature that </w:t>
      </w:r>
      <w:r>
        <w:rPr>
          <w:sz w:val="24"/>
          <w:szCs w:val="24"/>
        </w:rPr>
        <w:t>examines</w:t>
      </w:r>
      <w:r w:rsidRPr="00986069">
        <w:rPr>
          <w:sz w:val="24"/>
          <w:szCs w:val="24"/>
        </w:rPr>
        <w:t xml:space="preserve"> ESG-related financial leverage </w:t>
      </w:r>
      <w:r>
        <w:rPr>
          <w:sz w:val="24"/>
          <w:szCs w:val="24"/>
        </w:rPr>
        <w:t>has</w:t>
      </w:r>
      <w:r w:rsidRPr="00986069">
        <w:rPr>
          <w:sz w:val="24"/>
          <w:szCs w:val="24"/>
        </w:rPr>
        <w:t xml:space="preserve"> a narrow focus concentrated </w:t>
      </w:r>
      <w:r>
        <w:rPr>
          <w:sz w:val="24"/>
          <w:szCs w:val="24"/>
        </w:rPr>
        <w:t>on</w:t>
      </w:r>
      <w:r w:rsidRPr="00986069">
        <w:rPr>
          <w:sz w:val="24"/>
          <w:szCs w:val="24"/>
        </w:rPr>
        <w:t xml:space="preserve"> </w:t>
      </w:r>
      <w:r>
        <w:rPr>
          <w:sz w:val="24"/>
          <w:szCs w:val="24"/>
        </w:rPr>
        <w:t xml:space="preserve">the </w:t>
      </w:r>
      <w:r w:rsidRPr="00986069">
        <w:rPr>
          <w:sz w:val="24"/>
          <w:szCs w:val="24"/>
        </w:rPr>
        <w:t>cost of debt, and whilst taking into consideration the oil and gas industry, the literature becomes close to non-existent.</w:t>
      </w:r>
    </w:p>
    <w:p w14:paraId="68FC33C3" w14:textId="77777777" w:rsidR="007D145F" w:rsidRPr="00986069" w:rsidRDefault="007D145F" w:rsidP="007D145F">
      <w:pPr>
        <w:jc w:val="both"/>
        <w:rPr>
          <w:sz w:val="24"/>
          <w:szCs w:val="24"/>
        </w:rPr>
      </w:pPr>
    </w:p>
    <w:p w14:paraId="2E5AB721" w14:textId="77777777" w:rsidR="007D145F" w:rsidRPr="00986069" w:rsidRDefault="007D145F" w:rsidP="007D145F">
      <w:pPr>
        <w:jc w:val="both"/>
        <w:rPr>
          <w:sz w:val="24"/>
          <w:szCs w:val="24"/>
        </w:rPr>
      </w:pPr>
      <w:r w:rsidRPr="00986069">
        <w:rPr>
          <w:sz w:val="24"/>
          <w:szCs w:val="24"/>
        </w:rPr>
        <w:t xml:space="preserve">This study’s significance relies </w:t>
      </w:r>
      <w:r>
        <w:rPr>
          <w:sz w:val="24"/>
          <w:szCs w:val="24"/>
        </w:rPr>
        <w:t>on</w:t>
      </w:r>
      <w:r w:rsidRPr="00986069">
        <w:rPr>
          <w:sz w:val="24"/>
          <w:szCs w:val="24"/>
        </w:rPr>
        <w:t xml:space="preserve"> its focus on the oil </w:t>
      </w:r>
      <w:r>
        <w:rPr>
          <w:sz w:val="24"/>
          <w:szCs w:val="24"/>
        </w:rPr>
        <w:t>and</w:t>
      </w:r>
      <w:r w:rsidRPr="00986069">
        <w:rPr>
          <w:sz w:val="24"/>
          <w:szCs w:val="24"/>
        </w:rPr>
        <w:t xml:space="preserve"> gas industry, </w:t>
      </w:r>
      <w:r>
        <w:rPr>
          <w:sz w:val="24"/>
          <w:szCs w:val="24"/>
        </w:rPr>
        <w:t xml:space="preserve">a </w:t>
      </w:r>
      <w:r w:rsidRPr="00986069">
        <w:rPr>
          <w:sz w:val="24"/>
          <w:szCs w:val="24"/>
        </w:rPr>
        <w:t xml:space="preserve">wan industry often overlooked in terms of ESG-related capital research. The inherent </w:t>
      </w:r>
      <w:r>
        <w:rPr>
          <w:sz w:val="24"/>
          <w:szCs w:val="24"/>
        </w:rPr>
        <w:t>capital-intensive</w:t>
      </w:r>
      <w:r w:rsidRPr="00986069">
        <w:rPr>
          <w:sz w:val="24"/>
          <w:szCs w:val="24"/>
        </w:rPr>
        <w:t>, high risk</w:t>
      </w:r>
      <w:r>
        <w:rPr>
          <w:sz w:val="24"/>
          <w:szCs w:val="24"/>
        </w:rPr>
        <w:t>,</w:t>
      </w:r>
      <w:r w:rsidRPr="00986069">
        <w:rPr>
          <w:sz w:val="24"/>
          <w:szCs w:val="24"/>
        </w:rPr>
        <w:t xml:space="preserve"> along with significant environmental related responsibilities</w:t>
      </w:r>
      <w:r>
        <w:rPr>
          <w:sz w:val="24"/>
          <w:szCs w:val="24"/>
        </w:rPr>
        <w:t>,</w:t>
      </w:r>
      <w:r w:rsidRPr="00986069">
        <w:rPr>
          <w:sz w:val="24"/>
          <w:szCs w:val="24"/>
        </w:rPr>
        <w:t xml:space="preserve"> creates an important demand to understand how ESG performance can influence solvency metrics such as ICR and DER. By answering this gap, the research offers invaluable insights into the navigation of complexities of sustainable finance in a </w:t>
      </w:r>
      <w:r>
        <w:rPr>
          <w:sz w:val="24"/>
          <w:szCs w:val="24"/>
        </w:rPr>
        <w:t>high-stakes</w:t>
      </w:r>
      <w:r w:rsidRPr="00986069">
        <w:rPr>
          <w:sz w:val="24"/>
          <w:szCs w:val="24"/>
        </w:rPr>
        <w:t>, high emission industry, thus providing stakeholders with crucial financial information.</w:t>
      </w:r>
    </w:p>
    <w:p w14:paraId="6930270E" w14:textId="77777777" w:rsidR="007D145F" w:rsidRPr="00986069" w:rsidRDefault="007D145F" w:rsidP="007D145F">
      <w:pPr>
        <w:jc w:val="both"/>
        <w:rPr>
          <w:sz w:val="24"/>
          <w:szCs w:val="24"/>
        </w:rPr>
      </w:pPr>
    </w:p>
    <w:p w14:paraId="77573B85" w14:textId="77777777" w:rsidR="007D145F" w:rsidRPr="00986069" w:rsidRDefault="007D145F" w:rsidP="007D145F">
      <w:pPr>
        <w:jc w:val="both"/>
        <w:rPr>
          <w:sz w:val="24"/>
          <w:szCs w:val="24"/>
        </w:rPr>
      </w:pPr>
      <w:r w:rsidRPr="00986069">
        <w:rPr>
          <w:sz w:val="24"/>
          <w:szCs w:val="24"/>
        </w:rPr>
        <w:t>Critical gaps are answered in this study;</w:t>
      </w:r>
    </w:p>
    <w:p w14:paraId="68934BAF" w14:textId="77777777" w:rsidR="007D145F" w:rsidRPr="00986069" w:rsidRDefault="007D145F" w:rsidP="007D145F">
      <w:pPr>
        <w:jc w:val="both"/>
        <w:rPr>
          <w:sz w:val="24"/>
          <w:szCs w:val="24"/>
        </w:rPr>
      </w:pPr>
    </w:p>
    <w:p w14:paraId="75CB67D7" w14:textId="77777777" w:rsidR="007D145F" w:rsidRPr="00986069" w:rsidRDefault="007D145F" w:rsidP="007D145F">
      <w:pPr>
        <w:jc w:val="both"/>
        <w:rPr>
          <w:sz w:val="24"/>
          <w:szCs w:val="24"/>
        </w:rPr>
      </w:pPr>
      <w:r w:rsidRPr="00986069">
        <w:rPr>
          <w:sz w:val="24"/>
          <w:szCs w:val="24"/>
        </w:rPr>
        <w:t>Firstly, there are very few studies that explore the relationship between ICR,</w:t>
      </w:r>
      <w:r>
        <w:rPr>
          <w:sz w:val="24"/>
          <w:szCs w:val="24"/>
        </w:rPr>
        <w:t xml:space="preserve"> </w:t>
      </w:r>
      <w:r w:rsidRPr="00986069">
        <w:rPr>
          <w:sz w:val="24"/>
          <w:szCs w:val="24"/>
        </w:rPr>
        <w:t>DER</w:t>
      </w:r>
      <w:r>
        <w:rPr>
          <w:sz w:val="24"/>
          <w:szCs w:val="24"/>
        </w:rPr>
        <w:t>,</w:t>
      </w:r>
      <w:r w:rsidRPr="00986069">
        <w:rPr>
          <w:sz w:val="24"/>
          <w:szCs w:val="24"/>
        </w:rPr>
        <w:t xml:space="preserve"> and ESG performance</w:t>
      </w:r>
      <w:r>
        <w:rPr>
          <w:sz w:val="24"/>
          <w:szCs w:val="24"/>
        </w:rPr>
        <w:t>,</w:t>
      </w:r>
      <w:r w:rsidRPr="00986069">
        <w:rPr>
          <w:sz w:val="24"/>
          <w:szCs w:val="24"/>
        </w:rPr>
        <w:t xml:space="preserve"> especially in the oil and gas sector. This leaves an important gap in the analysis of how ESG can moderate conventional financial metrics </w:t>
      </w:r>
      <w:r>
        <w:rPr>
          <w:sz w:val="24"/>
          <w:szCs w:val="24"/>
        </w:rPr>
        <w:t>relationships</w:t>
      </w:r>
      <w:r w:rsidRPr="00986069">
        <w:rPr>
          <w:sz w:val="24"/>
          <w:szCs w:val="24"/>
        </w:rPr>
        <w:t xml:space="preserve">. Secondly, most literature related to capital structure and ESG primarily </w:t>
      </w:r>
      <w:r>
        <w:rPr>
          <w:sz w:val="24"/>
          <w:szCs w:val="24"/>
        </w:rPr>
        <w:t>concentrates</w:t>
      </w:r>
      <w:r w:rsidRPr="00986069">
        <w:rPr>
          <w:sz w:val="24"/>
          <w:szCs w:val="24"/>
        </w:rPr>
        <w:t xml:space="preserve"> on </w:t>
      </w:r>
      <w:r>
        <w:rPr>
          <w:sz w:val="24"/>
          <w:szCs w:val="24"/>
        </w:rPr>
        <w:t xml:space="preserve">the </w:t>
      </w:r>
      <w:r w:rsidRPr="00986069">
        <w:rPr>
          <w:sz w:val="24"/>
          <w:szCs w:val="24"/>
        </w:rPr>
        <w:t>cost of debt, thus leaving other metrics unnoticed and overlooked. Finally, the moderating effect of ESG performance on conventional metrics such as ICR and DER has not been adequately addressed, creating a significant gap in the literature.</w:t>
      </w:r>
    </w:p>
    <w:p w14:paraId="175B9932" w14:textId="77777777" w:rsidR="007D145F" w:rsidRPr="00986069" w:rsidRDefault="007D145F" w:rsidP="007D145F">
      <w:pPr>
        <w:jc w:val="both"/>
        <w:rPr>
          <w:sz w:val="24"/>
          <w:szCs w:val="24"/>
        </w:rPr>
      </w:pPr>
    </w:p>
    <w:p w14:paraId="3010D0D5" w14:textId="71839F9D" w:rsidR="007D145F" w:rsidRPr="00986069" w:rsidRDefault="007D145F" w:rsidP="007D145F">
      <w:pPr>
        <w:jc w:val="both"/>
        <w:rPr>
          <w:sz w:val="24"/>
          <w:szCs w:val="24"/>
        </w:rPr>
      </w:pPr>
      <w:r w:rsidRPr="00986069">
        <w:rPr>
          <w:sz w:val="24"/>
          <w:szCs w:val="24"/>
        </w:rPr>
        <w:t xml:space="preserve">This research develops the emergence </w:t>
      </w:r>
      <w:r>
        <w:rPr>
          <w:sz w:val="24"/>
          <w:szCs w:val="24"/>
        </w:rPr>
        <w:t>of</w:t>
      </w:r>
      <w:r w:rsidRPr="00986069">
        <w:rPr>
          <w:sz w:val="24"/>
          <w:szCs w:val="24"/>
        </w:rPr>
        <w:t xml:space="preserve"> corporate finance and sustainability by addressing these gaps. In doing so, it provides a new approach to understanding the role of ESG in </w:t>
      </w:r>
      <w:r>
        <w:rPr>
          <w:sz w:val="24"/>
          <w:szCs w:val="24"/>
        </w:rPr>
        <w:t xml:space="preserve">the </w:t>
      </w:r>
      <w:r w:rsidRPr="00986069">
        <w:rPr>
          <w:sz w:val="24"/>
          <w:szCs w:val="24"/>
        </w:rPr>
        <w:t>risk management of financial</w:t>
      </w:r>
      <w:r w:rsidRPr="004D119C">
        <w:t xml:space="preserve"> </w:t>
      </w:r>
      <w:r w:rsidRPr="00986069">
        <w:rPr>
          <w:sz w:val="24"/>
          <w:szCs w:val="24"/>
        </w:rPr>
        <w:t>resources and financial structure in an industry currently being closely scrutinized. The results reveal functional takeaways amongst stakeholders (for example, those evaluating risk</w:t>
      </w:r>
      <w:r>
        <w:rPr>
          <w:sz w:val="24"/>
          <w:szCs w:val="24"/>
        </w:rPr>
        <w:t>,</w:t>
      </w:r>
      <w:r w:rsidRPr="00986069">
        <w:rPr>
          <w:sz w:val="24"/>
          <w:szCs w:val="24"/>
        </w:rPr>
        <w:t xml:space="preserve"> such as investors, evaluating firm development such as financial analysts, and developing governing regulations such as politicians) regarding the balance between the need for economic stability and environmental accountability. Overall, this study provides value to the discussion of the outcome of financial decision-making. It provides value in particular to industries faced with increasing pressure to act in accordance with environmental stewardship goals established</w:t>
      </w:r>
      <w:r w:rsidR="00F8431B">
        <w:rPr>
          <w:sz w:val="24"/>
          <w:szCs w:val="24"/>
        </w:rPr>
        <w:t>,</w:t>
      </w:r>
      <w:r w:rsidRPr="00986069">
        <w:rPr>
          <w:sz w:val="24"/>
          <w:szCs w:val="24"/>
        </w:rPr>
        <w:t xml:space="preserve"> among other things</w:t>
      </w:r>
      <w:r w:rsidR="00F8431B">
        <w:rPr>
          <w:sz w:val="24"/>
          <w:szCs w:val="24"/>
        </w:rPr>
        <w:t>,</w:t>
      </w:r>
      <w:r w:rsidRPr="00986069">
        <w:rPr>
          <w:sz w:val="24"/>
          <w:szCs w:val="24"/>
        </w:rPr>
        <w:t xml:space="preserve"> at the global level.</w:t>
      </w:r>
    </w:p>
    <w:p w14:paraId="102841AA" w14:textId="77777777" w:rsidR="007D145F" w:rsidRPr="00986069" w:rsidRDefault="007D145F" w:rsidP="007D145F">
      <w:pPr>
        <w:jc w:val="both"/>
        <w:rPr>
          <w:sz w:val="24"/>
          <w:szCs w:val="24"/>
        </w:rPr>
      </w:pPr>
    </w:p>
    <w:p w14:paraId="736BD8C4" w14:textId="77777777" w:rsidR="007D145F" w:rsidRPr="00E90521" w:rsidRDefault="007D145F" w:rsidP="00E90521">
      <w:pPr>
        <w:pStyle w:val="Heading2"/>
        <w:rPr>
          <w:b/>
          <w:bCs/>
        </w:rPr>
      </w:pPr>
      <w:bookmarkStart w:id="17" w:name="_Toc194903439"/>
      <w:r w:rsidRPr="00E90521">
        <w:rPr>
          <w:b/>
          <w:bCs/>
        </w:rPr>
        <w:t>2.3 Research Objective</w:t>
      </w:r>
      <w:bookmarkEnd w:id="17"/>
    </w:p>
    <w:p w14:paraId="6AC3C6BB" w14:textId="77777777" w:rsidR="00E90521" w:rsidRPr="00970BCD" w:rsidRDefault="00E90521" w:rsidP="007D145F">
      <w:pPr>
        <w:pStyle w:val="Heading3"/>
        <w:rPr>
          <w:b w:val="0"/>
          <w:bCs w:val="0"/>
        </w:rPr>
      </w:pPr>
    </w:p>
    <w:p w14:paraId="0B67D862" w14:textId="77777777" w:rsidR="007D145F" w:rsidRPr="00986069" w:rsidRDefault="007D145F" w:rsidP="007D145F">
      <w:pPr>
        <w:jc w:val="both"/>
        <w:rPr>
          <w:sz w:val="24"/>
          <w:szCs w:val="24"/>
        </w:rPr>
      </w:pPr>
      <w:r w:rsidRPr="00986069">
        <w:rPr>
          <w:sz w:val="24"/>
          <w:szCs w:val="24"/>
        </w:rPr>
        <w:t>The primary objective of this research is to empirically investigate whether Bloomberg ESG Scores moderate the relationship between the Interest Coverage Ratio (ICR) and the Debt-to-Equity Ratio (DER) in oil and gas companies. Specifically, the study seeks to determine whether higher ESG performance attenuates the negative effect of ICR on DER.</w:t>
      </w:r>
    </w:p>
    <w:p w14:paraId="29E4E0C6" w14:textId="77777777" w:rsidR="007D145F" w:rsidRPr="00986069" w:rsidRDefault="007D145F" w:rsidP="007D145F">
      <w:pPr>
        <w:jc w:val="both"/>
        <w:rPr>
          <w:sz w:val="24"/>
          <w:szCs w:val="24"/>
        </w:rPr>
      </w:pPr>
    </w:p>
    <w:p w14:paraId="4C8FD61C" w14:textId="037D2354" w:rsidR="007D145F" w:rsidRPr="00986069" w:rsidRDefault="007D145F" w:rsidP="007D145F">
      <w:pPr>
        <w:jc w:val="both"/>
        <w:rPr>
          <w:sz w:val="24"/>
          <w:szCs w:val="24"/>
        </w:rPr>
      </w:pPr>
      <w:r w:rsidRPr="00986069">
        <w:rPr>
          <w:sz w:val="24"/>
          <w:szCs w:val="24"/>
        </w:rPr>
        <w:t xml:space="preserve">To empirically test whether Bloomberg ESG Scores moderate the relationship between Interest Coverage Ratio (ICR) and Debt-to-Equity Ratio (DER) in oil and gas companies, with </w:t>
      </w:r>
      <w:r w:rsidR="00F8431B">
        <w:rPr>
          <w:sz w:val="24"/>
          <w:szCs w:val="24"/>
        </w:rPr>
        <w:t xml:space="preserve">a </w:t>
      </w:r>
      <w:r w:rsidRPr="00986069">
        <w:rPr>
          <w:sz w:val="24"/>
          <w:szCs w:val="24"/>
        </w:rPr>
        <w:t>specific focus on whether higher ESG performance attenuates the negative effect of ICR on DER.</w:t>
      </w:r>
    </w:p>
    <w:p w14:paraId="2808D449" w14:textId="77777777" w:rsidR="006323E1" w:rsidRDefault="006323E1" w:rsidP="007D145F">
      <w:pPr>
        <w:jc w:val="both"/>
      </w:pPr>
    </w:p>
    <w:p w14:paraId="0B952C59" w14:textId="77777777" w:rsidR="006323E1" w:rsidRDefault="006323E1" w:rsidP="007D145F">
      <w:pPr>
        <w:jc w:val="both"/>
      </w:pPr>
    </w:p>
    <w:p w14:paraId="1AF4D8F7" w14:textId="77777777" w:rsidR="006323E1" w:rsidRDefault="006323E1" w:rsidP="007D145F">
      <w:pPr>
        <w:jc w:val="both"/>
      </w:pPr>
    </w:p>
    <w:p w14:paraId="5987D754" w14:textId="77777777" w:rsidR="006E0E45" w:rsidRDefault="006E0E45" w:rsidP="007D145F">
      <w:pPr>
        <w:jc w:val="both"/>
      </w:pPr>
    </w:p>
    <w:p w14:paraId="3ABF382F" w14:textId="77777777" w:rsidR="006E0E45" w:rsidRDefault="006E0E45" w:rsidP="007D145F">
      <w:pPr>
        <w:jc w:val="both"/>
      </w:pPr>
    </w:p>
    <w:p w14:paraId="7BDC8BCE" w14:textId="77777777" w:rsidR="00FA5712" w:rsidRDefault="00FA5712" w:rsidP="007D145F">
      <w:pPr>
        <w:jc w:val="both"/>
      </w:pPr>
    </w:p>
    <w:p w14:paraId="4C13917E" w14:textId="77777777" w:rsidR="006E0E45" w:rsidRDefault="006E0E45" w:rsidP="007D145F">
      <w:pPr>
        <w:jc w:val="both"/>
      </w:pPr>
    </w:p>
    <w:p w14:paraId="5F2F979F" w14:textId="77777777" w:rsidR="006E0E45" w:rsidRPr="004D119C" w:rsidRDefault="006E0E45" w:rsidP="007D145F">
      <w:pPr>
        <w:jc w:val="both"/>
      </w:pPr>
    </w:p>
    <w:p w14:paraId="6EF0F266" w14:textId="77777777" w:rsidR="007D145F" w:rsidRDefault="007D145F" w:rsidP="007D145F">
      <w:pPr>
        <w:pStyle w:val="Heading2"/>
        <w:tabs>
          <w:tab w:val="left" w:pos="3255"/>
        </w:tabs>
        <w:jc w:val="both"/>
        <w:rPr>
          <w:b/>
          <w:bCs/>
        </w:rPr>
      </w:pPr>
      <w:bookmarkStart w:id="18" w:name="_Toc194903440"/>
      <w:r w:rsidRPr="004D119C">
        <w:rPr>
          <w:b/>
          <w:bCs/>
        </w:rPr>
        <w:t>2.4 Conceptual Model</w:t>
      </w:r>
      <w:bookmarkEnd w:id="18"/>
      <w:r>
        <w:rPr>
          <w:b/>
          <w:bCs/>
        </w:rPr>
        <w:tab/>
      </w:r>
    </w:p>
    <w:p w14:paraId="2C902612" w14:textId="77777777" w:rsidR="007D145F" w:rsidRDefault="007D145F" w:rsidP="007D145F">
      <w:pPr>
        <w:pStyle w:val="NormalWeb"/>
        <w:keepNext/>
        <w:jc w:val="both"/>
      </w:pPr>
      <w:r w:rsidRPr="004D119C">
        <w:rPr>
          <w:noProof/>
        </w:rPr>
        <w:drawing>
          <wp:inline distT="0" distB="0" distL="0" distR="0" wp14:anchorId="59305D01" wp14:editId="2F6CC682">
            <wp:extent cx="5943600" cy="1776095"/>
            <wp:effectExtent l="0" t="0" r="0" b="0"/>
            <wp:docPr id="1936068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776095"/>
                    </a:xfrm>
                    <a:prstGeom prst="rect">
                      <a:avLst/>
                    </a:prstGeom>
                    <a:noFill/>
                    <a:ln>
                      <a:noFill/>
                    </a:ln>
                  </pic:spPr>
                </pic:pic>
              </a:graphicData>
            </a:graphic>
          </wp:inline>
        </w:drawing>
      </w:r>
    </w:p>
    <w:p w14:paraId="3111537C" w14:textId="13C62D32" w:rsidR="007D145F" w:rsidRPr="00986069" w:rsidRDefault="007D145F" w:rsidP="007D145F">
      <w:pPr>
        <w:pStyle w:val="Caption"/>
        <w:jc w:val="both"/>
      </w:pPr>
      <w:bookmarkStart w:id="19" w:name="_Toc194667095"/>
      <w:r>
        <w:t xml:space="preserve">Figure </w:t>
      </w:r>
      <w:r>
        <w:fldChar w:fldCharType="begin"/>
      </w:r>
      <w:r>
        <w:instrText xml:space="preserve"> SEQ Figure \* ARABIC </w:instrText>
      </w:r>
      <w:r>
        <w:fldChar w:fldCharType="separate"/>
      </w:r>
      <w:r w:rsidR="0033720D">
        <w:rPr>
          <w:noProof/>
        </w:rPr>
        <w:t>1</w:t>
      </w:r>
      <w:r>
        <w:rPr>
          <w:noProof/>
        </w:rPr>
        <w:fldChar w:fldCharType="end"/>
      </w:r>
      <w:r>
        <w:t>: Conceptual Model of the Study</w:t>
      </w:r>
      <w:bookmarkEnd w:id="19"/>
    </w:p>
    <w:p w14:paraId="00BC98D0" w14:textId="1EB0E63B" w:rsidR="007D145F" w:rsidRDefault="007D145F" w:rsidP="00F8431B">
      <w:pPr>
        <w:jc w:val="both"/>
        <w:rPr>
          <w:sz w:val="24"/>
          <w:szCs w:val="24"/>
        </w:rPr>
      </w:pPr>
      <w:r w:rsidRPr="00986069">
        <w:rPr>
          <w:sz w:val="24"/>
          <w:szCs w:val="24"/>
        </w:rPr>
        <w:t xml:space="preserve">The conceptual model of this study demonstrates the interest coverage ratio (ICR) linked to </w:t>
      </w:r>
      <w:r>
        <w:rPr>
          <w:sz w:val="24"/>
          <w:szCs w:val="24"/>
        </w:rPr>
        <w:t xml:space="preserve">the </w:t>
      </w:r>
      <w:r w:rsidRPr="00986069">
        <w:rPr>
          <w:sz w:val="24"/>
          <w:szCs w:val="24"/>
        </w:rPr>
        <w:t>debt-to-equity (D/E) ratio as core variables</w:t>
      </w:r>
      <w:r w:rsidR="00F8431B">
        <w:rPr>
          <w:sz w:val="24"/>
          <w:szCs w:val="24"/>
        </w:rPr>
        <w:t>,</w:t>
      </w:r>
      <w:r w:rsidRPr="00986069">
        <w:rPr>
          <w:sz w:val="24"/>
          <w:szCs w:val="24"/>
        </w:rPr>
        <w:t xml:space="preserve"> while ESG Score operates as a controlling factor. Interest Coverage Ratio functions as the main independent element because it demonstrates a firm's ability to pay interest obligations while the D/E Ratio operates as the dependent variable. The research seeks to uncover if the Environmental Social Governance (ESG) performance of a firm moderates its capital structure response to variations in </w:t>
      </w:r>
      <w:r>
        <w:rPr>
          <w:sz w:val="24"/>
          <w:szCs w:val="24"/>
        </w:rPr>
        <w:t xml:space="preserve">the </w:t>
      </w:r>
      <w:r w:rsidRPr="00986069">
        <w:rPr>
          <w:sz w:val="24"/>
          <w:szCs w:val="24"/>
        </w:rPr>
        <w:t xml:space="preserve">Interest Coverage Ratio (ICR). </w:t>
      </w:r>
      <w:r>
        <w:rPr>
          <w:sz w:val="24"/>
          <w:szCs w:val="24"/>
        </w:rPr>
        <w:t>Structure</w:t>
      </w:r>
      <w:r w:rsidRPr="00986069">
        <w:rPr>
          <w:sz w:val="24"/>
          <w:szCs w:val="24"/>
        </w:rPr>
        <w:t xml:space="preserve"> strategies between financially performing companies to advance knowledge about sustainability and performance relationship patterns.</w:t>
      </w:r>
    </w:p>
    <w:p w14:paraId="5E3F1217" w14:textId="77777777" w:rsidR="007D145F" w:rsidRPr="000855BB" w:rsidRDefault="007D145F" w:rsidP="00F8431B">
      <w:pPr>
        <w:jc w:val="both"/>
        <w:rPr>
          <w:sz w:val="24"/>
          <w:szCs w:val="24"/>
        </w:rPr>
      </w:pPr>
    </w:p>
    <w:p w14:paraId="34A5F4D8" w14:textId="77777777" w:rsidR="007D145F" w:rsidRDefault="007D145F" w:rsidP="00F8431B">
      <w:pPr>
        <w:jc w:val="both"/>
        <w:rPr>
          <w:b/>
          <w:bCs/>
          <w:sz w:val="28"/>
          <w:szCs w:val="28"/>
        </w:rPr>
      </w:pPr>
      <w:r w:rsidRPr="004D119C">
        <w:rPr>
          <w:b/>
          <w:bCs/>
          <w:sz w:val="28"/>
          <w:szCs w:val="28"/>
        </w:rPr>
        <w:t>2.5 Hypotheses</w:t>
      </w:r>
    </w:p>
    <w:p w14:paraId="5DAEC467" w14:textId="77777777" w:rsidR="007D145F" w:rsidRDefault="007D145F" w:rsidP="00F8431B">
      <w:pPr>
        <w:jc w:val="both"/>
        <w:rPr>
          <w:b/>
          <w:bCs/>
          <w:sz w:val="28"/>
          <w:szCs w:val="28"/>
        </w:rPr>
      </w:pPr>
    </w:p>
    <w:p w14:paraId="14B19DA1" w14:textId="77777777" w:rsidR="007D145F" w:rsidRPr="00A01875" w:rsidRDefault="007D145F" w:rsidP="00F8431B">
      <w:pPr>
        <w:jc w:val="both"/>
        <w:rPr>
          <w:sz w:val="24"/>
          <w:szCs w:val="24"/>
        </w:rPr>
      </w:pPr>
      <w:r>
        <w:rPr>
          <w:sz w:val="24"/>
          <w:szCs w:val="24"/>
        </w:rPr>
        <w:t>Drawing upon the research problem, the hypotheses of this study are formulated as follows;</w:t>
      </w:r>
    </w:p>
    <w:p w14:paraId="7CF8E6C7" w14:textId="77777777" w:rsidR="007D145F" w:rsidRPr="00986069" w:rsidRDefault="007D145F" w:rsidP="00F8431B">
      <w:pPr>
        <w:spacing w:before="240" w:after="240"/>
        <w:jc w:val="both"/>
        <w:rPr>
          <w:sz w:val="24"/>
          <w:szCs w:val="24"/>
        </w:rPr>
      </w:pPr>
      <w:r w:rsidRPr="00986069">
        <w:rPr>
          <w:sz w:val="24"/>
          <w:szCs w:val="24"/>
        </w:rPr>
        <w:t xml:space="preserve">Null Hypothesis (H₀):The relationship between </w:t>
      </w:r>
      <w:r>
        <w:rPr>
          <w:sz w:val="24"/>
          <w:szCs w:val="24"/>
        </w:rPr>
        <w:t xml:space="preserve">the </w:t>
      </w:r>
      <w:r w:rsidRPr="00986069">
        <w:rPr>
          <w:sz w:val="24"/>
          <w:szCs w:val="24"/>
        </w:rPr>
        <w:t>Debt-to-Equity Ratio and Interest Coverage Ratio does not vary significantly based on Bloomberg ESG Scores in oil and gas companies.</w:t>
      </w:r>
    </w:p>
    <w:p w14:paraId="73BA5075" w14:textId="2755B942" w:rsidR="007D145F" w:rsidRDefault="007D145F" w:rsidP="00F8431B">
      <w:pPr>
        <w:spacing w:before="240" w:after="240"/>
        <w:jc w:val="both"/>
        <w:rPr>
          <w:sz w:val="24"/>
          <w:szCs w:val="24"/>
        </w:rPr>
      </w:pPr>
      <w:r w:rsidRPr="00986069">
        <w:rPr>
          <w:sz w:val="24"/>
          <w:szCs w:val="24"/>
        </w:rPr>
        <w:t>Alternative Hypothesis (H₁):</w:t>
      </w:r>
      <w:r w:rsidR="00B22EFF">
        <w:rPr>
          <w:sz w:val="24"/>
          <w:szCs w:val="24"/>
        </w:rPr>
        <w:t xml:space="preserve"> </w:t>
      </w:r>
      <w:r w:rsidRPr="00986069">
        <w:rPr>
          <w:sz w:val="24"/>
          <w:szCs w:val="24"/>
        </w:rPr>
        <w:t xml:space="preserve">The negative relationship between </w:t>
      </w:r>
      <w:r>
        <w:rPr>
          <w:sz w:val="24"/>
          <w:szCs w:val="24"/>
        </w:rPr>
        <w:t xml:space="preserve">the </w:t>
      </w:r>
      <w:r w:rsidRPr="00986069">
        <w:rPr>
          <w:sz w:val="24"/>
          <w:szCs w:val="24"/>
        </w:rPr>
        <w:t xml:space="preserve">Debt-to-Equity Ratio and Interest Coverage Ratio </w:t>
      </w:r>
      <w:r w:rsidR="00B22EFF">
        <w:rPr>
          <w:sz w:val="24"/>
          <w:szCs w:val="24"/>
        </w:rPr>
        <w:t xml:space="preserve">varies </w:t>
      </w:r>
      <w:r w:rsidR="00F8431B">
        <w:rPr>
          <w:sz w:val="24"/>
          <w:szCs w:val="24"/>
        </w:rPr>
        <w:t xml:space="preserve"> based on</w:t>
      </w:r>
      <w:r w:rsidRPr="00986069">
        <w:rPr>
          <w:sz w:val="24"/>
          <w:szCs w:val="24"/>
        </w:rPr>
        <w:t xml:space="preserve"> Bloomberg ESG Scores in oil and gas companies.</w:t>
      </w:r>
      <w:bookmarkStart w:id="20" w:name="_kppy80imla7e" w:colFirst="0" w:colLast="0"/>
      <w:bookmarkEnd w:id="20"/>
    </w:p>
    <w:p w14:paraId="0E3582FD" w14:textId="66CCC540" w:rsidR="006323E1" w:rsidRDefault="007D145F" w:rsidP="007D145F">
      <w:pPr>
        <w:spacing w:before="240" w:after="240"/>
        <w:jc w:val="both"/>
        <w:rPr>
          <w:bCs/>
          <w:sz w:val="24"/>
          <w:szCs w:val="24"/>
        </w:rPr>
      </w:pPr>
      <w:r>
        <w:rPr>
          <w:bCs/>
          <w:sz w:val="24"/>
          <w:szCs w:val="24"/>
        </w:rPr>
        <w:t>Testing these hypotheses will allow to determine if the influence of ESG factors on financial performance is significant in the oil and gas sector. If the alternate hypothesis is proven, it will indicate the moderating role of ESG in strengthening the relationship between ICR and DER. In case the null hypothesis is proven true, it would indicate that the moderating role of ESG in essence is not significant, implying that other factors are more predominant in influencing the relationship.</w:t>
      </w:r>
    </w:p>
    <w:p w14:paraId="35D5C0F0" w14:textId="77777777" w:rsidR="006E0E45" w:rsidRDefault="006E0E45" w:rsidP="007D145F">
      <w:pPr>
        <w:spacing w:before="240" w:after="240"/>
        <w:jc w:val="both"/>
        <w:rPr>
          <w:bCs/>
          <w:sz w:val="24"/>
          <w:szCs w:val="24"/>
        </w:rPr>
      </w:pPr>
    </w:p>
    <w:p w14:paraId="3DAB54A4" w14:textId="77777777" w:rsidR="006E0E45" w:rsidRDefault="006E0E45" w:rsidP="007D145F">
      <w:pPr>
        <w:spacing w:before="240" w:after="240"/>
        <w:jc w:val="both"/>
        <w:rPr>
          <w:bCs/>
          <w:sz w:val="24"/>
          <w:szCs w:val="24"/>
        </w:rPr>
      </w:pPr>
    </w:p>
    <w:p w14:paraId="19FF2C76" w14:textId="77777777" w:rsidR="006E0E45" w:rsidRDefault="006E0E45" w:rsidP="007D145F">
      <w:pPr>
        <w:spacing w:before="240" w:after="240"/>
        <w:jc w:val="both"/>
        <w:rPr>
          <w:bCs/>
          <w:sz w:val="24"/>
          <w:szCs w:val="24"/>
        </w:rPr>
      </w:pPr>
    </w:p>
    <w:p w14:paraId="18ECA2FD" w14:textId="77777777" w:rsidR="006E0E45" w:rsidRDefault="006E0E45" w:rsidP="007D145F">
      <w:pPr>
        <w:spacing w:before="240" w:after="240"/>
        <w:jc w:val="both"/>
        <w:rPr>
          <w:bCs/>
          <w:sz w:val="24"/>
          <w:szCs w:val="24"/>
        </w:rPr>
      </w:pPr>
    </w:p>
    <w:p w14:paraId="23E9DA5D" w14:textId="77777777" w:rsidR="006E0E45" w:rsidRPr="00E90521" w:rsidRDefault="006E0E45" w:rsidP="007D145F">
      <w:pPr>
        <w:spacing w:before="240" w:after="240"/>
        <w:jc w:val="both"/>
        <w:rPr>
          <w:bCs/>
          <w:sz w:val="24"/>
          <w:szCs w:val="24"/>
        </w:rPr>
      </w:pPr>
    </w:p>
    <w:p w14:paraId="7A079034" w14:textId="4DEA327C" w:rsidR="006323E1" w:rsidRPr="008161C1" w:rsidRDefault="007D145F" w:rsidP="006323E1">
      <w:pPr>
        <w:spacing w:before="240" w:after="240"/>
        <w:rPr>
          <w:b/>
          <w:sz w:val="32"/>
          <w:szCs w:val="32"/>
        </w:rPr>
      </w:pPr>
      <w:r w:rsidRPr="008161C1">
        <w:rPr>
          <w:b/>
          <w:sz w:val="32"/>
          <w:szCs w:val="32"/>
        </w:rPr>
        <w:t>Chapter 3: Research Methodology</w:t>
      </w:r>
    </w:p>
    <w:p w14:paraId="36CEE083" w14:textId="77777777" w:rsidR="007D145F" w:rsidRPr="00326532" w:rsidRDefault="007D145F" w:rsidP="007D145F">
      <w:pPr>
        <w:pStyle w:val="Heading2"/>
        <w:spacing w:after="80"/>
        <w:jc w:val="both"/>
        <w:rPr>
          <w:b/>
        </w:rPr>
      </w:pPr>
      <w:bookmarkStart w:id="21" w:name="_9frg3m8dqy6p" w:colFirst="0" w:colLast="0"/>
      <w:bookmarkStart w:id="22" w:name="_Toc194903441"/>
      <w:bookmarkEnd w:id="21"/>
      <w:r w:rsidRPr="00326532">
        <w:rPr>
          <w:b/>
        </w:rPr>
        <w:t>3.1 Research Design and Sampling Design</w:t>
      </w:r>
      <w:bookmarkEnd w:id="22"/>
    </w:p>
    <w:p w14:paraId="3987C82C" w14:textId="4DEFDF09" w:rsidR="007D145F" w:rsidRPr="00BD42EB" w:rsidRDefault="007D145F" w:rsidP="007D145F">
      <w:pPr>
        <w:spacing w:before="240" w:after="240"/>
        <w:jc w:val="both"/>
        <w:rPr>
          <w:sz w:val="24"/>
          <w:szCs w:val="24"/>
        </w:rPr>
      </w:pPr>
      <w:r w:rsidRPr="00BD42EB">
        <w:rPr>
          <w:sz w:val="24"/>
          <w:szCs w:val="24"/>
        </w:rPr>
        <w:t>The study employs a quantitative research approach to investigate the interrelationship between ICR and DER in the oil and gas industry</w:t>
      </w:r>
      <w:r>
        <w:rPr>
          <w:sz w:val="24"/>
          <w:szCs w:val="24"/>
        </w:rPr>
        <w:t>,</w:t>
      </w:r>
      <w:r w:rsidRPr="00BD42EB">
        <w:rPr>
          <w:sz w:val="24"/>
          <w:szCs w:val="24"/>
        </w:rPr>
        <w:t xml:space="preserve"> specifically investigating how financial leverage is impacted by a firm’s ESG performance. The analysis concentrates on 80 firms listed in the </w:t>
      </w:r>
      <w:r w:rsidRPr="00BD42EB">
        <w:rPr>
          <w:bCs/>
          <w:sz w:val="24"/>
          <w:szCs w:val="24"/>
        </w:rPr>
        <w:t>S&amp;P Global Oil Index</w:t>
      </w:r>
      <w:r>
        <w:rPr>
          <w:bCs/>
          <w:sz w:val="24"/>
          <w:szCs w:val="24"/>
        </w:rPr>
        <w:t>,</w:t>
      </w:r>
      <w:r w:rsidRPr="00BD42EB">
        <w:rPr>
          <w:bCs/>
          <w:sz w:val="24"/>
          <w:szCs w:val="24"/>
        </w:rPr>
        <w:t xml:space="preserve"> allowing for industry-specific comparability along with yielding results in correspondence with the sector.</w:t>
      </w:r>
    </w:p>
    <w:p w14:paraId="29171DDF" w14:textId="77777777" w:rsidR="007D145F" w:rsidRPr="00BD42EB" w:rsidRDefault="007D145F" w:rsidP="007D145F">
      <w:pPr>
        <w:spacing w:before="240" w:after="240"/>
        <w:jc w:val="both"/>
        <w:rPr>
          <w:sz w:val="24"/>
          <w:szCs w:val="24"/>
        </w:rPr>
      </w:pPr>
      <w:r w:rsidRPr="00BD42EB">
        <w:rPr>
          <w:sz w:val="24"/>
          <w:szCs w:val="24"/>
        </w:rPr>
        <w:t>Despite the index having 119 companies, only 80 were selected since the companies in the index change year after year</w:t>
      </w:r>
      <w:r>
        <w:rPr>
          <w:sz w:val="24"/>
          <w:szCs w:val="24"/>
        </w:rPr>
        <w:t>,</w:t>
      </w:r>
      <w:r w:rsidRPr="00BD42EB">
        <w:rPr>
          <w:sz w:val="24"/>
          <w:szCs w:val="24"/>
        </w:rPr>
        <w:t xml:space="preserve"> and these 80 companies remained throughout the years mentioned </w:t>
      </w:r>
      <w:r>
        <w:rPr>
          <w:sz w:val="24"/>
          <w:szCs w:val="24"/>
        </w:rPr>
        <w:t xml:space="preserve">in the </w:t>
      </w:r>
      <w:r w:rsidRPr="00BD42EB">
        <w:rPr>
          <w:sz w:val="24"/>
          <w:szCs w:val="24"/>
        </w:rPr>
        <w:t xml:space="preserve">timeline. Thus, </w:t>
      </w:r>
      <w:r>
        <w:rPr>
          <w:sz w:val="24"/>
          <w:szCs w:val="24"/>
        </w:rPr>
        <w:t>only consistent companies</w:t>
      </w:r>
      <w:r w:rsidRPr="00BD42EB">
        <w:rPr>
          <w:sz w:val="24"/>
          <w:szCs w:val="24"/>
        </w:rPr>
        <w:t xml:space="preserve"> were included from 2015-2022, resulting in the final sample of </w:t>
      </w:r>
      <w:r>
        <w:rPr>
          <w:sz w:val="24"/>
          <w:szCs w:val="24"/>
        </w:rPr>
        <w:t>80 companies</w:t>
      </w:r>
      <w:r w:rsidRPr="00BD42EB">
        <w:rPr>
          <w:sz w:val="24"/>
          <w:szCs w:val="24"/>
        </w:rPr>
        <w:t>. Firms that entered and exited were eliminated from the research in order to ensure longitudinal consistency and reduce the survivorship bias.</w:t>
      </w:r>
    </w:p>
    <w:p w14:paraId="76E1BE56" w14:textId="77777777" w:rsidR="007D145F" w:rsidRPr="00BD42EB" w:rsidRDefault="007D145F" w:rsidP="007D145F">
      <w:pPr>
        <w:spacing w:before="240" w:after="240"/>
        <w:jc w:val="both"/>
        <w:rPr>
          <w:sz w:val="24"/>
          <w:szCs w:val="24"/>
        </w:rPr>
      </w:pPr>
      <w:r w:rsidRPr="00BD42EB">
        <w:rPr>
          <w:sz w:val="24"/>
          <w:szCs w:val="24"/>
        </w:rPr>
        <w:t>The selected research timeline is 2015-2022, a turning point in ESG reporting due to the emergence of important ESG standards and frameworks. The year 2015 marked the establishment of the Task Force on Climate-related Financial Disclosures (TCFD (FSB-TCFD, 2015), leading to its 2017 recommendations (FSB-TCFD, 2017). Furthermore, the adoption of GRI expanded from 23 policies in 2015 to 168 by 2022 (GRI, 2015; GRI, 2022). Furthermore</w:t>
      </w:r>
      <w:r>
        <w:rPr>
          <w:sz w:val="24"/>
          <w:szCs w:val="24"/>
        </w:rPr>
        <w:t>,</w:t>
      </w:r>
      <w:r w:rsidRPr="00BD42EB">
        <w:rPr>
          <w:sz w:val="24"/>
          <w:szCs w:val="24"/>
        </w:rPr>
        <w:t xml:space="preserve"> SASB launched </w:t>
      </w:r>
      <w:r>
        <w:rPr>
          <w:sz w:val="24"/>
          <w:szCs w:val="24"/>
        </w:rPr>
        <w:t>its</w:t>
      </w:r>
      <w:r w:rsidRPr="00BD42EB">
        <w:rPr>
          <w:sz w:val="24"/>
          <w:szCs w:val="24"/>
        </w:rPr>
        <w:t xml:space="preserve"> </w:t>
      </w:r>
      <w:r>
        <w:rPr>
          <w:sz w:val="24"/>
          <w:szCs w:val="24"/>
        </w:rPr>
        <w:t>industry-specific</w:t>
      </w:r>
      <w:r w:rsidRPr="00BD42EB">
        <w:rPr>
          <w:sz w:val="24"/>
          <w:szCs w:val="24"/>
        </w:rPr>
        <w:t xml:space="preserve"> ESG standards in 2018 and merged with IIRC in the year 2021, following which it consolidated into IFRS in 2022. Given that ESG performance is central to the study </w:t>
      </w:r>
      <w:r>
        <w:rPr>
          <w:sz w:val="24"/>
          <w:szCs w:val="24"/>
        </w:rPr>
        <w:t>of</w:t>
      </w:r>
      <w:r w:rsidRPr="00BD42EB">
        <w:rPr>
          <w:sz w:val="24"/>
          <w:szCs w:val="24"/>
        </w:rPr>
        <w:t xml:space="preserve"> the relationship between debt and ESG performance in the oil and gas sector, this period provides a relevant context for assessing how evolving ESG disclosure standards impact financial decision-making.</w:t>
      </w:r>
    </w:p>
    <w:p w14:paraId="4D4FF0A3" w14:textId="77777777" w:rsidR="007D145F" w:rsidRPr="00BD42EB" w:rsidRDefault="007D145F" w:rsidP="007D145F">
      <w:pPr>
        <w:pStyle w:val="Heading3"/>
        <w:spacing w:before="280"/>
        <w:jc w:val="both"/>
        <w:rPr>
          <w:b w:val="0"/>
          <w:color w:val="000000"/>
        </w:rPr>
      </w:pPr>
      <w:bookmarkStart w:id="23" w:name="_1khk6e483uxc" w:colFirst="0" w:colLast="0"/>
      <w:bookmarkStart w:id="24" w:name="_Toc194903442"/>
      <w:bookmarkEnd w:id="23"/>
      <w:r w:rsidRPr="00BD42EB">
        <w:rPr>
          <w:color w:val="000000"/>
        </w:rPr>
        <w:t>Key Variables in the Study</w:t>
      </w:r>
      <w:bookmarkEnd w:id="24"/>
    </w:p>
    <w:p w14:paraId="0ECF7FC0" w14:textId="77777777" w:rsidR="007D145F" w:rsidRPr="00BD42EB" w:rsidRDefault="007D145F" w:rsidP="00B22EFF">
      <w:pPr>
        <w:widowControl/>
        <w:numPr>
          <w:ilvl w:val="0"/>
          <w:numId w:val="17"/>
        </w:numPr>
        <w:autoSpaceDE/>
        <w:autoSpaceDN/>
        <w:spacing w:before="240" w:line="276" w:lineRule="auto"/>
        <w:rPr>
          <w:sz w:val="24"/>
          <w:szCs w:val="24"/>
        </w:rPr>
      </w:pPr>
      <w:r w:rsidRPr="00BD42EB">
        <w:rPr>
          <w:b/>
          <w:sz w:val="24"/>
          <w:szCs w:val="24"/>
        </w:rPr>
        <w:t>Dependent Variable</w:t>
      </w:r>
      <w:r w:rsidRPr="00BD42EB">
        <w:rPr>
          <w:sz w:val="24"/>
          <w:szCs w:val="24"/>
        </w:rPr>
        <w:t xml:space="preserve">: </w:t>
      </w:r>
      <w:r w:rsidRPr="00BD42EB">
        <w:rPr>
          <w:b/>
          <w:sz w:val="24"/>
          <w:szCs w:val="24"/>
        </w:rPr>
        <w:t>Debt-to-Equity Ratio (D/E)</w:t>
      </w:r>
      <w:r w:rsidRPr="00BD42EB">
        <w:rPr>
          <w:sz w:val="24"/>
          <w:szCs w:val="24"/>
        </w:rPr>
        <w:t>, representing financial leverage.</w:t>
      </w:r>
      <w:r w:rsidRPr="00BD42EB">
        <w:rPr>
          <w:sz w:val="24"/>
          <w:szCs w:val="24"/>
        </w:rPr>
        <w:br/>
      </w:r>
    </w:p>
    <w:p w14:paraId="496496C1" w14:textId="77777777" w:rsidR="007D145F" w:rsidRPr="00BD42EB" w:rsidRDefault="007D145F" w:rsidP="00B22EFF">
      <w:pPr>
        <w:widowControl/>
        <w:numPr>
          <w:ilvl w:val="0"/>
          <w:numId w:val="17"/>
        </w:numPr>
        <w:autoSpaceDE/>
        <w:autoSpaceDN/>
        <w:spacing w:line="276" w:lineRule="auto"/>
        <w:rPr>
          <w:sz w:val="24"/>
          <w:szCs w:val="24"/>
        </w:rPr>
      </w:pPr>
      <w:r w:rsidRPr="00BD42EB">
        <w:rPr>
          <w:b/>
          <w:sz w:val="24"/>
          <w:szCs w:val="24"/>
        </w:rPr>
        <w:t>Independent Variable</w:t>
      </w:r>
      <w:r w:rsidRPr="00BD42EB">
        <w:rPr>
          <w:sz w:val="24"/>
          <w:szCs w:val="24"/>
        </w:rPr>
        <w:t xml:space="preserve">: </w:t>
      </w:r>
      <w:r w:rsidRPr="00BD42EB">
        <w:rPr>
          <w:b/>
          <w:sz w:val="24"/>
          <w:szCs w:val="24"/>
        </w:rPr>
        <w:t>Interest Coverage Ratio (ICR)</w:t>
      </w:r>
      <w:r w:rsidRPr="00BD42EB">
        <w:rPr>
          <w:sz w:val="24"/>
          <w:szCs w:val="24"/>
        </w:rPr>
        <w:t>, indicating a firm’s ability to cover interest obligations.</w:t>
      </w:r>
      <w:r w:rsidRPr="00BD42EB">
        <w:rPr>
          <w:sz w:val="24"/>
          <w:szCs w:val="24"/>
        </w:rPr>
        <w:br/>
      </w:r>
    </w:p>
    <w:p w14:paraId="32F8582F" w14:textId="77777777" w:rsidR="007D145F" w:rsidRPr="008161C1" w:rsidRDefault="007D145F" w:rsidP="00B22EFF">
      <w:pPr>
        <w:widowControl/>
        <w:numPr>
          <w:ilvl w:val="0"/>
          <w:numId w:val="17"/>
        </w:numPr>
        <w:autoSpaceDE/>
        <w:autoSpaceDN/>
        <w:spacing w:after="240" w:line="276" w:lineRule="auto"/>
        <w:rPr>
          <w:sz w:val="28"/>
          <w:szCs w:val="28"/>
        </w:rPr>
      </w:pPr>
      <w:r w:rsidRPr="00BD42EB">
        <w:rPr>
          <w:b/>
          <w:sz w:val="24"/>
          <w:szCs w:val="24"/>
        </w:rPr>
        <w:t>Moderating Variable</w:t>
      </w:r>
      <w:r w:rsidRPr="00BD42EB">
        <w:rPr>
          <w:sz w:val="24"/>
          <w:szCs w:val="24"/>
        </w:rPr>
        <w:t xml:space="preserve">: </w:t>
      </w:r>
      <w:r w:rsidRPr="00BD42EB">
        <w:rPr>
          <w:b/>
          <w:sz w:val="24"/>
          <w:szCs w:val="24"/>
        </w:rPr>
        <w:t>Bloomberg ESG Score</w:t>
      </w:r>
      <w:r w:rsidRPr="00BD42EB">
        <w:rPr>
          <w:sz w:val="24"/>
          <w:szCs w:val="24"/>
        </w:rPr>
        <w:t>, assessing overall corporate sustainability performance.</w:t>
      </w:r>
      <w:r w:rsidRPr="00BD42EB">
        <w:rPr>
          <w:sz w:val="24"/>
          <w:szCs w:val="24"/>
        </w:rPr>
        <w:br/>
      </w:r>
    </w:p>
    <w:p w14:paraId="7C5BD664" w14:textId="77777777" w:rsidR="007D145F" w:rsidRPr="008161C1" w:rsidRDefault="007D145F" w:rsidP="007D145F">
      <w:pPr>
        <w:pStyle w:val="Heading2"/>
        <w:spacing w:after="80"/>
        <w:jc w:val="both"/>
        <w:rPr>
          <w:b/>
        </w:rPr>
      </w:pPr>
      <w:bookmarkStart w:id="25" w:name="_om7fjdfadcdk" w:colFirst="0" w:colLast="0"/>
      <w:bookmarkStart w:id="26" w:name="_Toc194903443"/>
      <w:bookmarkEnd w:id="25"/>
      <w:r w:rsidRPr="008161C1">
        <w:rPr>
          <w:b/>
        </w:rPr>
        <w:t>3.2 Methods of Data Collection</w:t>
      </w:r>
      <w:bookmarkEnd w:id="26"/>
    </w:p>
    <w:p w14:paraId="6A3CB9EE" w14:textId="77777777" w:rsidR="007D145F" w:rsidRPr="00BD42EB" w:rsidRDefault="007D145F" w:rsidP="007D145F">
      <w:pPr>
        <w:spacing w:before="240" w:after="240"/>
        <w:jc w:val="both"/>
        <w:rPr>
          <w:sz w:val="24"/>
          <w:szCs w:val="24"/>
        </w:rPr>
      </w:pPr>
      <w:r w:rsidRPr="00BD42EB">
        <w:rPr>
          <w:sz w:val="24"/>
          <w:szCs w:val="24"/>
        </w:rPr>
        <w:t>This research applies secondary data collected from Bloomberg Terminal to investigate the correlation between debt and ESG performance within the oil and gas industry. The data collection process was organized to guarantee precision, consistency, and relevance to the study purposes.</w:t>
      </w:r>
    </w:p>
    <w:p w14:paraId="36B5C630" w14:textId="77777777" w:rsidR="007D145F" w:rsidRDefault="007D145F" w:rsidP="007D145F">
      <w:pPr>
        <w:spacing w:before="240" w:after="240"/>
        <w:jc w:val="both"/>
        <w:rPr>
          <w:sz w:val="24"/>
          <w:szCs w:val="24"/>
        </w:rPr>
      </w:pPr>
    </w:p>
    <w:p w14:paraId="04960D2A" w14:textId="77777777" w:rsidR="006323E1" w:rsidRPr="00BD42EB" w:rsidRDefault="006323E1" w:rsidP="007D145F">
      <w:pPr>
        <w:spacing w:before="240" w:after="240"/>
        <w:jc w:val="both"/>
        <w:rPr>
          <w:sz w:val="24"/>
          <w:szCs w:val="24"/>
        </w:rPr>
      </w:pPr>
    </w:p>
    <w:p w14:paraId="7680FA66" w14:textId="77777777" w:rsidR="007D145F" w:rsidRPr="008161C1" w:rsidRDefault="007D145F" w:rsidP="007D145F">
      <w:pPr>
        <w:pStyle w:val="Heading3"/>
        <w:rPr>
          <w:b w:val="0"/>
          <w:bCs w:val="0"/>
        </w:rPr>
      </w:pPr>
      <w:bookmarkStart w:id="27" w:name="_Toc194903444"/>
      <w:r w:rsidRPr="008161C1">
        <w:t>3.2.1 Data Source and Extraction Process</w:t>
      </w:r>
      <w:bookmarkEnd w:id="27"/>
    </w:p>
    <w:p w14:paraId="4D130886" w14:textId="77777777" w:rsidR="007D145F" w:rsidRPr="00BD42EB" w:rsidRDefault="007D145F" w:rsidP="007D145F">
      <w:pPr>
        <w:spacing w:before="240" w:after="240"/>
        <w:jc w:val="both"/>
        <w:rPr>
          <w:sz w:val="24"/>
          <w:szCs w:val="24"/>
        </w:rPr>
      </w:pPr>
      <w:r w:rsidRPr="00BD42EB">
        <w:rPr>
          <w:sz w:val="24"/>
          <w:szCs w:val="24"/>
        </w:rPr>
        <w:t>The ESG and financial data used in this study were pulled from Bloomberg Terminal, a well-known financial database that offers extensive market and sustainability information. The process of retrieving the data included the following steps:</w:t>
      </w:r>
    </w:p>
    <w:p w14:paraId="647224E6" w14:textId="080BFEA9" w:rsidR="007D145F" w:rsidRPr="007D145F" w:rsidRDefault="007D145F" w:rsidP="007D145F">
      <w:pPr>
        <w:spacing w:before="240" w:after="240"/>
        <w:jc w:val="both"/>
        <w:rPr>
          <w:sz w:val="24"/>
          <w:szCs w:val="24"/>
        </w:rPr>
      </w:pPr>
      <w:r w:rsidRPr="00BD42EB">
        <w:rPr>
          <w:noProof/>
          <w:sz w:val="24"/>
          <w:szCs w:val="24"/>
        </w:rPr>
        <w:drawing>
          <wp:inline distT="0" distB="0" distL="0" distR="0" wp14:anchorId="2EA20C9C" wp14:editId="19CA7C37">
            <wp:extent cx="3788229" cy="2164702"/>
            <wp:effectExtent l="0" t="0" r="3175" b="7620"/>
            <wp:docPr id="71938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8274" name=""/>
                    <pic:cNvPicPr/>
                  </pic:nvPicPr>
                  <pic:blipFill>
                    <a:blip r:embed="rId10"/>
                    <a:stretch>
                      <a:fillRect/>
                    </a:stretch>
                  </pic:blipFill>
                  <pic:spPr>
                    <a:xfrm>
                      <a:off x="0" y="0"/>
                      <a:ext cx="3804931" cy="2174246"/>
                    </a:xfrm>
                    <a:prstGeom prst="rect">
                      <a:avLst/>
                    </a:prstGeom>
                  </pic:spPr>
                </pic:pic>
              </a:graphicData>
            </a:graphic>
          </wp:inline>
        </w:drawing>
      </w:r>
    </w:p>
    <w:p w14:paraId="09FE6B18" w14:textId="5AF16941" w:rsidR="007D145F" w:rsidRPr="00BD42EB" w:rsidRDefault="007D145F" w:rsidP="007D145F">
      <w:pPr>
        <w:pStyle w:val="Caption"/>
        <w:jc w:val="both"/>
        <w:rPr>
          <w:rFonts w:ascii="Times New Roman" w:hAnsi="Times New Roman" w:cs="Times New Roman"/>
          <w:sz w:val="24"/>
          <w:szCs w:val="24"/>
        </w:rPr>
      </w:pPr>
      <w:bookmarkStart w:id="28" w:name="_Toc194667096"/>
      <w:r>
        <w:t xml:space="preserve">Figure </w:t>
      </w:r>
      <w:r>
        <w:fldChar w:fldCharType="begin"/>
      </w:r>
      <w:r>
        <w:instrText xml:space="preserve"> SEQ Figure \* ARABIC </w:instrText>
      </w:r>
      <w:r>
        <w:fldChar w:fldCharType="separate"/>
      </w:r>
      <w:r w:rsidR="0033720D">
        <w:rPr>
          <w:noProof/>
        </w:rPr>
        <w:t>2</w:t>
      </w:r>
      <w:r>
        <w:rPr>
          <w:noProof/>
        </w:rPr>
        <w:fldChar w:fldCharType="end"/>
      </w:r>
      <w:r>
        <w:t>: Bloomberg Terminal Functional</w:t>
      </w:r>
      <w:bookmarkEnd w:id="28"/>
    </w:p>
    <w:p w14:paraId="5BB029DD" w14:textId="064C2C12" w:rsidR="007D145F" w:rsidRPr="00BD42EB" w:rsidRDefault="007D145F" w:rsidP="007D145F">
      <w:pPr>
        <w:spacing w:before="240" w:after="240"/>
        <w:jc w:val="both"/>
        <w:rPr>
          <w:sz w:val="24"/>
          <w:szCs w:val="24"/>
        </w:rPr>
      </w:pPr>
      <w:r w:rsidRPr="00BD42EB">
        <w:rPr>
          <w:sz w:val="24"/>
          <w:szCs w:val="24"/>
        </w:rPr>
        <w:t>Command Execution: The Bloomberg command SPGOUP Index was executed to retrieve the constituents of the S&amp;P Global Oil Index.</w:t>
      </w:r>
    </w:p>
    <w:p w14:paraId="1042EDFD" w14:textId="77777777" w:rsidR="007D145F" w:rsidRPr="00BD42EB" w:rsidRDefault="007D145F" w:rsidP="007D145F">
      <w:pPr>
        <w:spacing w:before="240" w:after="240"/>
        <w:jc w:val="both"/>
        <w:rPr>
          <w:sz w:val="24"/>
          <w:szCs w:val="24"/>
        </w:rPr>
      </w:pPr>
      <w:r w:rsidRPr="00BD42EB">
        <w:rPr>
          <w:sz w:val="24"/>
          <w:szCs w:val="24"/>
        </w:rPr>
        <w:t xml:space="preserve">A table containing the 119 companies was produced as a result of selecting the member weighting from the </w:t>
      </w:r>
      <w:r>
        <w:rPr>
          <w:sz w:val="24"/>
          <w:szCs w:val="24"/>
        </w:rPr>
        <w:t>drop-down</w:t>
      </w:r>
      <w:r w:rsidRPr="00BD42EB">
        <w:rPr>
          <w:sz w:val="24"/>
          <w:szCs w:val="24"/>
        </w:rPr>
        <w:t xml:space="preserve"> menu, after which the ‘Fields’ option was selected, which presented a </w:t>
      </w:r>
      <w:r>
        <w:rPr>
          <w:sz w:val="24"/>
          <w:szCs w:val="24"/>
        </w:rPr>
        <w:t>drop-down</w:t>
      </w:r>
      <w:r w:rsidRPr="00BD42EB">
        <w:rPr>
          <w:sz w:val="24"/>
          <w:szCs w:val="24"/>
        </w:rPr>
        <w:t xml:space="preserve"> menu from which the variables DER, ICR</w:t>
      </w:r>
      <w:r>
        <w:rPr>
          <w:sz w:val="24"/>
          <w:szCs w:val="24"/>
        </w:rPr>
        <w:t>,</w:t>
      </w:r>
      <w:r w:rsidRPr="00BD42EB">
        <w:rPr>
          <w:sz w:val="24"/>
          <w:szCs w:val="24"/>
        </w:rPr>
        <w:t xml:space="preserve"> and Bloomberg ESG Score were chosen.</w:t>
      </w:r>
    </w:p>
    <w:p w14:paraId="490F8CFD" w14:textId="59128A50" w:rsidR="007D145F" w:rsidRPr="007D145F" w:rsidRDefault="007D145F" w:rsidP="007D145F">
      <w:pPr>
        <w:pStyle w:val="Heading3"/>
        <w:rPr>
          <w:b w:val="0"/>
          <w:bCs w:val="0"/>
        </w:rPr>
      </w:pPr>
      <w:bookmarkStart w:id="29" w:name="_Toc194903445"/>
      <w:r w:rsidRPr="00970BCD">
        <w:t>3.3.2 Variables chosen</w:t>
      </w:r>
      <w:bookmarkEnd w:id="29"/>
    </w:p>
    <w:p w14:paraId="007FC392" w14:textId="4F35411B" w:rsidR="007D145F" w:rsidRPr="00BD42EB" w:rsidRDefault="007D145F" w:rsidP="007D145F">
      <w:pPr>
        <w:spacing w:before="240" w:after="240"/>
        <w:jc w:val="both"/>
        <w:rPr>
          <w:sz w:val="24"/>
          <w:szCs w:val="24"/>
        </w:rPr>
      </w:pPr>
      <w:r w:rsidRPr="00BD42EB">
        <w:rPr>
          <w:sz w:val="24"/>
          <w:szCs w:val="24"/>
        </w:rPr>
        <w:t>The following variables were collected:</w:t>
      </w:r>
    </w:p>
    <w:p w14:paraId="407E7601" w14:textId="77777777" w:rsidR="007D145F" w:rsidRPr="007C012D" w:rsidRDefault="007D145F" w:rsidP="007D145F">
      <w:pPr>
        <w:pStyle w:val="Heading4"/>
        <w:numPr>
          <w:ilvl w:val="0"/>
          <w:numId w:val="21"/>
        </w:numPr>
      </w:pPr>
      <w:bookmarkStart w:id="30" w:name="_x7eg04oe1j5j" w:colFirst="0" w:colLast="0"/>
      <w:bookmarkEnd w:id="30"/>
      <w:r w:rsidRPr="007C012D">
        <w:t>Debt-to-Equity Ratio (D/E) – Dependent Variable</w:t>
      </w:r>
    </w:p>
    <w:p w14:paraId="4E81E685" w14:textId="77777777" w:rsidR="007D145F" w:rsidRPr="00BD42EB" w:rsidRDefault="007D145F" w:rsidP="007D145F">
      <w:pPr>
        <w:spacing w:before="240" w:after="240"/>
        <w:jc w:val="both"/>
        <w:rPr>
          <w:sz w:val="24"/>
          <w:szCs w:val="24"/>
        </w:rPr>
      </w:pPr>
      <w:bookmarkStart w:id="31" w:name="_Hlk194650587"/>
      <w:r w:rsidRPr="00BD42EB">
        <w:rPr>
          <w:sz w:val="24"/>
          <w:szCs w:val="24"/>
        </w:rPr>
        <w:t>The Debt-to-Equity Ratio (D/E) is an essential financial leverage index available through Bloomberg, deriving itself from total debt divided by total shareholder equity. This ratio reflects the company's use of both debt and equity types of financing. Any increase in the D/E ratio indicates less equity predominantly financed by debt</w:t>
      </w:r>
      <w:r>
        <w:rPr>
          <w:sz w:val="24"/>
          <w:szCs w:val="24"/>
        </w:rPr>
        <w:t>,</w:t>
      </w:r>
      <w:r w:rsidRPr="00BD42EB">
        <w:rPr>
          <w:sz w:val="24"/>
          <w:szCs w:val="24"/>
        </w:rPr>
        <w:t xml:space="preserve"> leading to increased borrowing risks and interest obligations. On the other hand, </w:t>
      </w:r>
      <w:r>
        <w:rPr>
          <w:sz w:val="24"/>
          <w:szCs w:val="24"/>
        </w:rPr>
        <w:t xml:space="preserve">a </w:t>
      </w:r>
      <w:r w:rsidRPr="00BD42EB">
        <w:rPr>
          <w:sz w:val="24"/>
          <w:szCs w:val="24"/>
        </w:rPr>
        <w:t xml:space="preserve">low D/E ratio is seen as a firm's embrace of the equity part of the capital and operates with reduced financial risk. This ratio stands out as an exceptionally important indicator of the financial well-being of an oil and gas entity, given the nature of their operations, which are highly capital intensive and exposed to marketplace volatility. Bloomberg ensures this ratio is consistently reported across companies and industries. </w:t>
      </w:r>
    </w:p>
    <w:p w14:paraId="68755FAB" w14:textId="77777777" w:rsidR="007D145F" w:rsidRPr="00BD42EB" w:rsidRDefault="007D145F" w:rsidP="007D145F">
      <w:pPr>
        <w:spacing w:before="240" w:after="240"/>
        <w:jc w:val="both"/>
        <w:rPr>
          <w:sz w:val="24"/>
          <w:szCs w:val="24"/>
        </w:rPr>
      </w:pPr>
      <w:r w:rsidRPr="00BD42EB">
        <w:rPr>
          <w:sz w:val="24"/>
          <w:szCs w:val="24"/>
        </w:rPr>
        <w:t>Total debt divided by total shareholders' equity. Calculated as:</w:t>
      </w:r>
    </w:p>
    <w:p w14:paraId="79E41DC7" w14:textId="77777777" w:rsidR="007D145F" w:rsidRDefault="007D145F" w:rsidP="007D145F">
      <w:pPr>
        <w:spacing w:before="240" w:after="240"/>
        <w:jc w:val="both"/>
        <w:rPr>
          <w:sz w:val="24"/>
          <w:szCs w:val="24"/>
        </w:rPr>
      </w:pPr>
      <w:r w:rsidRPr="00BD42EB">
        <w:rPr>
          <w:sz w:val="24"/>
          <w:szCs w:val="24"/>
        </w:rPr>
        <w:t>Short- and Long-Term Debt / Shareholders' Equity * 100</w:t>
      </w:r>
    </w:p>
    <w:p w14:paraId="66F50C36" w14:textId="77777777" w:rsidR="00201C5B" w:rsidRPr="00BD42EB" w:rsidRDefault="00201C5B" w:rsidP="007D145F">
      <w:pPr>
        <w:spacing w:before="240" w:after="240"/>
        <w:jc w:val="both"/>
        <w:rPr>
          <w:sz w:val="24"/>
          <w:szCs w:val="24"/>
        </w:rPr>
      </w:pPr>
    </w:p>
    <w:p w14:paraId="3F574265" w14:textId="77777777" w:rsidR="007D145F" w:rsidRPr="007C012D" w:rsidRDefault="007D145F" w:rsidP="007D145F">
      <w:pPr>
        <w:pStyle w:val="Heading4"/>
        <w:numPr>
          <w:ilvl w:val="0"/>
          <w:numId w:val="21"/>
        </w:numPr>
      </w:pPr>
      <w:r w:rsidRPr="007C012D">
        <w:t xml:space="preserve">Interest Coverage Ratio (ICR) – Independent Variable </w:t>
      </w:r>
    </w:p>
    <w:p w14:paraId="119AF423" w14:textId="77777777" w:rsidR="007D145F" w:rsidRPr="00BD42EB" w:rsidRDefault="007D145F" w:rsidP="007D145F">
      <w:pPr>
        <w:spacing w:before="240" w:after="240"/>
        <w:jc w:val="both"/>
        <w:rPr>
          <w:sz w:val="24"/>
          <w:szCs w:val="24"/>
        </w:rPr>
      </w:pPr>
      <w:r w:rsidRPr="00BD42EB">
        <w:rPr>
          <w:sz w:val="24"/>
          <w:szCs w:val="24"/>
        </w:rPr>
        <w:t xml:space="preserve">The interest coverage ratio is referred to as the number of times EBITDA (Earnings Before Interest, Tax, Depreciation, and Amortization) covers the total interest costs. High-interest-coverage-ratio companies tend to have EPA coverages high enough for earnings to stand well in comparison to debt requirements from a financial hardship perspective. Meanwhile, low-interest-coverage-ratio companies are dangerously close to a lower liquidity position and will not cover interest charges. In the oil and gas sector, where revenues are subject to volatility due to commodity price oscillations, continual improvement in ICR remains crucial for ensuring investor confidence. Bloomberg follows a system so as to compare the companies across the sector and different industries. </w:t>
      </w:r>
    </w:p>
    <w:p w14:paraId="00949539" w14:textId="77777777" w:rsidR="007D145F" w:rsidRPr="00BD42EB" w:rsidRDefault="007D145F" w:rsidP="007D145F">
      <w:pPr>
        <w:spacing w:before="240" w:after="240"/>
        <w:jc w:val="both"/>
        <w:rPr>
          <w:sz w:val="24"/>
          <w:szCs w:val="24"/>
        </w:rPr>
      </w:pPr>
      <w:r w:rsidRPr="00BD42EB">
        <w:rPr>
          <w:sz w:val="24"/>
          <w:szCs w:val="24"/>
        </w:rPr>
        <w:t>Calculated as:</w:t>
      </w:r>
    </w:p>
    <w:p w14:paraId="5F2D4927" w14:textId="77777777" w:rsidR="007D145F" w:rsidRPr="00BD42EB" w:rsidRDefault="007D145F" w:rsidP="007D145F">
      <w:pPr>
        <w:spacing w:before="240" w:after="240"/>
        <w:jc w:val="both"/>
        <w:rPr>
          <w:sz w:val="24"/>
          <w:szCs w:val="24"/>
        </w:rPr>
      </w:pPr>
      <w:r w:rsidRPr="00BD42EB">
        <w:rPr>
          <w:sz w:val="24"/>
          <w:szCs w:val="24"/>
        </w:rPr>
        <w:t>EBITDA / Interest Expense</w:t>
      </w:r>
    </w:p>
    <w:p w14:paraId="675C45C4" w14:textId="77777777" w:rsidR="007D145F" w:rsidRPr="007C012D" w:rsidRDefault="007D145F" w:rsidP="007D145F">
      <w:pPr>
        <w:pStyle w:val="Heading4"/>
        <w:numPr>
          <w:ilvl w:val="0"/>
          <w:numId w:val="21"/>
        </w:numPr>
      </w:pPr>
      <w:r w:rsidRPr="007C012D">
        <w:t>Bloomberg ESG Score</w:t>
      </w:r>
    </w:p>
    <w:p w14:paraId="59ED6B62" w14:textId="77777777" w:rsidR="007D145F" w:rsidRPr="00BD42EB" w:rsidRDefault="007D145F" w:rsidP="007D145F">
      <w:pPr>
        <w:spacing w:before="240" w:after="240"/>
        <w:jc w:val="both"/>
        <w:rPr>
          <w:sz w:val="24"/>
          <w:szCs w:val="24"/>
        </w:rPr>
      </w:pPr>
      <w:r>
        <w:rPr>
          <w:sz w:val="24"/>
          <w:szCs w:val="24"/>
        </w:rPr>
        <w:t>Bloomberg's</w:t>
      </w:r>
      <w:r w:rsidRPr="00BD42EB">
        <w:rPr>
          <w:sz w:val="24"/>
          <w:szCs w:val="24"/>
        </w:rPr>
        <w:t xml:space="preserve"> ESG Score is a proprietary rating considering a company's ESG performance either through reported data or its ESG practices evaluated by others. Bloomberg awards scores from 0 to 10</w:t>
      </w:r>
      <w:r>
        <w:rPr>
          <w:sz w:val="24"/>
          <w:szCs w:val="24"/>
        </w:rPr>
        <w:t>,</w:t>
      </w:r>
      <w:r w:rsidRPr="00BD42EB">
        <w:rPr>
          <w:sz w:val="24"/>
          <w:szCs w:val="24"/>
        </w:rPr>
        <w:t xml:space="preserve"> with the higher number representing improved transparency in the ESG inclusion and other sustainable business practices. This ESG score is a good way to capture all the elements of environmental, social, and governance matters, rather than breaking into environmental, </w:t>
      </w:r>
      <w:bookmarkEnd w:id="31"/>
      <w:r w:rsidRPr="00BD42EB">
        <w:rPr>
          <w:sz w:val="24"/>
          <w:szCs w:val="24"/>
        </w:rPr>
        <w:t>social, and governance scores separately.</w:t>
      </w:r>
      <w:r>
        <w:rPr>
          <w:sz w:val="24"/>
          <w:szCs w:val="24"/>
        </w:rPr>
        <w:t xml:space="preserve"> </w:t>
      </w:r>
      <w:r w:rsidRPr="007C012D">
        <w:rPr>
          <w:sz w:val="24"/>
          <w:szCs w:val="24"/>
        </w:rPr>
        <w:t>Customized pillar weights are assigned by Bloomberg under the assumption of financial materiality. For companies in the Oil &amp; Gas, Exploration, and Production sector, the ESG score is weighted as follows:</w:t>
      </w:r>
    </w:p>
    <w:p w14:paraId="043D801F" w14:textId="77777777" w:rsidR="007D145F" w:rsidRPr="00BD42EB" w:rsidRDefault="007D145F" w:rsidP="007D145F">
      <w:pPr>
        <w:widowControl/>
        <w:numPr>
          <w:ilvl w:val="0"/>
          <w:numId w:val="19"/>
        </w:numPr>
        <w:autoSpaceDE/>
        <w:autoSpaceDN/>
        <w:spacing w:before="240" w:line="276" w:lineRule="auto"/>
        <w:rPr>
          <w:sz w:val="24"/>
          <w:szCs w:val="24"/>
        </w:rPr>
      </w:pPr>
      <w:r w:rsidRPr="00BD42EB">
        <w:rPr>
          <w:b/>
          <w:sz w:val="24"/>
          <w:szCs w:val="24"/>
        </w:rPr>
        <w:t>Environmental</w:t>
      </w:r>
      <w:r w:rsidRPr="00BD42EB">
        <w:rPr>
          <w:sz w:val="24"/>
          <w:szCs w:val="24"/>
        </w:rPr>
        <w:t>: 45.5% (Ranked 1st in importance)</w:t>
      </w:r>
      <w:r w:rsidRPr="00BD42EB">
        <w:rPr>
          <w:sz w:val="24"/>
          <w:szCs w:val="24"/>
        </w:rPr>
        <w:br/>
      </w:r>
    </w:p>
    <w:p w14:paraId="4668DFDB" w14:textId="77777777" w:rsidR="007D145F" w:rsidRPr="00BD42EB" w:rsidRDefault="007D145F" w:rsidP="007D145F">
      <w:pPr>
        <w:widowControl/>
        <w:numPr>
          <w:ilvl w:val="0"/>
          <w:numId w:val="19"/>
        </w:numPr>
        <w:autoSpaceDE/>
        <w:autoSpaceDN/>
        <w:spacing w:line="276" w:lineRule="auto"/>
        <w:rPr>
          <w:sz w:val="24"/>
          <w:szCs w:val="24"/>
        </w:rPr>
      </w:pPr>
      <w:r w:rsidRPr="00BD42EB">
        <w:rPr>
          <w:b/>
          <w:sz w:val="24"/>
          <w:szCs w:val="24"/>
        </w:rPr>
        <w:t>Social</w:t>
      </w:r>
      <w:r w:rsidRPr="00BD42EB">
        <w:rPr>
          <w:sz w:val="24"/>
          <w:szCs w:val="24"/>
        </w:rPr>
        <w:t>: 27.3% (Ranked 3rd in importance)</w:t>
      </w:r>
      <w:r w:rsidRPr="00BD42EB">
        <w:rPr>
          <w:sz w:val="24"/>
          <w:szCs w:val="24"/>
        </w:rPr>
        <w:br/>
      </w:r>
    </w:p>
    <w:p w14:paraId="4060B00C" w14:textId="77777777" w:rsidR="007D145F" w:rsidRPr="00BD42EB" w:rsidRDefault="007D145F" w:rsidP="007D145F">
      <w:pPr>
        <w:widowControl/>
        <w:numPr>
          <w:ilvl w:val="0"/>
          <w:numId w:val="19"/>
        </w:numPr>
        <w:autoSpaceDE/>
        <w:autoSpaceDN/>
        <w:spacing w:after="240" w:line="276" w:lineRule="auto"/>
        <w:rPr>
          <w:sz w:val="24"/>
          <w:szCs w:val="24"/>
        </w:rPr>
      </w:pPr>
      <w:r w:rsidRPr="00BD42EB">
        <w:rPr>
          <w:b/>
          <w:sz w:val="24"/>
          <w:szCs w:val="24"/>
        </w:rPr>
        <w:t>Governance</w:t>
      </w:r>
      <w:r w:rsidRPr="00BD42EB">
        <w:rPr>
          <w:sz w:val="24"/>
          <w:szCs w:val="24"/>
        </w:rPr>
        <w:t>: 27.3% (Ranked 3rd in importance)</w:t>
      </w:r>
    </w:p>
    <w:p w14:paraId="584E8DE1" w14:textId="77777777" w:rsidR="007D145F" w:rsidRPr="00BD42EB" w:rsidRDefault="007D145F" w:rsidP="007D145F">
      <w:pPr>
        <w:spacing w:before="240" w:after="240"/>
        <w:jc w:val="both"/>
        <w:rPr>
          <w:sz w:val="24"/>
          <w:szCs w:val="24"/>
        </w:rPr>
      </w:pPr>
      <w:r w:rsidRPr="00BD42EB">
        <w:rPr>
          <w:sz w:val="24"/>
          <w:szCs w:val="24"/>
        </w:rPr>
        <w:t xml:space="preserve"> In this study, the </w:t>
      </w:r>
      <w:r w:rsidRPr="007C012D">
        <w:rPr>
          <w:bCs/>
          <w:sz w:val="24"/>
          <w:szCs w:val="24"/>
        </w:rPr>
        <w:t>Bloomberg ESG Score serves as a moderating variable</w:t>
      </w:r>
      <w:r w:rsidRPr="00BD42EB">
        <w:rPr>
          <w:sz w:val="24"/>
          <w:szCs w:val="24"/>
        </w:rPr>
        <w:t xml:space="preserve"> to determine whether ESG performance influences the relationship between financial stability (ICR) and financial leverage (D/E ratio).</w:t>
      </w:r>
    </w:p>
    <w:p w14:paraId="58A5E28E" w14:textId="77777777" w:rsidR="007D145F" w:rsidRPr="007C012D" w:rsidRDefault="007D145F" w:rsidP="007D145F">
      <w:pPr>
        <w:spacing w:before="240" w:after="240"/>
        <w:jc w:val="both"/>
        <w:rPr>
          <w:sz w:val="24"/>
          <w:szCs w:val="24"/>
        </w:rPr>
      </w:pPr>
      <w:r w:rsidRPr="007C012D">
        <w:rPr>
          <w:sz w:val="24"/>
          <w:szCs w:val="24"/>
        </w:rPr>
        <w:t>To maintain data integrity, firms missing any financial or ESG data for any year in the study period were excluded from the dataset to avoid bias.</w:t>
      </w:r>
    </w:p>
    <w:p w14:paraId="6EF1380D" w14:textId="77777777" w:rsidR="007D145F" w:rsidRPr="008161C1" w:rsidRDefault="007D145F" w:rsidP="007D145F">
      <w:pPr>
        <w:pStyle w:val="Heading2"/>
        <w:spacing w:after="80"/>
        <w:jc w:val="both"/>
        <w:rPr>
          <w:b/>
        </w:rPr>
      </w:pPr>
      <w:bookmarkStart w:id="32" w:name="_6euj2ro3auq1" w:colFirst="0" w:colLast="0"/>
      <w:bookmarkStart w:id="33" w:name="_Toc194903446"/>
      <w:bookmarkEnd w:id="32"/>
      <w:r w:rsidRPr="008161C1">
        <w:rPr>
          <w:b/>
        </w:rPr>
        <w:t>3.3 Statistical Design</w:t>
      </w:r>
      <w:bookmarkEnd w:id="33"/>
    </w:p>
    <w:p w14:paraId="37003C17" w14:textId="77777777" w:rsidR="007D145F" w:rsidRPr="00BD42EB" w:rsidRDefault="007D145F" w:rsidP="007D145F">
      <w:pPr>
        <w:pStyle w:val="Heading3"/>
        <w:spacing w:before="280"/>
        <w:jc w:val="both"/>
        <w:rPr>
          <w:b w:val="0"/>
          <w:color w:val="000000"/>
        </w:rPr>
      </w:pPr>
      <w:bookmarkStart w:id="34" w:name="_ntr4n1k44vsn" w:colFirst="0" w:colLast="0"/>
      <w:bookmarkStart w:id="35" w:name="_Toc194903447"/>
      <w:bookmarkEnd w:id="34"/>
      <w:r w:rsidRPr="00BD42EB">
        <w:rPr>
          <w:color w:val="000000"/>
        </w:rPr>
        <w:t>3.3.1 Regression Model Specification</w:t>
      </w:r>
      <w:bookmarkEnd w:id="35"/>
    </w:p>
    <w:p w14:paraId="1F0E1174" w14:textId="77777777" w:rsidR="007D145F" w:rsidRPr="007C012D" w:rsidRDefault="007D145F" w:rsidP="007D145F">
      <w:pPr>
        <w:spacing w:before="240" w:after="240"/>
        <w:jc w:val="both"/>
        <w:rPr>
          <w:sz w:val="24"/>
          <w:szCs w:val="24"/>
        </w:rPr>
      </w:pPr>
      <w:r w:rsidRPr="007C012D">
        <w:rPr>
          <w:sz w:val="24"/>
          <w:szCs w:val="24"/>
        </w:rPr>
        <w:t>A linear regression model was employed to evaluate the relationship between financial stability, leverage, and ESG performance. The model is structured as follows:</w:t>
      </w:r>
    </w:p>
    <w:p w14:paraId="3072D373" w14:textId="77777777" w:rsidR="00201C5B" w:rsidRDefault="00201C5B" w:rsidP="007D145F">
      <w:pPr>
        <w:spacing w:before="240" w:after="240"/>
        <w:jc w:val="both"/>
        <w:rPr>
          <w:sz w:val="24"/>
          <w:szCs w:val="24"/>
        </w:rPr>
      </w:pPr>
    </w:p>
    <w:p w14:paraId="4026AF0E" w14:textId="77777777" w:rsidR="00201C5B" w:rsidRDefault="00201C5B" w:rsidP="007D145F">
      <w:pPr>
        <w:spacing w:before="240" w:after="240"/>
        <w:jc w:val="both"/>
        <w:rPr>
          <w:sz w:val="24"/>
          <w:szCs w:val="24"/>
        </w:rPr>
      </w:pPr>
    </w:p>
    <w:p w14:paraId="79C05379" w14:textId="1563CB16" w:rsidR="007D145F" w:rsidRPr="00BD42EB" w:rsidRDefault="007D145F" w:rsidP="007D145F">
      <w:pPr>
        <w:spacing w:before="240" w:after="240"/>
        <w:jc w:val="both"/>
        <w:rPr>
          <w:sz w:val="24"/>
          <w:szCs w:val="24"/>
        </w:rPr>
      </w:pPr>
      <w:r w:rsidRPr="00BD42EB">
        <w:rPr>
          <w:sz w:val="24"/>
          <w:szCs w:val="24"/>
        </w:rPr>
        <w:t>D/Ei = β₀ + β₁ ICR+ β₂ ESG + β₃ (ICR × ESG) + ε</w:t>
      </w:r>
    </w:p>
    <w:p w14:paraId="624F3BF8" w14:textId="77777777" w:rsidR="007D145F" w:rsidRPr="00BD42EB" w:rsidRDefault="007D145F" w:rsidP="007D145F">
      <w:pPr>
        <w:spacing w:before="240" w:after="240"/>
        <w:jc w:val="both"/>
        <w:rPr>
          <w:sz w:val="24"/>
          <w:szCs w:val="24"/>
        </w:rPr>
      </w:pPr>
      <w:r w:rsidRPr="00BD42EB">
        <w:rPr>
          <w:sz w:val="24"/>
          <w:szCs w:val="24"/>
        </w:rPr>
        <w:t>Where:</w:t>
      </w:r>
    </w:p>
    <w:p w14:paraId="14BC9268" w14:textId="77777777" w:rsidR="007D145F" w:rsidRPr="00BD42EB" w:rsidRDefault="007D145F" w:rsidP="007D145F">
      <w:pPr>
        <w:widowControl/>
        <w:numPr>
          <w:ilvl w:val="0"/>
          <w:numId w:val="18"/>
        </w:numPr>
        <w:autoSpaceDE/>
        <w:autoSpaceDN/>
        <w:spacing w:before="240" w:line="276" w:lineRule="auto"/>
        <w:jc w:val="both"/>
        <w:rPr>
          <w:sz w:val="24"/>
          <w:szCs w:val="24"/>
        </w:rPr>
      </w:pPr>
      <w:r w:rsidRPr="00BD42EB">
        <w:rPr>
          <w:sz w:val="24"/>
          <w:szCs w:val="24"/>
        </w:rPr>
        <w:t xml:space="preserve">D/E (Debt-to-Equity Ratio) = Dependent variable, representing the financial leverage  </w:t>
      </w:r>
    </w:p>
    <w:p w14:paraId="2149562E" w14:textId="77777777" w:rsidR="007D145F" w:rsidRPr="00BD42EB" w:rsidRDefault="007D145F" w:rsidP="007D145F">
      <w:pPr>
        <w:widowControl/>
        <w:numPr>
          <w:ilvl w:val="0"/>
          <w:numId w:val="18"/>
        </w:numPr>
        <w:autoSpaceDE/>
        <w:autoSpaceDN/>
        <w:spacing w:line="276" w:lineRule="auto"/>
        <w:jc w:val="both"/>
        <w:rPr>
          <w:sz w:val="24"/>
          <w:szCs w:val="24"/>
        </w:rPr>
      </w:pPr>
      <w:r w:rsidRPr="00BD42EB">
        <w:rPr>
          <w:sz w:val="24"/>
          <w:szCs w:val="24"/>
        </w:rPr>
        <w:t xml:space="preserve">β₀, β₁, β₂, β₃ = Regression coefficients that quantify the effect of each independent variable.  </w:t>
      </w:r>
    </w:p>
    <w:p w14:paraId="157BF79C" w14:textId="77777777" w:rsidR="007D145F" w:rsidRPr="00BD42EB" w:rsidRDefault="007D145F" w:rsidP="007D145F">
      <w:pPr>
        <w:widowControl/>
        <w:numPr>
          <w:ilvl w:val="0"/>
          <w:numId w:val="18"/>
        </w:numPr>
        <w:autoSpaceDE/>
        <w:autoSpaceDN/>
        <w:spacing w:line="276" w:lineRule="auto"/>
        <w:jc w:val="both"/>
        <w:rPr>
          <w:sz w:val="24"/>
          <w:szCs w:val="24"/>
        </w:rPr>
      </w:pPr>
      <w:r w:rsidRPr="00BD42EB">
        <w:rPr>
          <w:sz w:val="24"/>
          <w:szCs w:val="24"/>
        </w:rPr>
        <w:t xml:space="preserve">ICR (Interest Coverage Ratio) = Independent variable, measuring a firm’s ability to cover its interest expenses using EBITDA.  </w:t>
      </w:r>
    </w:p>
    <w:p w14:paraId="4FD6C76E" w14:textId="77777777" w:rsidR="007D145F" w:rsidRPr="00BD42EB" w:rsidRDefault="007D145F" w:rsidP="007D145F">
      <w:pPr>
        <w:widowControl/>
        <w:numPr>
          <w:ilvl w:val="0"/>
          <w:numId w:val="18"/>
        </w:numPr>
        <w:autoSpaceDE/>
        <w:autoSpaceDN/>
        <w:spacing w:line="276" w:lineRule="auto"/>
        <w:jc w:val="both"/>
        <w:rPr>
          <w:sz w:val="24"/>
          <w:szCs w:val="24"/>
        </w:rPr>
      </w:pPr>
      <w:r w:rsidRPr="00BD42EB">
        <w:rPr>
          <w:sz w:val="24"/>
          <w:szCs w:val="24"/>
        </w:rPr>
        <w:t xml:space="preserve">ESG (Bloomberg ESG Score) = Moderating variable, representing the firm’s overall ESG performance (scored between 0-10).  </w:t>
      </w:r>
    </w:p>
    <w:p w14:paraId="7DADA3CB" w14:textId="77777777" w:rsidR="007D145F" w:rsidRPr="00BD42EB" w:rsidRDefault="007D145F" w:rsidP="007D145F">
      <w:pPr>
        <w:widowControl/>
        <w:numPr>
          <w:ilvl w:val="0"/>
          <w:numId w:val="18"/>
        </w:numPr>
        <w:autoSpaceDE/>
        <w:autoSpaceDN/>
        <w:spacing w:line="276" w:lineRule="auto"/>
        <w:jc w:val="both"/>
        <w:rPr>
          <w:sz w:val="24"/>
          <w:szCs w:val="24"/>
        </w:rPr>
      </w:pPr>
      <w:r w:rsidRPr="00BD42EB">
        <w:rPr>
          <w:sz w:val="24"/>
          <w:szCs w:val="24"/>
        </w:rPr>
        <w:t xml:space="preserve">(ICR × ESG) = Interaction term, assessing whether ESG performance influences the relationship between ICR and D/E.  </w:t>
      </w:r>
    </w:p>
    <w:p w14:paraId="0971A4FA" w14:textId="77777777" w:rsidR="007D145F" w:rsidRPr="00BD42EB" w:rsidRDefault="007D145F" w:rsidP="007D145F">
      <w:pPr>
        <w:widowControl/>
        <w:numPr>
          <w:ilvl w:val="0"/>
          <w:numId w:val="18"/>
        </w:numPr>
        <w:autoSpaceDE/>
        <w:autoSpaceDN/>
        <w:spacing w:after="240" w:line="276" w:lineRule="auto"/>
        <w:jc w:val="both"/>
        <w:rPr>
          <w:sz w:val="24"/>
          <w:szCs w:val="24"/>
        </w:rPr>
      </w:pPr>
      <w:r w:rsidRPr="00BD42EB">
        <w:rPr>
          <w:sz w:val="24"/>
          <w:szCs w:val="24"/>
        </w:rPr>
        <w:t>ε = Error term, capturing the unexplained variation in D/E</w:t>
      </w:r>
      <w:r>
        <w:rPr>
          <w:sz w:val="24"/>
          <w:szCs w:val="24"/>
        </w:rPr>
        <w:t>.</w:t>
      </w:r>
      <w:r w:rsidRPr="00BD42EB">
        <w:rPr>
          <w:sz w:val="24"/>
          <w:szCs w:val="24"/>
        </w:rPr>
        <w:t xml:space="preserve"> </w:t>
      </w:r>
    </w:p>
    <w:p w14:paraId="67D2B29B" w14:textId="77777777" w:rsidR="007D145F" w:rsidRPr="00BD42EB" w:rsidRDefault="007D145F" w:rsidP="007D145F">
      <w:pPr>
        <w:pStyle w:val="Heading3"/>
        <w:spacing w:before="280"/>
        <w:jc w:val="both"/>
        <w:rPr>
          <w:b w:val="0"/>
          <w:color w:val="000000"/>
        </w:rPr>
      </w:pPr>
      <w:bookmarkStart w:id="36" w:name="_z75q08u6bs6t" w:colFirst="0" w:colLast="0"/>
      <w:bookmarkStart w:id="37" w:name="_Toc194903448"/>
      <w:bookmarkEnd w:id="36"/>
      <w:r w:rsidRPr="00BD42EB">
        <w:rPr>
          <w:color w:val="000000"/>
        </w:rPr>
        <w:t>3.3.2 Statistical Analysis and Model Evaluation</w:t>
      </w:r>
      <w:bookmarkEnd w:id="37"/>
    </w:p>
    <w:p w14:paraId="191ACF75" w14:textId="77777777" w:rsidR="007D145F" w:rsidRPr="007C012D" w:rsidRDefault="007D145F" w:rsidP="007D145F">
      <w:pPr>
        <w:spacing w:before="240" w:after="240"/>
        <w:jc w:val="both"/>
        <w:rPr>
          <w:sz w:val="24"/>
          <w:szCs w:val="24"/>
        </w:rPr>
      </w:pPr>
      <w:r w:rsidRPr="007C012D">
        <w:rPr>
          <w:sz w:val="24"/>
          <w:szCs w:val="24"/>
        </w:rPr>
        <w:t>This R script conducts a linear regression analysis to investigate the relationship between financial stability (Interest Coverage Ratio, ICR), ESG score, and leverage (Debt-to-Equity Ratio, D/E). The model includes an interaction term (ICR × ESG) to assess whether ESG moderates the impact of financial stability on leverage. Below is a unified explanation of the entire code chunk, detailing its purpose, execution, and interpretation.</w:t>
      </w:r>
    </w:p>
    <w:p w14:paraId="34958B9A" w14:textId="77777777" w:rsidR="007D145F" w:rsidRPr="00BD42EB" w:rsidRDefault="007D145F" w:rsidP="007D145F">
      <w:pPr>
        <w:spacing w:before="240" w:after="240"/>
        <w:jc w:val="both"/>
        <w:rPr>
          <w:sz w:val="24"/>
          <w:szCs w:val="24"/>
        </w:rPr>
      </w:pPr>
      <w:r w:rsidRPr="00BD42EB">
        <w:rPr>
          <w:sz w:val="24"/>
          <w:szCs w:val="24"/>
        </w:rPr>
        <w:t xml:space="preserve">The analysis was conducted using </w:t>
      </w:r>
      <w:r w:rsidRPr="00BD42EB">
        <w:rPr>
          <w:b/>
          <w:sz w:val="24"/>
          <w:szCs w:val="24"/>
        </w:rPr>
        <w:t>R Studio</w:t>
      </w:r>
      <w:r w:rsidRPr="00BD42EB">
        <w:rPr>
          <w:sz w:val="24"/>
          <w:szCs w:val="24"/>
        </w:rPr>
        <w:t>, employing the following steps:</w:t>
      </w:r>
      <w:bookmarkStart w:id="38" w:name="_uurx1pj2etd0" w:colFirst="0" w:colLast="0"/>
      <w:bookmarkEnd w:id="38"/>
    </w:p>
    <w:p w14:paraId="68197373" w14:textId="77777777" w:rsidR="007D145F" w:rsidRPr="00BD42EB" w:rsidRDefault="007D145F" w:rsidP="007D145F">
      <w:pPr>
        <w:jc w:val="both"/>
        <w:rPr>
          <w:sz w:val="24"/>
          <w:szCs w:val="24"/>
        </w:rPr>
      </w:pPr>
      <w:r>
        <w:rPr>
          <w:noProof/>
        </w:rPr>
        <mc:AlternateContent>
          <mc:Choice Requires="wps">
            <w:drawing>
              <wp:anchor distT="0" distB="0" distL="114300" distR="114300" simplePos="0" relativeHeight="251660800" behindDoc="0" locked="0" layoutInCell="1" allowOverlap="1" wp14:anchorId="0F9E8265" wp14:editId="4EFD14BD">
                <wp:simplePos x="0" y="0"/>
                <wp:positionH relativeFrom="column">
                  <wp:posOffset>570865</wp:posOffset>
                </wp:positionH>
                <wp:positionV relativeFrom="paragraph">
                  <wp:posOffset>1243965</wp:posOffset>
                </wp:positionV>
                <wp:extent cx="5153025" cy="635"/>
                <wp:effectExtent l="0" t="0" r="0" b="0"/>
                <wp:wrapNone/>
                <wp:docPr id="2077461457" name="Text Box 1"/>
                <wp:cNvGraphicFramePr/>
                <a:graphic xmlns:a="http://schemas.openxmlformats.org/drawingml/2006/main">
                  <a:graphicData uri="http://schemas.microsoft.com/office/word/2010/wordprocessingShape">
                    <wps:wsp>
                      <wps:cNvSpPr txBox="1"/>
                      <wps:spPr>
                        <a:xfrm>
                          <a:off x="0" y="0"/>
                          <a:ext cx="5153025" cy="635"/>
                        </a:xfrm>
                        <a:prstGeom prst="rect">
                          <a:avLst/>
                        </a:prstGeom>
                        <a:solidFill>
                          <a:prstClr val="white"/>
                        </a:solidFill>
                        <a:ln>
                          <a:noFill/>
                        </a:ln>
                      </wps:spPr>
                      <wps:txbx>
                        <w:txbxContent>
                          <w:p w14:paraId="665EBF3C" w14:textId="01281659" w:rsidR="00326EA3" w:rsidRPr="00672ED7" w:rsidRDefault="00326EA3" w:rsidP="007D145F">
                            <w:pPr>
                              <w:pStyle w:val="Caption"/>
                              <w:rPr>
                                <w:rFonts w:ascii="Times New Roman" w:hAnsi="Times New Roman" w:cs="Times New Roman"/>
                                <w:noProof/>
                              </w:rPr>
                            </w:pPr>
                            <w:bookmarkStart w:id="39" w:name="_Toc194667097"/>
                            <w:r>
                              <w:t xml:space="preserve">Figure </w:t>
                            </w:r>
                            <w:r>
                              <w:fldChar w:fldCharType="begin"/>
                            </w:r>
                            <w:r>
                              <w:instrText xml:space="preserve"> SEQ Figure \* ARABIC </w:instrText>
                            </w:r>
                            <w:r>
                              <w:fldChar w:fldCharType="separate"/>
                            </w:r>
                            <w:r w:rsidR="0033720D">
                              <w:rPr>
                                <w:noProof/>
                              </w:rPr>
                              <w:t>3</w:t>
                            </w:r>
                            <w:r>
                              <w:rPr>
                                <w:noProof/>
                              </w:rPr>
                              <w:fldChar w:fldCharType="end"/>
                            </w:r>
                            <w:r>
                              <w:t xml:space="preserve"> R Studio Code</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F9E8265" id="_x0000_t202" coordsize="21600,21600" o:spt="202" path="m,l,21600r21600,l21600,xe">
                <v:stroke joinstyle="miter"/>
                <v:path gradientshapeok="t" o:connecttype="rect"/>
              </v:shapetype>
              <v:shape id="Text Box 1" o:spid="_x0000_s1026" type="#_x0000_t202" style="position:absolute;left:0;text-align:left;margin-left:44.95pt;margin-top:97.95pt;width:405.75pt;height:.0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" stroked="f">
                <v:textbox style="mso-fit-shape-to-text:t" inset="0,0,0,0">
                  <w:txbxContent>
                    <w:p w14:paraId="665EBF3C" w14:textId="01281659" w:rsidR="00326EA3" w:rsidRPr="00672ED7" w:rsidRDefault="00326EA3" w:rsidP="007D145F">
                      <w:pPr>
                        <w:pStyle w:val="Caption"/>
                        <w:rPr>
                          <w:rFonts w:ascii="Times New Roman" w:hAnsi="Times New Roman" w:cs="Times New Roman"/>
                          <w:noProof/>
                        </w:rPr>
                      </w:pPr>
                      <w:bookmarkStart w:id="40" w:name="_Toc194667097"/>
                      <w:r>
                        <w:t xml:space="preserve">Figure </w:t>
                      </w:r>
                      <w:r>
                        <w:fldChar w:fldCharType="begin"/>
                      </w:r>
                      <w:r>
                        <w:instrText xml:space="preserve"> SEQ Figure \* ARABIC </w:instrText>
                      </w:r>
                      <w:r>
                        <w:fldChar w:fldCharType="separate"/>
                      </w:r>
                      <w:r w:rsidR="0033720D">
                        <w:rPr>
                          <w:noProof/>
                        </w:rPr>
                        <w:t>3</w:t>
                      </w:r>
                      <w:r>
                        <w:rPr>
                          <w:noProof/>
                        </w:rPr>
                        <w:fldChar w:fldCharType="end"/>
                      </w:r>
                      <w:r>
                        <w:t xml:space="preserve"> R Studio Code</w:t>
                      </w:r>
                      <w:bookmarkEnd w:id="40"/>
                    </w:p>
                  </w:txbxContent>
                </v:textbox>
              </v:shape>
            </w:pict>
          </mc:Fallback>
        </mc:AlternateContent>
      </w:r>
      <w:r w:rsidRPr="00BD42EB">
        <w:rPr>
          <w:noProof/>
          <w:sz w:val="24"/>
          <w:szCs w:val="24"/>
        </w:rPr>
        <mc:AlternateContent>
          <mc:Choice Requires="wps">
            <w:drawing>
              <wp:anchor distT="0" distB="0" distL="114300" distR="114300" simplePos="0" relativeHeight="251656704" behindDoc="0" locked="0" layoutInCell="1" allowOverlap="1" wp14:anchorId="5E118268" wp14:editId="60C4B143">
                <wp:simplePos x="0" y="0"/>
                <wp:positionH relativeFrom="margin">
                  <wp:posOffset>571499</wp:posOffset>
                </wp:positionH>
                <wp:positionV relativeFrom="paragraph">
                  <wp:posOffset>72390</wp:posOffset>
                </wp:positionV>
                <wp:extent cx="5153025" cy="1114425"/>
                <wp:effectExtent l="57150" t="19050" r="85725" b="104775"/>
                <wp:wrapNone/>
                <wp:docPr id="496330107" name="Rectangle 1"/>
                <wp:cNvGraphicFramePr/>
                <a:graphic xmlns:a="http://schemas.openxmlformats.org/drawingml/2006/main">
                  <a:graphicData uri="http://schemas.microsoft.com/office/word/2010/wordprocessingShape">
                    <wps:wsp>
                      <wps:cNvSpPr/>
                      <wps:spPr>
                        <a:xfrm>
                          <a:off x="0" y="0"/>
                          <a:ext cx="5153025" cy="1114425"/>
                        </a:xfrm>
                        <a:prstGeom prst="rect">
                          <a:avLst/>
                        </a:prstGeom>
                        <a:no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43CFB04" id="Rectangle 1" o:spid="_x0000_s1026" style="position:absolute;margin-left:45pt;margin-top:5.7pt;width:405.75pt;height:87.75pt;z-index:2516567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" filled="f" strokecolor="#4579b8 [3044]">
                <v:shadow on="t" color="black" opacity="22937f" origin=",.5" offset="0,.63889mm"/>
                <w10:wrap anchorx="margin"/>
              </v:rect>
            </w:pict>
          </mc:Fallback>
        </mc:AlternateContent>
      </w:r>
    </w:p>
    <w:p w14:paraId="336F012F" w14:textId="77777777" w:rsidR="007D145F" w:rsidRPr="00BD42EB" w:rsidRDefault="007D145F" w:rsidP="007D145F">
      <w:pPr>
        <w:jc w:val="both"/>
        <w:rPr>
          <w:rFonts w:eastAsia="Roboto Mono"/>
          <w:color w:val="188038"/>
          <w:sz w:val="24"/>
          <w:szCs w:val="24"/>
        </w:rPr>
      </w:pPr>
      <w:r w:rsidRPr="00BD42EB">
        <w:rPr>
          <w:sz w:val="24"/>
          <w:szCs w:val="24"/>
        </w:rPr>
        <w:t xml:space="preserve">                                  </w:t>
      </w:r>
      <w:r w:rsidRPr="00BD42EB">
        <w:rPr>
          <w:rFonts w:eastAsia="Roboto Mono"/>
          <w:color w:val="188038"/>
          <w:sz w:val="24"/>
          <w:szCs w:val="24"/>
        </w:rPr>
        <w:t>dat.Debt &lt;- na.omit(data_sindhu_WITH_ICR)</w:t>
      </w:r>
    </w:p>
    <w:p w14:paraId="448D2BF6" w14:textId="77777777" w:rsidR="007D145F" w:rsidRPr="00BD42EB" w:rsidRDefault="007D145F" w:rsidP="007D145F">
      <w:pPr>
        <w:jc w:val="both"/>
        <w:rPr>
          <w:rFonts w:eastAsia="Roboto Mono"/>
          <w:color w:val="188038"/>
          <w:sz w:val="24"/>
          <w:szCs w:val="24"/>
        </w:rPr>
      </w:pPr>
      <w:r w:rsidRPr="00BD42EB">
        <w:rPr>
          <w:rFonts w:eastAsia="Roboto Mono"/>
          <w:color w:val="188038"/>
          <w:sz w:val="24"/>
          <w:szCs w:val="24"/>
        </w:rPr>
        <w:t xml:space="preserve">                model.Debt &lt;- 'DE ~ ICR*ESG'</w:t>
      </w:r>
    </w:p>
    <w:p w14:paraId="76DC4592" w14:textId="77777777" w:rsidR="007D145F" w:rsidRPr="00BD42EB" w:rsidRDefault="007D145F" w:rsidP="007D145F">
      <w:pPr>
        <w:jc w:val="both"/>
        <w:rPr>
          <w:rFonts w:eastAsia="Roboto Mono"/>
          <w:color w:val="188038"/>
          <w:sz w:val="24"/>
          <w:szCs w:val="24"/>
        </w:rPr>
      </w:pPr>
      <w:r w:rsidRPr="00BD42EB">
        <w:rPr>
          <w:rFonts w:eastAsia="Roboto Mono"/>
          <w:color w:val="188038"/>
          <w:sz w:val="24"/>
          <w:szCs w:val="24"/>
        </w:rPr>
        <w:t xml:space="preserve">                model.Debt.fit &lt;- lm(model.Debt, data = dat.Debt)</w:t>
      </w:r>
    </w:p>
    <w:p w14:paraId="7B65DDA2" w14:textId="77777777" w:rsidR="007D145F" w:rsidRPr="00BD42EB" w:rsidRDefault="007D145F" w:rsidP="007D145F">
      <w:pPr>
        <w:jc w:val="both"/>
        <w:rPr>
          <w:rFonts w:eastAsia="Roboto Mono"/>
          <w:color w:val="188038"/>
          <w:sz w:val="24"/>
          <w:szCs w:val="24"/>
        </w:rPr>
      </w:pPr>
      <w:r w:rsidRPr="00BD42EB">
        <w:rPr>
          <w:rFonts w:eastAsia="Roboto Mono"/>
          <w:color w:val="188038"/>
          <w:sz w:val="24"/>
          <w:szCs w:val="24"/>
        </w:rPr>
        <w:t xml:space="preserve">                summary(model.Debt.fit)</w:t>
      </w:r>
    </w:p>
    <w:p w14:paraId="0DF489C3" w14:textId="77777777" w:rsidR="007D145F" w:rsidRPr="00BD42EB" w:rsidRDefault="007D145F" w:rsidP="007D145F">
      <w:pPr>
        <w:jc w:val="both"/>
        <w:rPr>
          <w:sz w:val="24"/>
          <w:szCs w:val="24"/>
        </w:rPr>
      </w:pPr>
    </w:p>
    <w:p w14:paraId="7955C5B1" w14:textId="77777777" w:rsidR="007D145F" w:rsidRDefault="007D145F" w:rsidP="007D145F">
      <w:pPr>
        <w:jc w:val="both"/>
        <w:rPr>
          <w:sz w:val="24"/>
          <w:szCs w:val="24"/>
        </w:rPr>
      </w:pPr>
    </w:p>
    <w:p w14:paraId="6A8E1EEB" w14:textId="77777777" w:rsidR="007D145F" w:rsidRDefault="007D145F" w:rsidP="007D145F">
      <w:pPr>
        <w:jc w:val="both"/>
        <w:rPr>
          <w:sz w:val="24"/>
          <w:szCs w:val="24"/>
        </w:rPr>
      </w:pPr>
    </w:p>
    <w:p w14:paraId="436BCFBA" w14:textId="77777777" w:rsidR="006323E1" w:rsidRDefault="006323E1" w:rsidP="007D145F">
      <w:pPr>
        <w:jc w:val="both"/>
        <w:rPr>
          <w:sz w:val="24"/>
          <w:szCs w:val="24"/>
        </w:rPr>
      </w:pPr>
    </w:p>
    <w:p w14:paraId="694514E1" w14:textId="77777777" w:rsidR="007D145F" w:rsidRDefault="007D145F" w:rsidP="007D145F">
      <w:pPr>
        <w:jc w:val="both"/>
        <w:rPr>
          <w:sz w:val="24"/>
          <w:szCs w:val="24"/>
        </w:rPr>
      </w:pPr>
      <w:r w:rsidRPr="00BD42EB">
        <w:rPr>
          <w:sz w:val="24"/>
          <w:szCs w:val="24"/>
        </w:rPr>
        <w:t>This script first cleans the dataset(data_sindhu_WITH_ICR), eliminating rows containing missing values (NA). The reason for doing this is very important so as to estimate regression coefficients precisely, as well as to prevent the possibility of biased estimates because of incomplete data. The dataset is then saved as dat.Debt, on which the subsequent regression analysis relies.</w:t>
      </w:r>
    </w:p>
    <w:p w14:paraId="1A3EF114" w14:textId="77777777" w:rsidR="007D145F" w:rsidRPr="007C012D" w:rsidRDefault="007D145F" w:rsidP="007D145F">
      <w:pPr>
        <w:jc w:val="both"/>
        <w:rPr>
          <w:sz w:val="24"/>
          <w:szCs w:val="24"/>
        </w:rPr>
      </w:pPr>
      <w:r w:rsidRPr="00BD42EB">
        <w:rPr>
          <w:sz w:val="24"/>
          <w:szCs w:val="24"/>
        </w:rPr>
        <w:br/>
        <w:t>Then, the formula of the regression model is specified </w:t>
      </w:r>
      <w:r w:rsidRPr="007C012D">
        <w:rPr>
          <w:sz w:val="24"/>
          <w:szCs w:val="24"/>
        </w:rPr>
        <w:t xml:space="preserve">as </w:t>
      </w:r>
      <w:r w:rsidRPr="007C012D">
        <w:rPr>
          <w:rFonts w:eastAsia="Roboto Mono"/>
          <w:sz w:val="24"/>
          <w:szCs w:val="24"/>
        </w:rPr>
        <w:t>'DE ~ ICR*ESG'</w:t>
      </w:r>
      <w:r w:rsidRPr="007C012D">
        <w:rPr>
          <w:sz w:val="24"/>
          <w:szCs w:val="24"/>
        </w:rPr>
        <w:t>, such that the dependent variable (DE, Debt-to-Equity Ratio) is regressed against ICR (Interest Coverage Ratio), ESG (Environmental, Social, and Governance score), and their interaction effect (ICR × ESG). By including this interaction term, the model can examine if the performance of a firm in terms of ESG has an impact on the association between financial stability and leverage.</w:t>
      </w:r>
      <w:r w:rsidRPr="007C012D">
        <w:rPr>
          <w:sz w:val="24"/>
          <w:szCs w:val="24"/>
        </w:rPr>
        <w:br/>
      </w:r>
      <w:r w:rsidRPr="007C012D">
        <w:rPr>
          <w:sz w:val="24"/>
          <w:szCs w:val="24"/>
        </w:rPr>
        <w:br/>
        <w:t xml:space="preserve">The </w:t>
      </w:r>
      <w:r w:rsidRPr="007C012D">
        <w:rPr>
          <w:rFonts w:eastAsia="Roboto Mono"/>
          <w:sz w:val="24"/>
          <w:szCs w:val="24"/>
        </w:rPr>
        <w:t>lm ()</w:t>
      </w:r>
      <w:r w:rsidRPr="007C012D">
        <w:rPr>
          <w:sz w:val="24"/>
          <w:szCs w:val="24"/>
        </w:rPr>
        <w:t xml:space="preserve"> function is then called to fit a linear regression model, saving the output in </w:t>
      </w:r>
      <w:r>
        <w:rPr>
          <w:sz w:val="24"/>
          <w:szCs w:val="24"/>
        </w:rPr>
        <w:t xml:space="preserve">the </w:t>
      </w:r>
      <w:r w:rsidRPr="007C012D">
        <w:rPr>
          <w:sz w:val="24"/>
          <w:szCs w:val="24"/>
        </w:rPr>
        <w:t xml:space="preserve">model.Debt.fit. The final step calls the summary </w:t>
      </w:r>
      <w:r w:rsidRPr="007C012D">
        <w:rPr>
          <w:rFonts w:eastAsia="Roboto Mono"/>
          <w:sz w:val="24"/>
          <w:szCs w:val="24"/>
        </w:rPr>
        <w:t>(model.Debt.fit)</w:t>
      </w:r>
      <w:r w:rsidRPr="007C012D">
        <w:rPr>
          <w:sz w:val="24"/>
          <w:szCs w:val="24"/>
        </w:rPr>
        <w:t xml:space="preserve"> function to produce detailed regression output such as coefficient estimates, standard errors, statistical significance, residual diagnostics, and overall model performance.</w:t>
      </w:r>
    </w:p>
    <w:p w14:paraId="7BB350F9" w14:textId="77777777" w:rsidR="007D145F" w:rsidRPr="007C012D" w:rsidRDefault="007D145F" w:rsidP="007D145F">
      <w:pPr>
        <w:jc w:val="both"/>
        <w:rPr>
          <w:sz w:val="24"/>
          <w:szCs w:val="24"/>
        </w:rPr>
      </w:pPr>
    </w:p>
    <w:p w14:paraId="3C357D45" w14:textId="77777777" w:rsidR="006323E1" w:rsidRDefault="006323E1" w:rsidP="007D145F">
      <w:pPr>
        <w:jc w:val="both"/>
        <w:rPr>
          <w:sz w:val="24"/>
          <w:szCs w:val="24"/>
        </w:rPr>
      </w:pPr>
    </w:p>
    <w:p w14:paraId="5D7EA968" w14:textId="77777777" w:rsidR="006323E1" w:rsidRDefault="006323E1" w:rsidP="007D145F">
      <w:pPr>
        <w:jc w:val="both"/>
        <w:rPr>
          <w:sz w:val="24"/>
          <w:szCs w:val="24"/>
        </w:rPr>
      </w:pPr>
    </w:p>
    <w:p w14:paraId="29364FF4" w14:textId="2F54A65A" w:rsidR="007D145F" w:rsidRDefault="007D145F" w:rsidP="007D145F">
      <w:pPr>
        <w:jc w:val="both"/>
        <w:rPr>
          <w:sz w:val="24"/>
          <w:szCs w:val="24"/>
        </w:rPr>
      </w:pPr>
      <w:r>
        <w:rPr>
          <w:sz w:val="24"/>
          <w:szCs w:val="24"/>
        </w:rPr>
        <w:t>The generated results were as follows and will be explained in the later section.</w:t>
      </w:r>
    </w:p>
    <w:p w14:paraId="5981D5B6" w14:textId="77777777" w:rsidR="0056380F" w:rsidRDefault="0056380F" w:rsidP="007D145F">
      <w:pPr>
        <w:jc w:val="both"/>
        <w:rPr>
          <w:sz w:val="24"/>
          <w:szCs w:val="24"/>
        </w:rPr>
      </w:pPr>
    </w:p>
    <w:p w14:paraId="23A601E8" w14:textId="77777777" w:rsidR="007D145F" w:rsidRDefault="007D145F" w:rsidP="007D145F">
      <w:pPr>
        <w:keepNext/>
        <w:jc w:val="both"/>
      </w:pPr>
      <w:r w:rsidRPr="00BD42EB">
        <w:rPr>
          <w:noProof/>
          <w:sz w:val="24"/>
          <w:szCs w:val="24"/>
        </w:rPr>
        <w:drawing>
          <wp:inline distT="114300" distB="114300" distL="114300" distR="114300" wp14:anchorId="74D13D3D" wp14:editId="1A274E90">
            <wp:extent cx="5943600" cy="3060700"/>
            <wp:effectExtent l="0" t="0" r="0" b="6350"/>
            <wp:docPr id="1759131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3060700"/>
                    </a:xfrm>
                    <a:prstGeom prst="rect">
                      <a:avLst/>
                    </a:prstGeom>
                    <a:ln/>
                  </pic:spPr>
                </pic:pic>
              </a:graphicData>
            </a:graphic>
          </wp:inline>
        </w:drawing>
      </w:r>
    </w:p>
    <w:p w14:paraId="32A3F8F3" w14:textId="6C1765F9" w:rsidR="007D145F" w:rsidRDefault="007D145F" w:rsidP="007D145F">
      <w:pPr>
        <w:pStyle w:val="Caption"/>
        <w:jc w:val="both"/>
        <w:rPr>
          <w:rFonts w:ascii="Times New Roman" w:hAnsi="Times New Roman" w:cs="Times New Roman"/>
          <w:sz w:val="24"/>
          <w:szCs w:val="24"/>
        </w:rPr>
      </w:pPr>
      <w:bookmarkStart w:id="41" w:name="_Toc194667098"/>
      <w:r>
        <w:t xml:space="preserve">Figure </w:t>
      </w:r>
      <w:r>
        <w:fldChar w:fldCharType="begin"/>
      </w:r>
      <w:r>
        <w:instrText xml:space="preserve"> SEQ Figure \* ARABIC </w:instrText>
      </w:r>
      <w:r>
        <w:fldChar w:fldCharType="separate"/>
      </w:r>
      <w:r w:rsidR="0033720D">
        <w:rPr>
          <w:noProof/>
        </w:rPr>
        <w:t>4</w:t>
      </w:r>
      <w:r>
        <w:rPr>
          <w:noProof/>
        </w:rPr>
        <w:fldChar w:fldCharType="end"/>
      </w:r>
      <w:r>
        <w:t>: R Studio Regression Results</w:t>
      </w:r>
      <w:bookmarkEnd w:id="41"/>
    </w:p>
    <w:p w14:paraId="3B0FE912" w14:textId="77777777" w:rsidR="007D145F" w:rsidRDefault="007D145F" w:rsidP="007D145F">
      <w:pPr>
        <w:jc w:val="both"/>
        <w:rPr>
          <w:sz w:val="24"/>
          <w:szCs w:val="24"/>
        </w:rPr>
      </w:pPr>
    </w:p>
    <w:p w14:paraId="31F57FF7" w14:textId="77777777" w:rsidR="007D145F" w:rsidRDefault="007D145F" w:rsidP="007D145F">
      <w:pPr>
        <w:jc w:val="both"/>
        <w:rPr>
          <w:sz w:val="24"/>
          <w:szCs w:val="24"/>
        </w:rPr>
      </w:pPr>
    </w:p>
    <w:p w14:paraId="22219C63" w14:textId="6CF46FF0" w:rsidR="007D145F" w:rsidRDefault="007D145F" w:rsidP="006323E1">
      <w:pPr>
        <w:jc w:val="both"/>
        <w:rPr>
          <w:b/>
          <w:bCs/>
          <w:sz w:val="32"/>
          <w:szCs w:val="32"/>
        </w:rPr>
      </w:pPr>
      <w:r>
        <w:rPr>
          <w:b/>
          <w:bCs/>
          <w:sz w:val="32"/>
          <w:szCs w:val="32"/>
        </w:rPr>
        <w:t xml:space="preserve">Chapter 4. </w:t>
      </w:r>
      <w:r w:rsidRPr="00FC486E">
        <w:rPr>
          <w:b/>
          <w:bCs/>
          <w:sz w:val="32"/>
          <w:szCs w:val="32"/>
        </w:rPr>
        <w:t>Data Analysis and Findings</w:t>
      </w:r>
    </w:p>
    <w:p w14:paraId="13878ED7" w14:textId="77777777" w:rsidR="006323E1" w:rsidRPr="006323E1" w:rsidRDefault="006323E1" w:rsidP="006323E1">
      <w:pPr>
        <w:jc w:val="both"/>
        <w:rPr>
          <w:sz w:val="24"/>
          <w:szCs w:val="24"/>
        </w:rPr>
      </w:pPr>
    </w:p>
    <w:p w14:paraId="7E794552" w14:textId="77777777" w:rsidR="007D145F" w:rsidRDefault="007D145F" w:rsidP="007D145F">
      <w:pPr>
        <w:jc w:val="both"/>
        <w:rPr>
          <w:sz w:val="24"/>
          <w:szCs w:val="24"/>
        </w:rPr>
      </w:pPr>
      <w:r w:rsidRPr="00BD42EB">
        <w:rPr>
          <w:sz w:val="24"/>
          <w:szCs w:val="24"/>
        </w:rPr>
        <w:t>This research section shows the outcomes of the regression tests that analyze how Interest Coverage Ratio (ICR) financial stability measures affect Debt-to-Equity (D/E) financial leverage ratios. The study analyzes how the Bloomberg ESG Score functions as a moderating variable. The following section displays the findings while offering statistical explanations with related financial conclusions derived from the results.</w:t>
      </w:r>
    </w:p>
    <w:p w14:paraId="406C2C92" w14:textId="77777777" w:rsidR="007D145F" w:rsidRDefault="007D145F" w:rsidP="007D145F">
      <w:pPr>
        <w:jc w:val="both"/>
        <w:rPr>
          <w:sz w:val="24"/>
          <w:szCs w:val="24"/>
        </w:rPr>
      </w:pPr>
    </w:p>
    <w:p w14:paraId="637F4B29" w14:textId="77777777" w:rsidR="007D145F" w:rsidRPr="00BD42EB" w:rsidRDefault="007D145F" w:rsidP="007D145F">
      <w:pPr>
        <w:jc w:val="both"/>
        <w:rPr>
          <w:sz w:val="24"/>
          <w:szCs w:val="24"/>
        </w:rPr>
      </w:pPr>
    </w:p>
    <w:p w14:paraId="0D65664F" w14:textId="77777777" w:rsidR="007D145F" w:rsidRDefault="007D145F" w:rsidP="007D145F">
      <w:pPr>
        <w:pStyle w:val="Heading2"/>
        <w:rPr>
          <w:b/>
          <w:bCs/>
        </w:rPr>
      </w:pPr>
      <w:r w:rsidRPr="00FC486E">
        <w:rPr>
          <w:b/>
          <w:bCs/>
        </w:rPr>
        <w:t xml:space="preserve"> </w:t>
      </w:r>
      <w:bookmarkStart w:id="42" w:name="_Toc194903449"/>
      <w:r w:rsidRPr="00FC486E">
        <w:rPr>
          <w:b/>
          <w:bCs/>
        </w:rPr>
        <w:t>4.1 Interpretation of Regression Coefficients</w:t>
      </w:r>
      <w:bookmarkEnd w:id="42"/>
    </w:p>
    <w:p w14:paraId="5A3BB062" w14:textId="77777777" w:rsidR="006323E1" w:rsidRPr="00FC486E" w:rsidRDefault="006323E1" w:rsidP="007D145F">
      <w:pPr>
        <w:pStyle w:val="Heading2"/>
        <w:rPr>
          <w:b/>
          <w:bCs/>
        </w:rPr>
      </w:pPr>
    </w:p>
    <w:p w14:paraId="0612A092" w14:textId="77777777" w:rsidR="007D145F" w:rsidRDefault="007D145F" w:rsidP="007D145F">
      <w:pPr>
        <w:jc w:val="both"/>
        <w:rPr>
          <w:sz w:val="24"/>
          <w:szCs w:val="24"/>
        </w:rPr>
      </w:pPr>
      <w:r w:rsidRPr="00BD42EB">
        <w:rPr>
          <w:sz w:val="24"/>
          <w:szCs w:val="24"/>
        </w:rPr>
        <w:t>Each predictor variable has its impact on the debt-to-equity ratio according to the estimated coefficients. Table 4.1 presents the summary of coefficients accompanied by their standard errors</w:t>
      </w:r>
      <w:r>
        <w:rPr>
          <w:sz w:val="24"/>
          <w:szCs w:val="24"/>
        </w:rPr>
        <w:t>,</w:t>
      </w:r>
      <w:r w:rsidRPr="00BD42EB">
        <w:rPr>
          <w:sz w:val="24"/>
          <w:szCs w:val="24"/>
        </w:rPr>
        <w:t xml:space="preserve"> t-values</w:t>
      </w:r>
      <w:r>
        <w:rPr>
          <w:sz w:val="24"/>
          <w:szCs w:val="24"/>
        </w:rPr>
        <w:t>,</w:t>
      </w:r>
      <w:r w:rsidRPr="00BD42EB">
        <w:rPr>
          <w:sz w:val="24"/>
          <w:szCs w:val="24"/>
        </w:rPr>
        <w:t xml:space="preserve"> and significance levels.</w:t>
      </w:r>
    </w:p>
    <w:p w14:paraId="64F09BDB" w14:textId="0D0F6314" w:rsidR="0056380F" w:rsidRDefault="0056380F" w:rsidP="007D145F">
      <w:pPr>
        <w:jc w:val="both"/>
        <w:rPr>
          <w:sz w:val="24"/>
          <w:szCs w:val="24"/>
        </w:rPr>
      </w:pPr>
    </w:p>
    <w:p w14:paraId="22589E6E" w14:textId="77777777" w:rsidR="0056380F" w:rsidRDefault="0056380F" w:rsidP="007D145F">
      <w:pPr>
        <w:jc w:val="both"/>
        <w:rPr>
          <w:sz w:val="24"/>
          <w:szCs w:val="24"/>
        </w:rPr>
      </w:pPr>
    </w:p>
    <w:p w14:paraId="3CC2A339" w14:textId="77777777" w:rsidR="0056380F" w:rsidRDefault="0056380F" w:rsidP="007D145F">
      <w:pPr>
        <w:jc w:val="both"/>
        <w:rPr>
          <w:sz w:val="24"/>
          <w:szCs w:val="24"/>
        </w:rPr>
      </w:pPr>
    </w:p>
    <w:p w14:paraId="11FCA391" w14:textId="77777777" w:rsidR="0056380F" w:rsidRDefault="0056380F" w:rsidP="007D145F">
      <w:pPr>
        <w:jc w:val="both"/>
        <w:rPr>
          <w:sz w:val="24"/>
          <w:szCs w:val="24"/>
        </w:rPr>
      </w:pPr>
    </w:p>
    <w:p w14:paraId="241BADB2" w14:textId="77777777" w:rsidR="0056380F" w:rsidRDefault="0056380F" w:rsidP="007D145F">
      <w:pPr>
        <w:jc w:val="both"/>
        <w:rPr>
          <w:sz w:val="24"/>
          <w:szCs w:val="24"/>
        </w:rPr>
      </w:pPr>
    </w:p>
    <w:p w14:paraId="54E34C19" w14:textId="77777777" w:rsidR="0056380F" w:rsidRDefault="0056380F" w:rsidP="007D145F">
      <w:pPr>
        <w:jc w:val="both"/>
        <w:rPr>
          <w:sz w:val="24"/>
          <w:szCs w:val="24"/>
        </w:rPr>
      </w:pPr>
    </w:p>
    <w:p w14:paraId="2EEB2B08" w14:textId="77777777" w:rsidR="0056380F" w:rsidRPr="00BD42EB" w:rsidRDefault="0056380F" w:rsidP="007D145F">
      <w:pPr>
        <w:jc w:val="both"/>
        <w:rPr>
          <w:sz w:val="24"/>
          <w:szCs w:val="24"/>
        </w:rPr>
      </w:pPr>
    </w:p>
    <w:p w14:paraId="13A6B98A" w14:textId="77777777" w:rsidR="007D145F" w:rsidRPr="00BD42EB" w:rsidRDefault="007D145F" w:rsidP="007D145F">
      <w:pPr>
        <w:pStyle w:val="Heading4"/>
        <w:spacing w:before="240" w:after="40"/>
        <w:rPr>
          <w:b w:val="0"/>
          <w:color w:val="000000"/>
        </w:rPr>
      </w:pPr>
      <w:bookmarkStart w:id="43" w:name="_7cuxqreqam5b"/>
      <w:bookmarkEnd w:id="43"/>
      <w:r w:rsidRPr="00BD42EB">
        <w:rPr>
          <w:color w:val="000000"/>
        </w:rPr>
        <w:t>Table 4.1: Regression Coefficients</w:t>
      </w:r>
    </w:p>
    <w:p w14:paraId="7E2894F5" w14:textId="77777777" w:rsidR="007D145F" w:rsidRDefault="007D145F" w:rsidP="007D145F">
      <w:pPr>
        <w:pStyle w:val="Caption"/>
        <w:keepNext/>
      </w:pPr>
    </w:p>
    <w:tbl>
      <w:tblPr>
        <w:tblW w:w="9320" w:type="dxa"/>
        <w:tblCellMar>
          <w:left w:w="0" w:type="dxa"/>
          <w:right w:w="0" w:type="dxa"/>
        </w:tblCellMar>
        <w:tblLook w:val="04A0" w:firstRow="1" w:lastRow="0" w:firstColumn="1" w:lastColumn="0" w:noHBand="0" w:noVBand="1"/>
      </w:tblPr>
      <w:tblGrid>
        <w:gridCol w:w="1420"/>
        <w:gridCol w:w="1480"/>
        <w:gridCol w:w="1520"/>
        <w:gridCol w:w="1340"/>
        <w:gridCol w:w="1540"/>
        <w:gridCol w:w="2020"/>
      </w:tblGrid>
      <w:tr w:rsidR="007D145F" w:rsidRPr="00BD42EB" w14:paraId="1706A744" w14:textId="77777777" w:rsidTr="00201C5B">
        <w:trPr>
          <w:trHeight w:val="315"/>
        </w:trPr>
        <w:tc>
          <w:tcPr>
            <w:tcW w:w="1420" w:type="dxa"/>
            <w:tcBorders>
              <w:top w:val="single" w:sz="4" w:space="0" w:color="auto"/>
              <w:left w:val="single" w:sz="4" w:space="0" w:color="auto"/>
              <w:bottom w:val="single" w:sz="4" w:space="0" w:color="auto"/>
              <w:right w:val="single" w:sz="4" w:space="0" w:color="auto"/>
            </w:tcBorders>
            <w:shd w:val="clear" w:color="A5A5A5" w:fill="FFFFFF"/>
            <w:tcMar>
              <w:top w:w="15" w:type="dxa"/>
              <w:left w:w="15" w:type="dxa"/>
              <w:bottom w:w="0" w:type="dxa"/>
              <w:right w:w="15" w:type="dxa"/>
            </w:tcMar>
            <w:vAlign w:val="center"/>
            <w:hideMark/>
          </w:tcPr>
          <w:p w14:paraId="75E77330" w14:textId="77777777" w:rsidR="007D145F" w:rsidRPr="00BD42EB" w:rsidRDefault="007D145F" w:rsidP="00201C5B">
            <w:pPr>
              <w:jc w:val="both"/>
              <w:rPr>
                <w:b/>
                <w:bCs/>
                <w:color w:val="000000"/>
                <w:sz w:val="24"/>
                <w:szCs w:val="24"/>
              </w:rPr>
            </w:pPr>
            <w:r w:rsidRPr="00BD42EB">
              <w:rPr>
                <w:b/>
                <w:bCs/>
                <w:color w:val="000000"/>
                <w:sz w:val="24"/>
                <w:szCs w:val="24"/>
              </w:rPr>
              <w:t>Predictor</w:t>
            </w:r>
          </w:p>
        </w:tc>
        <w:tc>
          <w:tcPr>
            <w:tcW w:w="1480" w:type="dxa"/>
            <w:tcBorders>
              <w:top w:val="single" w:sz="4" w:space="0" w:color="auto"/>
              <w:left w:val="nil"/>
              <w:bottom w:val="single" w:sz="4" w:space="0" w:color="auto"/>
              <w:right w:val="single" w:sz="4" w:space="0" w:color="auto"/>
            </w:tcBorders>
            <w:shd w:val="clear" w:color="A5A5A5" w:fill="FFFFFF"/>
            <w:tcMar>
              <w:top w:w="15" w:type="dxa"/>
              <w:left w:w="15" w:type="dxa"/>
              <w:bottom w:w="0" w:type="dxa"/>
              <w:right w:w="15" w:type="dxa"/>
            </w:tcMar>
            <w:vAlign w:val="center"/>
            <w:hideMark/>
          </w:tcPr>
          <w:p w14:paraId="4B3ADFC3" w14:textId="77777777" w:rsidR="007D145F" w:rsidRPr="00BD42EB" w:rsidRDefault="007D145F" w:rsidP="00201C5B">
            <w:pPr>
              <w:jc w:val="both"/>
              <w:rPr>
                <w:b/>
                <w:bCs/>
                <w:color w:val="000000"/>
                <w:sz w:val="24"/>
                <w:szCs w:val="24"/>
              </w:rPr>
            </w:pPr>
            <w:r w:rsidRPr="00BD42EB">
              <w:rPr>
                <w:b/>
                <w:bCs/>
                <w:color w:val="000000"/>
                <w:sz w:val="24"/>
                <w:szCs w:val="24"/>
              </w:rPr>
              <w:t>Estimate</w:t>
            </w:r>
          </w:p>
        </w:tc>
        <w:tc>
          <w:tcPr>
            <w:tcW w:w="1520" w:type="dxa"/>
            <w:tcBorders>
              <w:top w:val="single" w:sz="4" w:space="0" w:color="auto"/>
              <w:left w:val="nil"/>
              <w:bottom w:val="single" w:sz="4" w:space="0" w:color="auto"/>
              <w:right w:val="single" w:sz="4" w:space="0" w:color="auto"/>
            </w:tcBorders>
            <w:shd w:val="clear" w:color="A5A5A5" w:fill="FFFFFF"/>
            <w:tcMar>
              <w:top w:w="15" w:type="dxa"/>
              <w:left w:w="15" w:type="dxa"/>
              <w:bottom w:w="0" w:type="dxa"/>
              <w:right w:w="15" w:type="dxa"/>
            </w:tcMar>
            <w:vAlign w:val="center"/>
            <w:hideMark/>
          </w:tcPr>
          <w:p w14:paraId="2CA72843" w14:textId="77777777" w:rsidR="007D145F" w:rsidRPr="00BD42EB" w:rsidRDefault="007D145F" w:rsidP="00201C5B">
            <w:pPr>
              <w:jc w:val="both"/>
              <w:rPr>
                <w:b/>
                <w:bCs/>
                <w:color w:val="000000"/>
                <w:sz w:val="24"/>
                <w:szCs w:val="24"/>
              </w:rPr>
            </w:pPr>
            <w:r w:rsidRPr="00BD42EB">
              <w:rPr>
                <w:b/>
                <w:bCs/>
                <w:color w:val="000000"/>
                <w:sz w:val="24"/>
                <w:szCs w:val="24"/>
              </w:rPr>
              <w:t>Std. Error</w:t>
            </w:r>
          </w:p>
        </w:tc>
        <w:tc>
          <w:tcPr>
            <w:tcW w:w="1340" w:type="dxa"/>
            <w:tcBorders>
              <w:top w:val="single" w:sz="4" w:space="0" w:color="auto"/>
              <w:left w:val="nil"/>
              <w:bottom w:val="single" w:sz="4" w:space="0" w:color="auto"/>
              <w:right w:val="single" w:sz="4" w:space="0" w:color="auto"/>
            </w:tcBorders>
            <w:shd w:val="clear" w:color="A5A5A5" w:fill="FFFFFF"/>
            <w:tcMar>
              <w:top w:w="15" w:type="dxa"/>
              <w:left w:w="15" w:type="dxa"/>
              <w:bottom w:w="0" w:type="dxa"/>
              <w:right w:w="15" w:type="dxa"/>
            </w:tcMar>
            <w:vAlign w:val="center"/>
            <w:hideMark/>
          </w:tcPr>
          <w:p w14:paraId="23C065D0" w14:textId="77777777" w:rsidR="007D145F" w:rsidRPr="00BD42EB" w:rsidRDefault="007D145F" w:rsidP="00201C5B">
            <w:pPr>
              <w:jc w:val="both"/>
              <w:rPr>
                <w:b/>
                <w:bCs/>
                <w:color w:val="000000"/>
                <w:sz w:val="24"/>
                <w:szCs w:val="24"/>
              </w:rPr>
            </w:pPr>
            <w:r w:rsidRPr="00BD42EB">
              <w:rPr>
                <w:b/>
                <w:bCs/>
                <w:color w:val="000000"/>
                <w:sz w:val="24"/>
                <w:szCs w:val="24"/>
              </w:rPr>
              <w:t>t-value</w:t>
            </w:r>
          </w:p>
        </w:tc>
        <w:tc>
          <w:tcPr>
            <w:tcW w:w="1540" w:type="dxa"/>
            <w:tcBorders>
              <w:top w:val="single" w:sz="4" w:space="0" w:color="auto"/>
              <w:left w:val="nil"/>
              <w:bottom w:val="single" w:sz="4" w:space="0" w:color="auto"/>
              <w:right w:val="single" w:sz="4" w:space="0" w:color="auto"/>
            </w:tcBorders>
            <w:shd w:val="clear" w:color="A5A5A5" w:fill="FFFFFF"/>
            <w:tcMar>
              <w:top w:w="15" w:type="dxa"/>
              <w:left w:w="15" w:type="dxa"/>
              <w:bottom w:w="0" w:type="dxa"/>
              <w:right w:w="15" w:type="dxa"/>
            </w:tcMar>
            <w:vAlign w:val="center"/>
            <w:hideMark/>
          </w:tcPr>
          <w:p w14:paraId="270E9D61" w14:textId="77777777" w:rsidR="007D145F" w:rsidRPr="00BD42EB" w:rsidRDefault="007D145F" w:rsidP="00201C5B">
            <w:pPr>
              <w:jc w:val="both"/>
              <w:rPr>
                <w:b/>
                <w:bCs/>
                <w:color w:val="000000"/>
                <w:sz w:val="24"/>
                <w:szCs w:val="24"/>
              </w:rPr>
            </w:pPr>
            <w:r w:rsidRPr="00BD42EB">
              <w:rPr>
                <w:b/>
                <w:bCs/>
                <w:color w:val="000000"/>
                <w:sz w:val="24"/>
                <w:szCs w:val="24"/>
              </w:rPr>
              <w:t>p-value</w:t>
            </w:r>
          </w:p>
        </w:tc>
        <w:tc>
          <w:tcPr>
            <w:tcW w:w="2020" w:type="dxa"/>
            <w:tcBorders>
              <w:top w:val="single" w:sz="4" w:space="0" w:color="auto"/>
              <w:left w:val="nil"/>
              <w:bottom w:val="single" w:sz="4" w:space="0" w:color="auto"/>
              <w:right w:val="single" w:sz="4" w:space="0" w:color="auto"/>
            </w:tcBorders>
            <w:shd w:val="clear" w:color="A5A5A5" w:fill="FFFFFF"/>
            <w:tcMar>
              <w:top w:w="15" w:type="dxa"/>
              <w:left w:w="15" w:type="dxa"/>
              <w:bottom w:w="0" w:type="dxa"/>
              <w:right w:w="15" w:type="dxa"/>
            </w:tcMar>
            <w:vAlign w:val="center"/>
            <w:hideMark/>
          </w:tcPr>
          <w:p w14:paraId="76B84A48" w14:textId="77777777" w:rsidR="007D145F" w:rsidRPr="00BD42EB" w:rsidRDefault="007D145F" w:rsidP="00201C5B">
            <w:pPr>
              <w:jc w:val="both"/>
              <w:rPr>
                <w:b/>
                <w:bCs/>
                <w:color w:val="000000"/>
                <w:sz w:val="24"/>
                <w:szCs w:val="24"/>
              </w:rPr>
            </w:pPr>
            <w:r w:rsidRPr="00BD42EB">
              <w:rPr>
                <w:b/>
                <w:bCs/>
                <w:color w:val="000000"/>
                <w:sz w:val="24"/>
                <w:szCs w:val="24"/>
              </w:rPr>
              <w:t>Significance</w:t>
            </w:r>
          </w:p>
        </w:tc>
      </w:tr>
      <w:tr w:rsidR="007D145F" w:rsidRPr="00BD42EB" w14:paraId="406BEF2B" w14:textId="77777777" w:rsidTr="00201C5B">
        <w:trPr>
          <w:trHeight w:val="330"/>
        </w:trPr>
        <w:tc>
          <w:tcPr>
            <w:tcW w:w="1420" w:type="dxa"/>
            <w:tcBorders>
              <w:top w:val="nil"/>
              <w:left w:val="single" w:sz="4" w:space="0" w:color="auto"/>
              <w:bottom w:val="single" w:sz="4" w:space="0" w:color="auto"/>
              <w:right w:val="single" w:sz="4" w:space="0" w:color="auto"/>
            </w:tcBorders>
            <w:shd w:val="clear" w:color="EDEDED" w:fill="FFFFFF"/>
            <w:tcMar>
              <w:top w:w="15" w:type="dxa"/>
              <w:left w:w="15" w:type="dxa"/>
              <w:bottom w:w="0" w:type="dxa"/>
              <w:right w:w="15" w:type="dxa"/>
            </w:tcMar>
            <w:vAlign w:val="center"/>
            <w:hideMark/>
          </w:tcPr>
          <w:p w14:paraId="754B9FF6" w14:textId="77777777" w:rsidR="007D145F" w:rsidRPr="00BD42EB" w:rsidRDefault="007D145F" w:rsidP="00201C5B">
            <w:pPr>
              <w:jc w:val="both"/>
              <w:rPr>
                <w:color w:val="000000"/>
                <w:sz w:val="24"/>
                <w:szCs w:val="24"/>
              </w:rPr>
            </w:pPr>
            <w:r w:rsidRPr="00BD42EB">
              <w:rPr>
                <w:color w:val="000000"/>
                <w:sz w:val="24"/>
                <w:szCs w:val="24"/>
              </w:rPr>
              <w:t>Intercept</w:t>
            </w:r>
          </w:p>
        </w:tc>
        <w:tc>
          <w:tcPr>
            <w:tcW w:w="148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71448C69" w14:textId="77777777" w:rsidR="007D145F" w:rsidRPr="00BD42EB" w:rsidRDefault="007D145F" w:rsidP="00201C5B">
            <w:pPr>
              <w:jc w:val="both"/>
              <w:rPr>
                <w:color w:val="000000"/>
                <w:sz w:val="24"/>
                <w:szCs w:val="24"/>
              </w:rPr>
            </w:pPr>
            <w:r w:rsidRPr="00BD42EB">
              <w:rPr>
                <w:color w:val="000000"/>
                <w:sz w:val="24"/>
                <w:szCs w:val="24"/>
              </w:rPr>
              <w:t>74.181</w:t>
            </w:r>
          </w:p>
        </w:tc>
        <w:tc>
          <w:tcPr>
            <w:tcW w:w="152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6DCB95A6" w14:textId="77777777" w:rsidR="007D145F" w:rsidRPr="00BD42EB" w:rsidRDefault="007D145F" w:rsidP="00201C5B">
            <w:pPr>
              <w:jc w:val="both"/>
              <w:rPr>
                <w:color w:val="000000"/>
                <w:sz w:val="24"/>
                <w:szCs w:val="24"/>
              </w:rPr>
            </w:pPr>
            <w:r w:rsidRPr="00BD42EB">
              <w:rPr>
                <w:color w:val="000000"/>
                <w:sz w:val="24"/>
                <w:szCs w:val="24"/>
              </w:rPr>
              <w:t>11.363</w:t>
            </w:r>
          </w:p>
        </w:tc>
        <w:tc>
          <w:tcPr>
            <w:tcW w:w="134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3638E4BC" w14:textId="77777777" w:rsidR="007D145F" w:rsidRPr="00BD42EB" w:rsidRDefault="007D145F" w:rsidP="00201C5B">
            <w:pPr>
              <w:jc w:val="both"/>
              <w:rPr>
                <w:color w:val="000000"/>
                <w:sz w:val="24"/>
                <w:szCs w:val="24"/>
              </w:rPr>
            </w:pPr>
            <w:r w:rsidRPr="00BD42EB">
              <w:rPr>
                <w:color w:val="000000"/>
                <w:sz w:val="24"/>
                <w:szCs w:val="24"/>
              </w:rPr>
              <w:t>6.528</w:t>
            </w:r>
          </w:p>
        </w:tc>
        <w:tc>
          <w:tcPr>
            <w:tcW w:w="154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3FABDBA3" w14:textId="77777777" w:rsidR="007D145F" w:rsidRPr="00BD42EB" w:rsidRDefault="007D145F" w:rsidP="00201C5B">
            <w:pPr>
              <w:jc w:val="both"/>
              <w:rPr>
                <w:color w:val="000000"/>
                <w:sz w:val="24"/>
                <w:szCs w:val="24"/>
              </w:rPr>
            </w:pPr>
            <w:r w:rsidRPr="00BD42EB">
              <w:rPr>
                <w:color w:val="000000"/>
                <w:sz w:val="24"/>
                <w:szCs w:val="24"/>
              </w:rPr>
              <w:t>2.08E-10</w:t>
            </w:r>
          </w:p>
        </w:tc>
        <w:tc>
          <w:tcPr>
            <w:tcW w:w="202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3F15BFCD" w14:textId="77777777" w:rsidR="007D145F" w:rsidRPr="00BD42EB" w:rsidRDefault="007D145F" w:rsidP="00201C5B">
            <w:pPr>
              <w:jc w:val="both"/>
              <w:rPr>
                <w:color w:val="000000"/>
                <w:sz w:val="24"/>
                <w:szCs w:val="24"/>
              </w:rPr>
            </w:pPr>
            <w:r w:rsidRPr="00BD42EB">
              <w:rPr>
                <w:color w:val="000000"/>
                <w:sz w:val="24"/>
                <w:szCs w:val="24"/>
              </w:rPr>
              <w:t>***</w:t>
            </w:r>
          </w:p>
        </w:tc>
      </w:tr>
      <w:tr w:rsidR="007D145F" w:rsidRPr="00BD42EB" w14:paraId="60799946" w14:textId="77777777" w:rsidTr="00201C5B">
        <w:trPr>
          <w:trHeight w:val="330"/>
        </w:trPr>
        <w:tc>
          <w:tcPr>
            <w:tcW w:w="14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7C31A58" w14:textId="77777777" w:rsidR="007D145F" w:rsidRPr="00BD42EB" w:rsidRDefault="007D145F" w:rsidP="00201C5B">
            <w:pPr>
              <w:jc w:val="both"/>
              <w:rPr>
                <w:color w:val="000000"/>
                <w:sz w:val="24"/>
                <w:szCs w:val="24"/>
              </w:rPr>
            </w:pPr>
            <w:r w:rsidRPr="00BD42EB">
              <w:rPr>
                <w:color w:val="000000"/>
                <w:sz w:val="24"/>
                <w:szCs w:val="24"/>
              </w:rPr>
              <w:t>ICR</w:t>
            </w:r>
          </w:p>
        </w:tc>
        <w:tc>
          <w:tcPr>
            <w:tcW w:w="14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62D64DA6" w14:textId="77777777" w:rsidR="007D145F" w:rsidRPr="00BD42EB" w:rsidRDefault="007D145F" w:rsidP="00201C5B">
            <w:pPr>
              <w:jc w:val="both"/>
              <w:rPr>
                <w:color w:val="000000"/>
                <w:sz w:val="24"/>
                <w:szCs w:val="24"/>
              </w:rPr>
            </w:pPr>
            <w:r w:rsidRPr="00BD42EB">
              <w:rPr>
                <w:color w:val="000000"/>
                <w:sz w:val="24"/>
                <w:szCs w:val="24"/>
              </w:rPr>
              <w:t>-2.337</w:t>
            </w:r>
          </w:p>
        </w:tc>
        <w:tc>
          <w:tcPr>
            <w:tcW w:w="15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26DD589" w14:textId="77777777" w:rsidR="007D145F" w:rsidRPr="00BD42EB" w:rsidRDefault="007D145F" w:rsidP="00201C5B">
            <w:pPr>
              <w:jc w:val="both"/>
              <w:rPr>
                <w:color w:val="000000"/>
                <w:sz w:val="24"/>
                <w:szCs w:val="24"/>
              </w:rPr>
            </w:pPr>
            <w:r w:rsidRPr="00BD42EB">
              <w:rPr>
                <w:color w:val="000000"/>
                <w:sz w:val="24"/>
                <w:szCs w:val="24"/>
              </w:rPr>
              <w:t>0.37</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AA5C8C0" w14:textId="77777777" w:rsidR="007D145F" w:rsidRPr="00BD42EB" w:rsidRDefault="007D145F" w:rsidP="00201C5B">
            <w:pPr>
              <w:jc w:val="both"/>
              <w:rPr>
                <w:color w:val="000000"/>
                <w:sz w:val="24"/>
                <w:szCs w:val="24"/>
              </w:rPr>
            </w:pPr>
            <w:r w:rsidRPr="00BD42EB">
              <w:rPr>
                <w:color w:val="000000"/>
                <w:sz w:val="24"/>
                <w:szCs w:val="24"/>
              </w:rPr>
              <w:t>-6.32</w:t>
            </w:r>
          </w:p>
        </w:tc>
        <w:tc>
          <w:tcPr>
            <w:tcW w:w="15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251361BE" w14:textId="77777777" w:rsidR="007D145F" w:rsidRPr="00BD42EB" w:rsidRDefault="007D145F" w:rsidP="00201C5B">
            <w:pPr>
              <w:jc w:val="both"/>
              <w:rPr>
                <w:color w:val="000000"/>
                <w:sz w:val="24"/>
                <w:szCs w:val="24"/>
              </w:rPr>
            </w:pPr>
            <w:r w:rsidRPr="00BD42EB">
              <w:rPr>
                <w:color w:val="000000"/>
                <w:sz w:val="24"/>
                <w:szCs w:val="24"/>
              </w:rPr>
              <w:t>7.15E-10</w:t>
            </w:r>
          </w:p>
        </w:tc>
        <w:tc>
          <w:tcPr>
            <w:tcW w:w="20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3997064" w14:textId="77777777" w:rsidR="007D145F" w:rsidRPr="00BD42EB" w:rsidRDefault="007D145F" w:rsidP="00201C5B">
            <w:pPr>
              <w:jc w:val="both"/>
              <w:rPr>
                <w:color w:val="000000"/>
                <w:sz w:val="24"/>
                <w:szCs w:val="24"/>
              </w:rPr>
            </w:pPr>
            <w:r w:rsidRPr="00BD42EB">
              <w:rPr>
                <w:color w:val="000000"/>
                <w:sz w:val="24"/>
                <w:szCs w:val="24"/>
              </w:rPr>
              <w:t>***</w:t>
            </w:r>
          </w:p>
        </w:tc>
      </w:tr>
      <w:tr w:rsidR="007D145F" w:rsidRPr="00BD42EB" w14:paraId="779633A1" w14:textId="77777777" w:rsidTr="00201C5B">
        <w:trPr>
          <w:trHeight w:val="330"/>
        </w:trPr>
        <w:tc>
          <w:tcPr>
            <w:tcW w:w="1420" w:type="dxa"/>
            <w:tcBorders>
              <w:top w:val="nil"/>
              <w:left w:val="single" w:sz="4" w:space="0" w:color="auto"/>
              <w:bottom w:val="single" w:sz="4" w:space="0" w:color="auto"/>
              <w:right w:val="single" w:sz="4" w:space="0" w:color="auto"/>
            </w:tcBorders>
            <w:shd w:val="clear" w:color="EDEDED" w:fill="FFFFFF"/>
            <w:tcMar>
              <w:top w:w="15" w:type="dxa"/>
              <w:left w:w="15" w:type="dxa"/>
              <w:bottom w:w="0" w:type="dxa"/>
              <w:right w:w="15" w:type="dxa"/>
            </w:tcMar>
            <w:vAlign w:val="center"/>
            <w:hideMark/>
          </w:tcPr>
          <w:p w14:paraId="33F9F077" w14:textId="77777777" w:rsidR="007D145F" w:rsidRPr="00BD42EB" w:rsidRDefault="007D145F" w:rsidP="00201C5B">
            <w:pPr>
              <w:jc w:val="both"/>
              <w:rPr>
                <w:color w:val="000000"/>
                <w:sz w:val="24"/>
                <w:szCs w:val="24"/>
              </w:rPr>
            </w:pPr>
            <w:r w:rsidRPr="00BD42EB">
              <w:rPr>
                <w:color w:val="000000"/>
                <w:sz w:val="24"/>
                <w:szCs w:val="24"/>
              </w:rPr>
              <w:t>ESG</w:t>
            </w:r>
          </w:p>
        </w:tc>
        <w:tc>
          <w:tcPr>
            <w:tcW w:w="148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168ADD80" w14:textId="77777777" w:rsidR="007D145F" w:rsidRPr="00BD42EB" w:rsidRDefault="007D145F" w:rsidP="00201C5B">
            <w:pPr>
              <w:jc w:val="both"/>
              <w:rPr>
                <w:color w:val="000000"/>
                <w:sz w:val="24"/>
                <w:szCs w:val="24"/>
              </w:rPr>
            </w:pPr>
            <w:r w:rsidRPr="00BD42EB">
              <w:rPr>
                <w:color w:val="000000"/>
                <w:sz w:val="24"/>
                <w:szCs w:val="24"/>
              </w:rPr>
              <w:t>-1.59</w:t>
            </w:r>
          </w:p>
        </w:tc>
        <w:tc>
          <w:tcPr>
            <w:tcW w:w="152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686029ED" w14:textId="77777777" w:rsidR="007D145F" w:rsidRPr="00BD42EB" w:rsidRDefault="007D145F" w:rsidP="00201C5B">
            <w:pPr>
              <w:jc w:val="both"/>
              <w:rPr>
                <w:color w:val="000000"/>
                <w:sz w:val="24"/>
                <w:szCs w:val="24"/>
              </w:rPr>
            </w:pPr>
            <w:r w:rsidRPr="00BD42EB">
              <w:rPr>
                <w:color w:val="000000"/>
                <w:sz w:val="24"/>
                <w:szCs w:val="24"/>
              </w:rPr>
              <w:t>2.178</w:t>
            </w:r>
          </w:p>
        </w:tc>
        <w:tc>
          <w:tcPr>
            <w:tcW w:w="134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4C354C4D" w14:textId="77777777" w:rsidR="007D145F" w:rsidRPr="00BD42EB" w:rsidRDefault="007D145F" w:rsidP="00201C5B">
            <w:pPr>
              <w:jc w:val="both"/>
              <w:rPr>
                <w:color w:val="000000"/>
                <w:sz w:val="24"/>
                <w:szCs w:val="24"/>
              </w:rPr>
            </w:pPr>
            <w:r w:rsidRPr="00BD42EB">
              <w:rPr>
                <w:color w:val="000000"/>
                <w:sz w:val="24"/>
                <w:szCs w:val="24"/>
              </w:rPr>
              <w:t>-0.73</w:t>
            </w:r>
          </w:p>
        </w:tc>
        <w:tc>
          <w:tcPr>
            <w:tcW w:w="154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33BD12B2" w14:textId="77777777" w:rsidR="007D145F" w:rsidRPr="00BD42EB" w:rsidRDefault="007D145F" w:rsidP="00201C5B">
            <w:pPr>
              <w:jc w:val="both"/>
              <w:rPr>
                <w:color w:val="000000"/>
                <w:sz w:val="24"/>
                <w:szCs w:val="24"/>
              </w:rPr>
            </w:pPr>
            <w:r w:rsidRPr="00BD42EB">
              <w:rPr>
                <w:color w:val="000000"/>
                <w:sz w:val="24"/>
                <w:szCs w:val="24"/>
              </w:rPr>
              <w:t>0.466</w:t>
            </w:r>
          </w:p>
        </w:tc>
        <w:tc>
          <w:tcPr>
            <w:tcW w:w="2020" w:type="dxa"/>
            <w:tcBorders>
              <w:top w:val="nil"/>
              <w:left w:val="nil"/>
              <w:bottom w:val="single" w:sz="4" w:space="0" w:color="auto"/>
              <w:right w:val="single" w:sz="4" w:space="0" w:color="auto"/>
            </w:tcBorders>
            <w:shd w:val="clear" w:color="EDEDED" w:fill="FFFFFF"/>
            <w:tcMar>
              <w:top w:w="15" w:type="dxa"/>
              <w:left w:w="15" w:type="dxa"/>
              <w:bottom w:w="0" w:type="dxa"/>
              <w:right w:w="15" w:type="dxa"/>
            </w:tcMar>
            <w:vAlign w:val="center"/>
            <w:hideMark/>
          </w:tcPr>
          <w:p w14:paraId="7782FFA4" w14:textId="77777777" w:rsidR="007D145F" w:rsidRPr="00BD42EB" w:rsidRDefault="007D145F" w:rsidP="00201C5B">
            <w:pPr>
              <w:jc w:val="both"/>
              <w:rPr>
                <w:color w:val="000000"/>
                <w:sz w:val="24"/>
                <w:szCs w:val="24"/>
              </w:rPr>
            </w:pPr>
            <w:r w:rsidRPr="00BD42EB">
              <w:rPr>
                <w:color w:val="000000"/>
                <w:sz w:val="24"/>
                <w:szCs w:val="24"/>
              </w:rPr>
              <w:t>Not Significant</w:t>
            </w:r>
          </w:p>
        </w:tc>
      </w:tr>
      <w:tr w:rsidR="007D145F" w:rsidRPr="00BD42EB" w14:paraId="515971FE" w14:textId="77777777" w:rsidTr="00201C5B">
        <w:trPr>
          <w:trHeight w:val="330"/>
        </w:trPr>
        <w:tc>
          <w:tcPr>
            <w:tcW w:w="1420" w:type="dxa"/>
            <w:tcBorders>
              <w:top w:val="nil"/>
              <w:left w:val="single" w:sz="4" w:space="0" w:color="auto"/>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847ADD5" w14:textId="77777777" w:rsidR="007D145F" w:rsidRPr="00BD42EB" w:rsidRDefault="007D145F" w:rsidP="00201C5B">
            <w:pPr>
              <w:jc w:val="both"/>
              <w:rPr>
                <w:color w:val="000000"/>
                <w:sz w:val="24"/>
                <w:szCs w:val="24"/>
              </w:rPr>
            </w:pPr>
            <w:r w:rsidRPr="00BD42EB">
              <w:rPr>
                <w:color w:val="000000"/>
                <w:sz w:val="24"/>
                <w:szCs w:val="24"/>
              </w:rPr>
              <w:t>ICR × ESG</w:t>
            </w:r>
          </w:p>
        </w:tc>
        <w:tc>
          <w:tcPr>
            <w:tcW w:w="148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0E4B871" w14:textId="77777777" w:rsidR="007D145F" w:rsidRPr="00BD42EB" w:rsidRDefault="007D145F" w:rsidP="00201C5B">
            <w:pPr>
              <w:jc w:val="both"/>
              <w:rPr>
                <w:color w:val="000000"/>
                <w:sz w:val="24"/>
                <w:szCs w:val="24"/>
              </w:rPr>
            </w:pPr>
            <w:r w:rsidRPr="00BD42EB">
              <w:rPr>
                <w:color w:val="000000"/>
                <w:sz w:val="24"/>
                <w:szCs w:val="24"/>
              </w:rPr>
              <w:t>0.376</w:t>
            </w:r>
          </w:p>
        </w:tc>
        <w:tc>
          <w:tcPr>
            <w:tcW w:w="15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7184AEC0" w14:textId="77777777" w:rsidR="007D145F" w:rsidRPr="00BD42EB" w:rsidRDefault="007D145F" w:rsidP="00201C5B">
            <w:pPr>
              <w:jc w:val="both"/>
              <w:rPr>
                <w:color w:val="000000"/>
                <w:sz w:val="24"/>
                <w:szCs w:val="24"/>
              </w:rPr>
            </w:pPr>
            <w:r w:rsidRPr="00BD42EB">
              <w:rPr>
                <w:color w:val="000000"/>
                <w:sz w:val="24"/>
                <w:szCs w:val="24"/>
              </w:rPr>
              <w:t>0.061</w:t>
            </w:r>
          </w:p>
        </w:tc>
        <w:tc>
          <w:tcPr>
            <w:tcW w:w="13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0A30E494" w14:textId="77777777" w:rsidR="007D145F" w:rsidRPr="00BD42EB" w:rsidRDefault="007D145F" w:rsidP="00201C5B">
            <w:pPr>
              <w:jc w:val="both"/>
              <w:rPr>
                <w:color w:val="000000"/>
                <w:sz w:val="24"/>
                <w:szCs w:val="24"/>
              </w:rPr>
            </w:pPr>
            <w:r w:rsidRPr="00BD42EB">
              <w:rPr>
                <w:color w:val="000000"/>
                <w:sz w:val="24"/>
                <w:szCs w:val="24"/>
              </w:rPr>
              <w:t>6.14</w:t>
            </w:r>
          </w:p>
        </w:tc>
        <w:tc>
          <w:tcPr>
            <w:tcW w:w="154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10BDB9BE" w14:textId="77777777" w:rsidR="007D145F" w:rsidRPr="00BD42EB" w:rsidRDefault="007D145F" w:rsidP="00201C5B">
            <w:pPr>
              <w:jc w:val="both"/>
              <w:rPr>
                <w:color w:val="000000"/>
                <w:sz w:val="24"/>
                <w:szCs w:val="24"/>
              </w:rPr>
            </w:pPr>
            <w:r w:rsidRPr="00BD42EB">
              <w:rPr>
                <w:color w:val="000000"/>
                <w:sz w:val="24"/>
                <w:szCs w:val="24"/>
              </w:rPr>
              <w:t>2.04E-09</w:t>
            </w:r>
          </w:p>
        </w:tc>
        <w:tc>
          <w:tcPr>
            <w:tcW w:w="2020" w:type="dxa"/>
            <w:tcBorders>
              <w:top w:val="nil"/>
              <w:left w:val="nil"/>
              <w:bottom w:val="single" w:sz="4" w:space="0" w:color="auto"/>
              <w:right w:val="single" w:sz="4" w:space="0" w:color="auto"/>
            </w:tcBorders>
            <w:shd w:val="clear" w:color="000000" w:fill="FFFFFF"/>
            <w:tcMar>
              <w:top w:w="15" w:type="dxa"/>
              <w:left w:w="15" w:type="dxa"/>
              <w:bottom w:w="0" w:type="dxa"/>
              <w:right w:w="15" w:type="dxa"/>
            </w:tcMar>
            <w:vAlign w:val="center"/>
            <w:hideMark/>
          </w:tcPr>
          <w:p w14:paraId="598B556F" w14:textId="77777777" w:rsidR="007D145F" w:rsidRPr="00BD42EB" w:rsidRDefault="007D145F" w:rsidP="00201C5B">
            <w:pPr>
              <w:jc w:val="both"/>
              <w:rPr>
                <w:color w:val="000000"/>
                <w:sz w:val="24"/>
                <w:szCs w:val="24"/>
              </w:rPr>
            </w:pPr>
            <w:r w:rsidRPr="00BD42EB">
              <w:rPr>
                <w:color w:val="000000"/>
                <w:sz w:val="24"/>
                <w:szCs w:val="24"/>
              </w:rPr>
              <w:t>***</w:t>
            </w:r>
          </w:p>
        </w:tc>
      </w:tr>
    </w:tbl>
    <w:p w14:paraId="6F7701F9" w14:textId="7472636D" w:rsidR="007D145F" w:rsidRDefault="007D145F" w:rsidP="007D145F">
      <w:pPr>
        <w:pStyle w:val="Caption"/>
        <w:keepNext/>
      </w:pPr>
      <w:bookmarkStart w:id="44" w:name="_Toc194667107"/>
      <w:r>
        <w:t xml:space="preserve">Table </w:t>
      </w:r>
      <w:r>
        <w:fldChar w:fldCharType="begin"/>
      </w:r>
      <w:r>
        <w:instrText xml:space="preserve"> SEQ Table \* ARABIC </w:instrText>
      </w:r>
      <w:r>
        <w:fldChar w:fldCharType="separate"/>
      </w:r>
      <w:r w:rsidR="0033720D">
        <w:rPr>
          <w:noProof/>
        </w:rPr>
        <w:t>1</w:t>
      </w:r>
      <w:r>
        <w:rPr>
          <w:noProof/>
        </w:rPr>
        <w:fldChar w:fldCharType="end"/>
      </w:r>
      <w:r>
        <w:t xml:space="preserve"> Regression Results</w:t>
      </w:r>
      <w:bookmarkEnd w:id="44"/>
    </w:p>
    <w:p w14:paraId="5B30E4E5" w14:textId="77777777" w:rsidR="00FA5712" w:rsidRDefault="00FA5712" w:rsidP="007D145F">
      <w:pPr>
        <w:pStyle w:val="Heading3"/>
        <w:spacing w:before="240" w:after="240"/>
        <w:jc w:val="both"/>
        <w:rPr>
          <w:color w:val="000000"/>
        </w:rPr>
      </w:pPr>
    </w:p>
    <w:p w14:paraId="4393B274" w14:textId="4F5A6DBE" w:rsidR="007D145F" w:rsidRDefault="007D145F" w:rsidP="00B22EFF">
      <w:r w:rsidRPr="00BD42EB">
        <w:t>Significance Codes:</w:t>
      </w:r>
    </w:p>
    <w:p w14:paraId="2F122EFA" w14:textId="77777777" w:rsidR="00B22EFF" w:rsidRPr="00BD42EB" w:rsidRDefault="00B22EFF" w:rsidP="00B22EFF">
      <w:pPr>
        <w:rPr>
          <w:b/>
        </w:rPr>
      </w:pPr>
    </w:p>
    <w:p w14:paraId="1431F5DE" w14:textId="77777777" w:rsidR="007D145F" w:rsidRPr="00253C21" w:rsidRDefault="007D145F" w:rsidP="00B22EFF">
      <w:r w:rsidRPr="00253C21">
        <w:t>p &lt; 0.001 (***) Highly significant</w:t>
      </w:r>
    </w:p>
    <w:p w14:paraId="5BB20470" w14:textId="77777777" w:rsidR="007D145F" w:rsidRPr="00253C21" w:rsidRDefault="007D145F" w:rsidP="00B22EFF">
      <w:r w:rsidRPr="00253C21">
        <w:t>p &lt; 0.01 (**) Moderately significant</w:t>
      </w:r>
    </w:p>
    <w:p w14:paraId="57611EC4" w14:textId="77777777" w:rsidR="007D145F" w:rsidRPr="00253C21" w:rsidRDefault="007D145F" w:rsidP="00B22EFF">
      <w:r w:rsidRPr="00253C21">
        <w:t>p &lt; 0.05 (*) Weakly significant</w:t>
      </w:r>
    </w:p>
    <w:p w14:paraId="43E63C7D" w14:textId="77777777" w:rsidR="007D145F" w:rsidRDefault="007D145F" w:rsidP="00B22EFF">
      <w:r w:rsidRPr="00253C21">
        <w:t>p &gt; 0.05 (Not significant)</w:t>
      </w:r>
    </w:p>
    <w:p w14:paraId="34EA7C49" w14:textId="77777777" w:rsidR="00B22EFF" w:rsidRPr="00253C21" w:rsidRDefault="00B22EFF" w:rsidP="00B22EFF"/>
    <w:p w14:paraId="72AB67D7" w14:textId="77777777" w:rsidR="007D145F" w:rsidRPr="00BD42EB" w:rsidRDefault="007D145F" w:rsidP="00B22EFF">
      <w:pPr>
        <w:rPr>
          <w:b/>
        </w:rPr>
      </w:pPr>
      <w:r w:rsidRPr="00BD42EB">
        <w:t>Each coefficient is discussed in detail below.</w:t>
      </w:r>
    </w:p>
    <w:p w14:paraId="1ED30694" w14:textId="20B01D55" w:rsidR="00661C8B" w:rsidRPr="006323E1" w:rsidRDefault="007D145F" w:rsidP="00661C8B">
      <w:pPr>
        <w:pStyle w:val="Heading3"/>
        <w:spacing w:before="280"/>
        <w:jc w:val="both"/>
        <w:rPr>
          <w:color w:val="000000"/>
        </w:rPr>
      </w:pPr>
      <w:bookmarkStart w:id="45" w:name="_v79nnhtygf82"/>
      <w:bookmarkStart w:id="46" w:name="_Toc194903450"/>
      <w:bookmarkEnd w:id="45"/>
      <w:r w:rsidRPr="00BD42EB">
        <w:rPr>
          <w:color w:val="000000"/>
        </w:rPr>
        <w:t>4.1.1 Effect of Interest Coverage Ratio (ICR) on Debt-to-Equity Ratio</w:t>
      </w:r>
      <w:bookmarkEnd w:id="46"/>
    </w:p>
    <w:p w14:paraId="4181736F" w14:textId="77777777" w:rsidR="007D145F" w:rsidRPr="00BD42EB" w:rsidRDefault="007D145F" w:rsidP="007D145F">
      <w:pPr>
        <w:jc w:val="both"/>
        <w:rPr>
          <w:sz w:val="24"/>
          <w:szCs w:val="24"/>
        </w:rPr>
      </w:pPr>
      <w:r w:rsidRPr="00BD42EB">
        <w:rPr>
          <w:sz w:val="24"/>
          <w:szCs w:val="24"/>
        </w:rPr>
        <w:t xml:space="preserve">The analysis demonstrates that a 1-unit increase in ICR results in </w:t>
      </w:r>
      <w:r>
        <w:rPr>
          <w:sz w:val="24"/>
          <w:szCs w:val="24"/>
        </w:rPr>
        <w:t>a -2.337-unit</w:t>
      </w:r>
      <w:r w:rsidRPr="00BD42EB">
        <w:rPr>
          <w:sz w:val="24"/>
          <w:szCs w:val="24"/>
        </w:rPr>
        <w:t xml:space="preserve"> decrease in the D/E ratio. This p-value rate of 7.15e-10 suggests </w:t>
      </w:r>
      <w:r>
        <w:rPr>
          <w:sz w:val="24"/>
          <w:szCs w:val="24"/>
        </w:rPr>
        <w:t>a</w:t>
      </w:r>
      <w:r w:rsidRPr="00BD42EB">
        <w:rPr>
          <w:sz w:val="24"/>
          <w:szCs w:val="24"/>
        </w:rPr>
        <w:t xml:space="preserve"> strong statistical relationship between ICR and DER. The analysis indicates a strong negative relationship between the variables. Financial theory confirms such findings because companies maintaining good earnings and robust interest coverage prefer to minimize their debt levels.</w:t>
      </w:r>
    </w:p>
    <w:p w14:paraId="2D683B76" w14:textId="3F26328A" w:rsidR="006323E1" w:rsidRPr="006323E1" w:rsidRDefault="007D145F" w:rsidP="006323E1">
      <w:pPr>
        <w:pStyle w:val="Heading3"/>
        <w:spacing w:before="280"/>
        <w:jc w:val="both"/>
        <w:rPr>
          <w:color w:val="000000"/>
        </w:rPr>
      </w:pPr>
      <w:bookmarkStart w:id="47" w:name="_Toc194903451"/>
      <w:r w:rsidRPr="00BD42EB">
        <w:rPr>
          <w:color w:val="000000"/>
        </w:rPr>
        <w:t>4.1.2 Effect of ESG Score on Debt-to-Equity Ratio</w:t>
      </w:r>
      <w:bookmarkEnd w:id="47"/>
    </w:p>
    <w:p w14:paraId="24AF9D6E" w14:textId="77777777" w:rsidR="007D145F" w:rsidRDefault="007D145F" w:rsidP="007D145F">
      <w:pPr>
        <w:jc w:val="both"/>
        <w:rPr>
          <w:sz w:val="24"/>
          <w:szCs w:val="24"/>
        </w:rPr>
      </w:pPr>
      <w:r w:rsidRPr="00BD42EB">
        <w:rPr>
          <w:sz w:val="24"/>
          <w:szCs w:val="24"/>
        </w:rPr>
        <w:t>The ESG score increases by 1 unit</w:t>
      </w:r>
      <w:r>
        <w:rPr>
          <w:sz w:val="24"/>
          <w:szCs w:val="24"/>
        </w:rPr>
        <w:t>,</w:t>
      </w:r>
      <w:r w:rsidRPr="00BD42EB">
        <w:rPr>
          <w:sz w:val="24"/>
          <w:szCs w:val="24"/>
        </w:rPr>
        <w:t xml:space="preserve"> which results in decreasing D/E ratios by -1.590 units based on the information from the ESG coefficient analysis. The statistical relationship between ESG and leverage is not substantial because the calculated p-value equals 0.466. ESG shows itself as a weak predictor for D/E ratio determination based on the t-value result of -0.730. The research evidence shows that ESG elements represent important criteria for corporate decisions</w:t>
      </w:r>
      <w:r>
        <w:rPr>
          <w:sz w:val="24"/>
          <w:szCs w:val="24"/>
        </w:rPr>
        <w:t>,</w:t>
      </w:r>
      <w:r w:rsidRPr="00BD42EB">
        <w:rPr>
          <w:sz w:val="24"/>
          <w:szCs w:val="24"/>
        </w:rPr>
        <w:t xml:space="preserve"> yet they cannot define borrowing behavior autonomously.</w:t>
      </w:r>
    </w:p>
    <w:p w14:paraId="2600B161" w14:textId="77777777" w:rsidR="007D145F" w:rsidRPr="00BD42EB" w:rsidRDefault="007D145F" w:rsidP="007D145F">
      <w:pPr>
        <w:jc w:val="both"/>
        <w:rPr>
          <w:sz w:val="24"/>
          <w:szCs w:val="24"/>
        </w:rPr>
      </w:pPr>
    </w:p>
    <w:p w14:paraId="5B9BE614" w14:textId="3EEA76BE" w:rsidR="006323E1" w:rsidRPr="006323E1" w:rsidRDefault="007D145F" w:rsidP="006323E1">
      <w:pPr>
        <w:pStyle w:val="Heading3"/>
        <w:spacing w:before="280"/>
        <w:jc w:val="both"/>
        <w:rPr>
          <w:color w:val="000000"/>
        </w:rPr>
      </w:pPr>
      <w:bookmarkStart w:id="48" w:name="_yajfnlntwyp8"/>
      <w:bookmarkStart w:id="49" w:name="_Toc194903452"/>
      <w:bookmarkEnd w:id="48"/>
      <w:r w:rsidRPr="00BD42EB">
        <w:rPr>
          <w:color w:val="000000"/>
        </w:rPr>
        <w:t>4.1.3 Interaction Effect of ESG and ICR on Debt-to-Equity Ratio</w:t>
      </w:r>
      <w:bookmarkEnd w:id="49"/>
    </w:p>
    <w:p w14:paraId="6331DEB3" w14:textId="05DB5B74" w:rsidR="007D145F" w:rsidRPr="00F8431B" w:rsidRDefault="00F8431B" w:rsidP="007D145F">
      <w:pPr>
        <w:jc w:val="both"/>
        <w:rPr>
          <w:sz w:val="24"/>
          <w:szCs w:val="24"/>
        </w:rPr>
      </w:pPr>
      <w:r w:rsidRPr="00F8431B">
        <w:rPr>
          <w:sz w:val="24"/>
          <w:szCs w:val="24"/>
        </w:rPr>
        <w:t>The measured interaction effect of ESG on the relationship between ICR and D/E ratio is 0.376. This positive interaction suggests that ESG rating strength weakens the negative influence of ICR on leverage decisions. Specifically, for firms with stronger ESG practices, the typical inverse relationship between financial soundness (ICR) and debt usage becomes less pronounced, implying that even financially stable firms may engage in higher borrowing when supported by robust ESG performance. This reflects the role of ESG as a moderating factor that enhances lender and investor confidence, enabling greater capital structure flexibility</w:t>
      </w:r>
    </w:p>
    <w:p w14:paraId="0E58BC9B" w14:textId="77777777" w:rsidR="0056380F" w:rsidRPr="00F8431B" w:rsidRDefault="0056380F" w:rsidP="007D145F">
      <w:pPr>
        <w:jc w:val="both"/>
        <w:rPr>
          <w:sz w:val="24"/>
          <w:szCs w:val="24"/>
        </w:rPr>
      </w:pPr>
    </w:p>
    <w:p w14:paraId="0C90AB50" w14:textId="77777777" w:rsidR="00307772" w:rsidRDefault="00307772" w:rsidP="007D145F">
      <w:pPr>
        <w:jc w:val="both"/>
        <w:rPr>
          <w:sz w:val="24"/>
          <w:szCs w:val="24"/>
        </w:rPr>
      </w:pPr>
    </w:p>
    <w:p w14:paraId="51EFA2B0" w14:textId="77777777" w:rsidR="00F8431B" w:rsidRDefault="00F8431B" w:rsidP="007D145F">
      <w:pPr>
        <w:jc w:val="both"/>
        <w:rPr>
          <w:sz w:val="24"/>
          <w:szCs w:val="24"/>
        </w:rPr>
      </w:pPr>
    </w:p>
    <w:p w14:paraId="71410A55" w14:textId="77777777" w:rsidR="00F8431B" w:rsidRPr="004E3A96" w:rsidRDefault="00F8431B" w:rsidP="007D145F">
      <w:pPr>
        <w:jc w:val="both"/>
        <w:rPr>
          <w:sz w:val="24"/>
          <w:szCs w:val="24"/>
        </w:rPr>
      </w:pPr>
    </w:p>
    <w:p w14:paraId="6D68E402" w14:textId="43DA3A61" w:rsidR="006323E1" w:rsidRPr="006323E1" w:rsidRDefault="007D145F" w:rsidP="006323E1">
      <w:pPr>
        <w:pStyle w:val="Heading3"/>
        <w:spacing w:before="280"/>
        <w:jc w:val="both"/>
        <w:rPr>
          <w:color w:val="000000"/>
        </w:rPr>
      </w:pPr>
      <w:bookmarkStart w:id="50" w:name="_cchtsgc52fno"/>
      <w:bookmarkStart w:id="51" w:name="_Toc194903453"/>
      <w:bookmarkEnd w:id="50"/>
      <w:r w:rsidRPr="00BD42EB">
        <w:rPr>
          <w:color w:val="000000"/>
        </w:rPr>
        <w:t>4.1.4 Model Fit and Overall Significance</w:t>
      </w:r>
      <w:bookmarkEnd w:id="51"/>
    </w:p>
    <w:p w14:paraId="34F882FF" w14:textId="77777777" w:rsidR="007D145F" w:rsidRPr="004E3A96" w:rsidRDefault="007D145F" w:rsidP="007D145F">
      <w:pPr>
        <w:jc w:val="both"/>
        <w:rPr>
          <w:sz w:val="24"/>
          <w:szCs w:val="24"/>
        </w:rPr>
      </w:pPr>
      <w:r w:rsidRPr="004E3A96">
        <w:rPr>
          <w:sz w:val="24"/>
          <w:szCs w:val="24"/>
        </w:rPr>
        <w:t>The analysis models 11.55% of D/E ratio variation</w:t>
      </w:r>
      <w:r>
        <w:rPr>
          <w:sz w:val="24"/>
          <w:szCs w:val="24"/>
        </w:rPr>
        <w:t>,</w:t>
      </w:r>
      <w:r w:rsidRPr="004E3A96">
        <w:rPr>
          <w:sz w:val="24"/>
          <w:szCs w:val="24"/>
        </w:rPr>
        <w:t xml:space="preserve"> although other factors </w:t>
      </w:r>
      <w:r>
        <w:rPr>
          <w:sz w:val="24"/>
          <w:szCs w:val="24"/>
        </w:rPr>
        <w:t>besides</w:t>
      </w:r>
      <w:r w:rsidRPr="004E3A96">
        <w:rPr>
          <w:sz w:val="24"/>
          <w:szCs w:val="24"/>
        </w:rPr>
        <w:t xml:space="preserve"> the model predictors influence this financial ratio. After accounting for all predictor variables</w:t>
      </w:r>
      <w:r>
        <w:rPr>
          <w:sz w:val="24"/>
          <w:szCs w:val="24"/>
        </w:rPr>
        <w:t>,</w:t>
      </w:r>
      <w:r w:rsidRPr="004E3A96">
        <w:rPr>
          <w:sz w:val="24"/>
          <w:szCs w:val="24"/>
        </w:rPr>
        <w:t xml:space="preserve"> the adjusted R-squared value demonstrates that the model enables 10.87% variance explanation in the dependent variable. Statistical significance exists for the overall model because the F-statistic (16.97) shows that at least one predictor affects the D/E ratio. A strong model-wide significance exists with </w:t>
      </w:r>
      <w:r>
        <w:rPr>
          <w:sz w:val="24"/>
          <w:szCs w:val="24"/>
        </w:rPr>
        <w:t>an</w:t>
      </w:r>
      <w:r w:rsidRPr="004E3A96">
        <w:rPr>
          <w:sz w:val="24"/>
          <w:szCs w:val="24"/>
        </w:rPr>
        <w:t xml:space="preserve"> F-test p-value of 2.217e-10 (which is less than 0.001). The explanatory power of the model regarding the D/E ratio seems to rely only partially on ICR and its connection with ESG because additional financial variables may boost the model's predictive effectiveness.</w:t>
      </w:r>
    </w:p>
    <w:p w14:paraId="17AF52DF" w14:textId="77777777" w:rsidR="006323E1" w:rsidRDefault="006323E1" w:rsidP="0056380F">
      <w:pPr>
        <w:pStyle w:val="Heading2"/>
        <w:ind w:left="0"/>
        <w:jc w:val="both"/>
        <w:rPr>
          <w:b/>
          <w:bCs/>
        </w:rPr>
      </w:pPr>
      <w:bookmarkStart w:id="52" w:name="_yklg4imh8okr"/>
      <w:bookmarkEnd w:id="52"/>
    </w:p>
    <w:p w14:paraId="3CC63965" w14:textId="02DBB666" w:rsidR="007D145F" w:rsidRDefault="007D145F" w:rsidP="007D145F">
      <w:pPr>
        <w:pStyle w:val="Heading2"/>
        <w:jc w:val="both"/>
        <w:rPr>
          <w:b/>
          <w:bCs/>
        </w:rPr>
      </w:pPr>
      <w:bookmarkStart w:id="53" w:name="_Toc194903454"/>
      <w:r w:rsidRPr="00FC486E">
        <w:rPr>
          <w:b/>
          <w:bCs/>
        </w:rPr>
        <w:t>4.2 Findings</w:t>
      </w:r>
      <w:bookmarkEnd w:id="53"/>
    </w:p>
    <w:p w14:paraId="01A9A576" w14:textId="77777777" w:rsidR="006323E1" w:rsidRPr="00FC486E" w:rsidRDefault="006323E1" w:rsidP="007D145F">
      <w:pPr>
        <w:pStyle w:val="Heading2"/>
        <w:jc w:val="both"/>
        <w:rPr>
          <w:b/>
          <w:bCs/>
        </w:rPr>
      </w:pPr>
    </w:p>
    <w:p w14:paraId="1B94997B" w14:textId="639571A0" w:rsidR="007D145F" w:rsidRPr="004E3A96" w:rsidRDefault="007D145F" w:rsidP="007D145F">
      <w:pPr>
        <w:jc w:val="both"/>
        <w:rPr>
          <w:sz w:val="24"/>
          <w:szCs w:val="24"/>
        </w:rPr>
      </w:pPr>
      <w:bookmarkStart w:id="54" w:name="_ijte4qxaug8i"/>
      <w:bookmarkEnd w:id="54"/>
      <w:r w:rsidRPr="004E3A96">
        <w:rPr>
          <w:sz w:val="24"/>
          <w:szCs w:val="24"/>
        </w:rPr>
        <w:t xml:space="preserve">The analysis strongly verifies that sound financial stability levels (ICR) produce inverse relationships with leverage (D/E ratio) measures. Testing confirms </w:t>
      </w:r>
      <w:r>
        <w:rPr>
          <w:sz w:val="24"/>
          <w:szCs w:val="24"/>
        </w:rPr>
        <w:t xml:space="preserve">that </w:t>
      </w:r>
      <w:r w:rsidRPr="004E3A96">
        <w:rPr>
          <w:sz w:val="24"/>
          <w:szCs w:val="24"/>
        </w:rPr>
        <w:t xml:space="preserve">the ICR and ESG variables combine </w:t>
      </w:r>
      <w:r>
        <w:rPr>
          <w:sz w:val="24"/>
          <w:szCs w:val="24"/>
        </w:rPr>
        <w:t>substantially</w:t>
      </w:r>
      <w:r w:rsidRPr="004E3A96">
        <w:rPr>
          <w:sz w:val="24"/>
          <w:szCs w:val="24"/>
        </w:rPr>
        <w:t xml:space="preserve"> and demonstrates </w:t>
      </w:r>
      <w:r>
        <w:rPr>
          <w:sz w:val="24"/>
          <w:szCs w:val="24"/>
        </w:rPr>
        <w:t xml:space="preserve">that </w:t>
      </w:r>
      <w:r w:rsidRPr="004E3A96">
        <w:rPr>
          <w:sz w:val="24"/>
          <w:szCs w:val="24"/>
        </w:rPr>
        <w:t>ESG performance works as an important relationship modifier. Bloomberg ESG Score levels strongly influence how the negative association functions between D/E ratio and ICR based on the regression test findings. Organizations with solid financial strength coupled with advanced ESG outcomes demo</w:t>
      </w:r>
      <w:r w:rsidR="0033720D">
        <w:rPr>
          <w:sz w:val="24"/>
          <w:szCs w:val="24"/>
        </w:rPr>
        <w:t>nstrate a varied insteadrelationship</w:t>
      </w:r>
      <w:r w:rsidRPr="004E3A96">
        <w:rPr>
          <w:sz w:val="24"/>
          <w:szCs w:val="24"/>
        </w:rPr>
        <w:t xml:space="preserve"> to borrowing funding.</w:t>
      </w:r>
    </w:p>
    <w:p w14:paraId="2508CCC5" w14:textId="47091306" w:rsidR="00307772" w:rsidRDefault="007D145F" w:rsidP="00661C8B">
      <w:pPr>
        <w:pStyle w:val="Heading3"/>
        <w:spacing w:before="280"/>
        <w:jc w:val="both"/>
        <w:rPr>
          <w:color w:val="000000"/>
        </w:rPr>
      </w:pPr>
      <w:bookmarkStart w:id="55" w:name="_Toc194903455"/>
      <w:r>
        <w:rPr>
          <w:color w:val="000000"/>
        </w:rPr>
        <w:t>4.2.1 Hypothesis Proved: ESG Score moderates the Relationship between ICR and DER.</w:t>
      </w:r>
      <w:bookmarkEnd w:id="55"/>
    </w:p>
    <w:p w14:paraId="422BA12D" w14:textId="77777777" w:rsidR="00661C8B" w:rsidRPr="006323E1" w:rsidRDefault="00661C8B" w:rsidP="00661C8B">
      <w:pPr>
        <w:pStyle w:val="Heading3"/>
        <w:spacing w:before="280"/>
        <w:jc w:val="both"/>
        <w:rPr>
          <w:color w:val="000000"/>
        </w:rPr>
      </w:pPr>
    </w:p>
    <w:p w14:paraId="1AD291C1" w14:textId="6436D40B" w:rsidR="007D145F" w:rsidRDefault="007D145F" w:rsidP="007D145F">
      <w:pPr>
        <w:jc w:val="both"/>
        <w:rPr>
          <w:sz w:val="24"/>
          <w:szCs w:val="24"/>
        </w:rPr>
      </w:pPr>
      <w:r w:rsidRPr="004E3A96">
        <w:rPr>
          <w:sz w:val="24"/>
          <w:szCs w:val="24"/>
        </w:rPr>
        <w:t xml:space="preserve">This study tests how </w:t>
      </w:r>
      <w:r>
        <w:rPr>
          <w:sz w:val="24"/>
          <w:szCs w:val="24"/>
        </w:rPr>
        <w:t xml:space="preserve">the </w:t>
      </w:r>
      <w:r w:rsidRPr="004E3A96">
        <w:rPr>
          <w:sz w:val="24"/>
          <w:szCs w:val="24"/>
        </w:rPr>
        <w:t xml:space="preserve">Debt-to-Equity ratio negatively correlates with </w:t>
      </w:r>
      <w:r>
        <w:rPr>
          <w:sz w:val="24"/>
          <w:szCs w:val="24"/>
        </w:rPr>
        <w:t xml:space="preserve">the </w:t>
      </w:r>
      <w:r w:rsidRPr="004E3A96">
        <w:rPr>
          <w:sz w:val="24"/>
          <w:szCs w:val="24"/>
        </w:rPr>
        <w:t>Interest Coverage ratio at multiple levels of Bloomberg ESG Scores assessment in oil and gas industry companies. The analysis confirms the hypothesis through a positive 0.376 coefficient in the in</w:t>
      </w:r>
      <w:r>
        <w:rPr>
          <w:sz w:val="24"/>
          <w:szCs w:val="24"/>
        </w:rPr>
        <w:t xml:space="preserve">teraction variable (ICR × ESG), and thus, we reject the null hypothesis. </w:t>
      </w:r>
      <w:r w:rsidRPr="004E3A96">
        <w:rPr>
          <w:sz w:val="24"/>
          <w:szCs w:val="24"/>
        </w:rPr>
        <w:t xml:space="preserve">This shows </w:t>
      </w:r>
      <w:r>
        <w:rPr>
          <w:sz w:val="24"/>
          <w:szCs w:val="24"/>
        </w:rPr>
        <w:t xml:space="preserve">that </w:t>
      </w:r>
      <w:r w:rsidRPr="004E3A96">
        <w:rPr>
          <w:sz w:val="24"/>
          <w:szCs w:val="24"/>
        </w:rPr>
        <w:t xml:space="preserve">ESG increases the impact of ICR on </w:t>
      </w:r>
      <w:r>
        <w:rPr>
          <w:sz w:val="24"/>
          <w:szCs w:val="24"/>
        </w:rPr>
        <w:t xml:space="preserve">the </w:t>
      </w:r>
      <w:r w:rsidRPr="004E3A96">
        <w:rPr>
          <w:sz w:val="24"/>
          <w:szCs w:val="24"/>
        </w:rPr>
        <w:t>D/E ratio. Organizations demonstrating robust financial stability together with high ESG scoring tend to seek debt financing less frequently than businesses having weaker ESG performa</w:t>
      </w:r>
      <w:r w:rsidR="00F8431B">
        <w:rPr>
          <w:sz w:val="24"/>
          <w:szCs w:val="24"/>
        </w:rPr>
        <w:t>nce. The research establishes that with an improved ESG, the negative effect of ICR on DER can be offset to an extent. That is, despite the negative relationship between ICR and DER, improved ESG can lead to better investor confidence and more debt.</w:t>
      </w:r>
    </w:p>
    <w:p w14:paraId="1B2E622C" w14:textId="77777777" w:rsidR="007D145F" w:rsidRPr="00FC486E" w:rsidRDefault="007D145F" w:rsidP="007D145F">
      <w:pPr>
        <w:pStyle w:val="Heading3"/>
        <w:spacing w:before="280"/>
        <w:jc w:val="both"/>
        <w:rPr>
          <w:b w:val="0"/>
          <w:color w:val="000000"/>
        </w:rPr>
      </w:pPr>
      <w:bookmarkStart w:id="56" w:name="_Toc194903456"/>
      <w:r w:rsidRPr="00FC486E">
        <w:rPr>
          <w:color w:val="000000"/>
        </w:rPr>
        <w:t>4.2.2 ESG as a Statistically Significant Moderator</w:t>
      </w:r>
      <w:bookmarkEnd w:id="56"/>
    </w:p>
    <w:p w14:paraId="5D78E948" w14:textId="77777777" w:rsidR="007D145F" w:rsidRDefault="007D145F" w:rsidP="007D145F">
      <w:pPr>
        <w:jc w:val="both"/>
        <w:rPr>
          <w:sz w:val="24"/>
          <w:szCs w:val="24"/>
        </w:rPr>
      </w:pPr>
      <w:bookmarkStart w:id="57" w:name="_w4x4n52s8sj3"/>
      <w:bookmarkStart w:id="58" w:name="_vvnp8kq36uv"/>
      <w:bookmarkEnd w:id="57"/>
      <w:bookmarkEnd w:id="58"/>
    </w:p>
    <w:p w14:paraId="029A4AF3" w14:textId="4AFBFBD3" w:rsidR="007D145F" w:rsidRDefault="007D145F" w:rsidP="007D145F">
      <w:pPr>
        <w:jc w:val="both"/>
        <w:rPr>
          <w:sz w:val="24"/>
          <w:szCs w:val="24"/>
        </w:rPr>
      </w:pPr>
      <w:r w:rsidRPr="00BD42EB">
        <w:rPr>
          <w:sz w:val="24"/>
          <w:szCs w:val="24"/>
        </w:rPr>
        <w:t xml:space="preserve">The direct relationship between ESG scores and </w:t>
      </w:r>
      <w:r>
        <w:rPr>
          <w:sz w:val="24"/>
          <w:szCs w:val="24"/>
        </w:rPr>
        <w:t>DER</w:t>
      </w:r>
      <w:r w:rsidRPr="00BD42EB">
        <w:rPr>
          <w:sz w:val="24"/>
          <w:szCs w:val="24"/>
        </w:rPr>
        <w:t xml:space="preserve"> shows an insignificant connection</w:t>
      </w:r>
      <w:r>
        <w:rPr>
          <w:sz w:val="24"/>
          <w:szCs w:val="24"/>
        </w:rPr>
        <w:t>,</w:t>
      </w:r>
      <w:r w:rsidRPr="00BD42EB">
        <w:rPr>
          <w:sz w:val="24"/>
          <w:szCs w:val="24"/>
        </w:rPr>
        <w:t xml:space="preserve"> yet its influence as a contingency factor linking ICR to D/E ratio presents strong statistical significance. The significant interaction term showcases that ESG does not create its inf</w:t>
      </w:r>
      <w:r w:rsidR="00326EA3">
        <w:rPr>
          <w:sz w:val="24"/>
          <w:szCs w:val="24"/>
        </w:rPr>
        <w:t>luence on leverage yet varies</w:t>
      </w:r>
      <w:r w:rsidRPr="00BD42EB">
        <w:rPr>
          <w:sz w:val="24"/>
          <w:szCs w:val="24"/>
        </w:rPr>
        <w:t xml:space="preserve"> financial stability-based debt reduction. Oil and gas companies focused on ESG deliver improved financial discipline alongside reduced borrowing costs and strengthened investor confidence</w:t>
      </w:r>
      <w:r>
        <w:rPr>
          <w:sz w:val="24"/>
          <w:szCs w:val="24"/>
        </w:rPr>
        <w:t>,</w:t>
      </w:r>
      <w:r w:rsidRPr="00BD42EB">
        <w:rPr>
          <w:sz w:val="24"/>
          <w:szCs w:val="24"/>
        </w:rPr>
        <w:t xml:space="preserve"> which leads to their decreased need for debt.</w:t>
      </w:r>
    </w:p>
    <w:p w14:paraId="7439ECF1" w14:textId="77777777" w:rsidR="007D145F" w:rsidRDefault="007D145F" w:rsidP="007D145F">
      <w:pPr>
        <w:jc w:val="both"/>
        <w:rPr>
          <w:sz w:val="24"/>
          <w:szCs w:val="24"/>
        </w:rPr>
      </w:pPr>
    </w:p>
    <w:p w14:paraId="2A07F76A" w14:textId="77777777" w:rsidR="00A356BF" w:rsidRDefault="00A356BF" w:rsidP="007D145F">
      <w:pPr>
        <w:jc w:val="both"/>
        <w:rPr>
          <w:sz w:val="24"/>
          <w:szCs w:val="24"/>
        </w:rPr>
      </w:pPr>
    </w:p>
    <w:p w14:paraId="0EAB715B" w14:textId="77777777" w:rsidR="00A356BF" w:rsidRDefault="00A356BF" w:rsidP="007D145F">
      <w:pPr>
        <w:jc w:val="both"/>
        <w:rPr>
          <w:sz w:val="24"/>
          <w:szCs w:val="24"/>
        </w:rPr>
      </w:pPr>
    </w:p>
    <w:p w14:paraId="62286D59" w14:textId="77777777" w:rsidR="00A356BF" w:rsidRDefault="00A356BF" w:rsidP="007D145F">
      <w:pPr>
        <w:jc w:val="both"/>
        <w:rPr>
          <w:sz w:val="24"/>
          <w:szCs w:val="24"/>
        </w:rPr>
      </w:pPr>
    </w:p>
    <w:p w14:paraId="13DF8BAF" w14:textId="77777777" w:rsidR="007D145F" w:rsidRPr="00BD42EB" w:rsidRDefault="007D145F" w:rsidP="007D145F">
      <w:pPr>
        <w:jc w:val="both"/>
        <w:rPr>
          <w:sz w:val="24"/>
          <w:szCs w:val="24"/>
        </w:rPr>
      </w:pPr>
    </w:p>
    <w:p w14:paraId="6D43E13F" w14:textId="77777777" w:rsidR="007D145F" w:rsidRDefault="007D145F" w:rsidP="007D145F">
      <w:pPr>
        <w:pStyle w:val="Heading2"/>
        <w:rPr>
          <w:b/>
          <w:bCs/>
        </w:rPr>
      </w:pPr>
      <w:bookmarkStart w:id="59" w:name="_Toc194903457"/>
      <w:r w:rsidRPr="00FC486E">
        <w:rPr>
          <w:b/>
          <w:bCs/>
        </w:rPr>
        <w:t>4.3 Implications for the Oil and Gas Industry</w:t>
      </w:r>
      <w:bookmarkEnd w:id="59"/>
    </w:p>
    <w:p w14:paraId="7AF83844" w14:textId="77777777" w:rsidR="007D145F" w:rsidRPr="00FC486E" w:rsidRDefault="007D145F" w:rsidP="007D145F">
      <w:pPr>
        <w:pStyle w:val="Heading2"/>
        <w:rPr>
          <w:b/>
          <w:bCs/>
        </w:rPr>
      </w:pPr>
    </w:p>
    <w:p w14:paraId="60251CDB" w14:textId="3F894E76" w:rsidR="007D145F" w:rsidRDefault="007D145F" w:rsidP="007D145F">
      <w:pPr>
        <w:jc w:val="both"/>
        <w:rPr>
          <w:sz w:val="24"/>
          <w:szCs w:val="24"/>
        </w:rPr>
      </w:pPr>
      <w:r w:rsidRPr="00BD42EB">
        <w:rPr>
          <w:sz w:val="24"/>
          <w:szCs w:val="24"/>
        </w:rPr>
        <w:t xml:space="preserve">The research findings deliver essential consequences for oil and gas operators since this sector depends on heavy debt usage for financial operations along with infrastructure development. The growing importance of ESG factors creates opportunities for firms with robust sustainable practices since they attract more investors as well as </w:t>
      </w:r>
      <w:r>
        <w:rPr>
          <w:sz w:val="24"/>
          <w:szCs w:val="24"/>
        </w:rPr>
        <w:t>receive</w:t>
      </w:r>
      <w:r w:rsidRPr="00BD42EB">
        <w:rPr>
          <w:sz w:val="24"/>
          <w:szCs w:val="24"/>
        </w:rPr>
        <w:t xml:space="preserve"> better access to resources and </w:t>
      </w:r>
      <w:r>
        <w:rPr>
          <w:sz w:val="24"/>
          <w:szCs w:val="24"/>
        </w:rPr>
        <w:t>obtain</w:t>
      </w:r>
      <w:r w:rsidRPr="00BD42EB">
        <w:rPr>
          <w:sz w:val="24"/>
          <w:szCs w:val="24"/>
        </w:rPr>
        <w:t xml:space="preserve"> lower interest rates. Strong ESG scores of financially stable oil and gas firms could prompt them to seek both internal funds</w:t>
      </w:r>
      <w:r w:rsidR="0033720D">
        <w:rPr>
          <w:sz w:val="24"/>
          <w:szCs w:val="24"/>
        </w:rPr>
        <w:t xml:space="preserve"> and equity financing along with</w:t>
      </w:r>
      <w:r w:rsidRPr="00BD42EB">
        <w:rPr>
          <w:sz w:val="24"/>
          <w:szCs w:val="24"/>
        </w:rPr>
        <w:t xml:space="preserve"> traditional debt instruments</w:t>
      </w:r>
      <w:r w:rsidR="0033720D">
        <w:rPr>
          <w:sz w:val="24"/>
          <w:szCs w:val="24"/>
        </w:rPr>
        <w:t xml:space="preserve"> at reduced costs</w:t>
      </w:r>
      <w:r w:rsidRPr="00BD42EB">
        <w:rPr>
          <w:sz w:val="24"/>
          <w:szCs w:val="24"/>
        </w:rPr>
        <w:t>. The growing role of ESG in moderating capital structure shows that financial institutions</w:t>
      </w:r>
      <w:r>
        <w:rPr>
          <w:sz w:val="24"/>
          <w:szCs w:val="24"/>
        </w:rPr>
        <w:t>,</w:t>
      </w:r>
      <w:r w:rsidRPr="00BD42EB">
        <w:rPr>
          <w:sz w:val="24"/>
          <w:szCs w:val="24"/>
        </w:rPr>
        <w:t xml:space="preserve"> alongside regulatory requirements</w:t>
      </w:r>
      <w:r>
        <w:rPr>
          <w:sz w:val="24"/>
          <w:szCs w:val="24"/>
        </w:rPr>
        <w:t>,</w:t>
      </w:r>
      <w:r w:rsidRPr="00BD42EB">
        <w:rPr>
          <w:sz w:val="24"/>
          <w:szCs w:val="24"/>
        </w:rPr>
        <w:t xml:space="preserve"> are transforming how businesses handle their sustainability level against their financial outcomes.</w:t>
      </w:r>
    </w:p>
    <w:p w14:paraId="367B8628" w14:textId="77777777" w:rsidR="006323E1" w:rsidRDefault="006323E1" w:rsidP="007D145F">
      <w:pPr>
        <w:jc w:val="both"/>
        <w:rPr>
          <w:sz w:val="24"/>
          <w:szCs w:val="24"/>
        </w:rPr>
      </w:pPr>
    </w:p>
    <w:p w14:paraId="55796592" w14:textId="77777777" w:rsidR="006323E1" w:rsidRPr="00BD42EB" w:rsidRDefault="006323E1" w:rsidP="007D145F">
      <w:pPr>
        <w:jc w:val="both"/>
        <w:rPr>
          <w:sz w:val="24"/>
          <w:szCs w:val="24"/>
        </w:rPr>
      </w:pPr>
    </w:p>
    <w:p w14:paraId="0AD0D7DA" w14:textId="77777777" w:rsidR="007D145F" w:rsidRDefault="007D145F" w:rsidP="007D145F">
      <w:pPr>
        <w:pStyle w:val="Heading3"/>
      </w:pPr>
      <w:bookmarkStart w:id="60" w:name="_qah8p6lxbn9n"/>
      <w:bookmarkStart w:id="61" w:name="_Toc194903458"/>
      <w:bookmarkEnd w:id="60"/>
      <w:r w:rsidRPr="007C012D">
        <w:t>4.3.1 Shifting Capital Structure Preferences in the Oil and Gas Sector</w:t>
      </w:r>
      <w:bookmarkEnd w:id="61"/>
    </w:p>
    <w:p w14:paraId="166BB92C" w14:textId="77777777" w:rsidR="007D145F" w:rsidRPr="007C012D" w:rsidRDefault="007D145F" w:rsidP="007D145F">
      <w:pPr>
        <w:pStyle w:val="Heading3"/>
        <w:rPr>
          <w:b w:val="0"/>
          <w:bCs w:val="0"/>
        </w:rPr>
      </w:pPr>
    </w:p>
    <w:p w14:paraId="08F574F4" w14:textId="77777777" w:rsidR="007D145F" w:rsidRPr="004E3A96" w:rsidRDefault="007D145F" w:rsidP="007D145F">
      <w:pPr>
        <w:jc w:val="both"/>
        <w:rPr>
          <w:sz w:val="24"/>
          <w:szCs w:val="24"/>
        </w:rPr>
      </w:pPr>
      <w:r w:rsidRPr="004E3A96">
        <w:rPr>
          <w:sz w:val="24"/>
          <w:szCs w:val="24"/>
        </w:rPr>
        <w:t xml:space="preserve">The industry convention for oil and gas companies has been to finance major exploration efforts and infrastructure programs and operational development through heavy debt instruments. The observations indicate </w:t>
      </w:r>
      <w:r>
        <w:rPr>
          <w:sz w:val="24"/>
          <w:szCs w:val="24"/>
        </w:rPr>
        <w:t xml:space="preserve">that </w:t>
      </w:r>
      <w:r w:rsidRPr="004E3A96">
        <w:rPr>
          <w:sz w:val="24"/>
          <w:szCs w:val="24"/>
        </w:rPr>
        <w:t>financially sound companies are transitioning their capital structure decisions because ESG creates a statistically significant moderation effect on ICR-D/E relationships. Oil and gas companies demonstrating high ESG performance tend to decrease their debt ratios because they acquire better financing opportunities through alternative funding instruments</w:t>
      </w:r>
      <w:r>
        <w:rPr>
          <w:sz w:val="24"/>
          <w:szCs w:val="24"/>
        </w:rPr>
        <w:t>,</w:t>
      </w:r>
      <w:r w:rsidRPr="004E3A96">
        <w:rPr>
          <w:sz w:val="24"/>
          <w:szCs w:val="24"/>
        </w:rPr>
        <w:t xml:space="preserve"> including sustainability-linked loans</w:t>
      </w:r>
      <w:r>
        <w:rPr>
          <w:sz w:val="24"/>
          <w:szCs w:val="24"/>
        </w:rPr>
        <w:t>,</w:t>
      </w:r>
      <w:r w:rsidRPr="004E3A96">
        <w:rPr>
          <w:sz w:val="24"/>
          <w:szCs w:val="24"/>
        </w:rPr>
        <w:t xml:space="preserve"> green bonds</w:t>
      </w:r>
      <w:r>
        <w:rPr>
          <w:sz w:val="24"/>
          <w:szCs w:val="24"/>
        </w:rPr>
        <w:t>,</w:t>
      </w:r>
      <w:r w:rsidRPr="004E3A96">
        <w:rPr>
          <w:sz w:val="24"/>
          <w:szCs w:val="24"/>
        </w:rPr>
        <w:t xml:space="preserve"> and equity inflows.</w:t>
      </w:r>
    </w:p>
    <w:p w14:paraId="48C07311" w14:textId="77777777" w:rsidR="007D145F" w:rsidRDefault="007D145F" w:rsidP="007D145F">
      <w:pPr>
        <w:jc w:val="both"/>
        <w:rPr>
          <w:sz w:val="24"/>
          <w:szCs w:val="24"/>
        </w:rPr>
      </w:pPr>
    </w:p>
    <w:p w14:paraId="4B94754E" w14:textId="1D41B051" w:rsidR="007D145F" w:rsidRDefault="007D145F" w:rsidP="007D145F">
      <w:pPr>
        <w:jc w:val="both"/>
        <w:rPr>
          <w:sz w:val="24"/>
          <w:szCs w:val="24"/>
        </w:rPr>
      </w:pPr>
      <w:r w:rsidRPr="004E3A96">
        <w:rPr>
          <w:sz w:val="24"/>
          <w:szCs w:val="24"/>
        </w:rPr>
        <w:t>The literature establishes that firms with ESG consciousness benefit from better investor perception</w:t>
      </w:r>
      <w:r>
        <w:rPr>
          <w:sz w:val="24"/>
          <w:szCs w:val="24"/>
        </w:rPr>
        <w:t>,</w:t>
      </w:r>
      <w:r w:rsidRPr="004E3A96">
        <w:rPr>
          <w:sz w:val="24"/>
          <w:szCs w:val="24"/>
        </w:rPr>
        <w:t xml:space="preserve"> which results in higher credit quality that leads to more affordable financing costs and favorable conditions. Previous studies indicate that strong ESG practices of firms lead creditors to grant them lower interest rates due to their reduced risk profile. The research demonstrates how high-ESG fir</w:t>
      </w:r>
      <w:r w:rsidR="00F8431B">
        <w:rPr>
          <w:sz w:val="24"/>
          <w:szCs w:val="24"/>
        </w:rPr>
        <w:t>ms show a considerable interest</w:t>
      </w:r>
      <w:r w:rsidRPr="004E3A96">
        <w:rPr>
          <w:sz w:val="24"/>
          <w:szCs w:val="24"/>
        </w:rPr>
        <w:t xml:space="preserve"> to debt financing</w:t>
      </w:r>
      <w:r>
        <w:rPr>
          <w:sz w:val="24"/>
          <w:szCs w:val="24"/>
        </w:rPr>
        <w:t>,</w:t>
      </w:r>
      <w:r w:rsidRPr="004E3A96">
        <w:rPr>
          <w:sz w:val="24"/>
          <w:szCs w:val="24"/>
        </w:rPr>
        <w:t xml:space="preserve"> especially when combined with</w:t>
      </w:r>
      <w:r w:rsidRPr="00BD42EB">
        <w:t xml:space="preserve"> </w:t>
      </w:r>
      <w:r w:rsidRPr="004E3A96">
        <w:rPr>
          <w:sz w:val="24"/>
          <w:szCs w:val="24"/>
        </w:rPr>
        <w:t>strong financial stability</w:t>
      </w:r>
      <w:r>
        <w:rPr>
          <w:sz w:val="24"/>
          <w:szCs w:val="24"/>
        </w:rPr>
        <w:t>,</w:t>
      </w:r>
      <w:r w:rsidRPr="004E3A96">
        <w:rPr>
          <w:sz w:val="24"/>
          <w:szCs w:val="24"/>
        </w:rPr>
        <w:t xml:space="preserve"> which indicates an ongoing change in financing strategies for oil and gas sector firms.</w:t>
      </w:r>
      <w:r w:rsidR="00F8431B">
        <w:rPr>
          <w:sz w:val="24"/>
          <w:szCs w:val="24"/>
        </w:rPr>
        <w:t xml:space="preserve"> </w:t>
      </w:r>
    </w:p>
    <w:p w14:paraId="196501D0" w14:textId="77777777" w:rsidR="007D145F" w:rsidRPr="00BD42EB" w:rsidRDefault="007D145F" w:rsidP="007D145F">
      <w:pPr>
        <w:jc w:val="both"/>
      </w:pPr>
    </w:p>
    <w:p w14:paraId="53033F2F" w14:textId="201E6BA1" w:rsidR="007D145F" w:rsidRPr="00BD42EB" w:rsidRDefault="007D145F" w:rsidP="007D145F">
      <w:pPr>
        <w:pStyle w:val="Heading3"/>
      </w:pPr>
      <w:bookmarkStart w:id="62" w:name="_Toc194903459"/>
      <w:r>
        <w:t xml:space="preserve">4.3.2 </w:t>
      </w:r>
      <w:r w:rsidRPr="00BD42EB">
        <w:t>Investor</w:t>
      </w:r>
      <w:r w:rsidR="00F8431B">
        <w:t xml:space="preserve"> and Lender</w:t>
      </w:r>
      <w:r w:rsidRPr="00BD42EB">
        <w:t xml:space="preserve"> Sentiment and Capital Market Dynamics</w:t>
      </w:r>
      <w:bookmarkEnd w:id="62"/>
    </w:p>
    <w:p w14:paraId="3E9BD7E0" w14:textId="6557F312" w:rsidR="007D145F" w:rsidRPr="00BD42EB" w:rsidRDefault="007D145F" w:rsidP="007D145F">
      <w:pPr>
        <w:spacing w:before="240" w:after="240"/>
        <w:jc w:val="both"/>
        <w:rPr>
          <w:sz w:val="24"/>
          <w:szCs w:val="24"/>
        </w:rPr>
      </w:pPr>
      <w:r w:rsidRPr="00BD42EB">
        <w:rPr>
          <w:sz w:val="24"/>
          <w:szCs w:val="24"/>
        </w:rPr>
        <w:t xml:space="preserve">The results demonstrate how ESG acts as a moderating factor </w:t>
      </w:r>
      <w:r>
        <w:rPr>
          <w:sz w:val="24"/>
          <w:szCs w:val="24"/>
        </w:rPr>
        <w:t>that</w:t>
      </w:r>
      <w:r w:rsidRPr="00BD42EB">
        <w:rPr>
          <w:sz w:val="24"/>
          <w:szCs w:val="24"/>
        </w:rPr>
        <w:t xml:space="preserve"> indicates growing investor support for sustainable businesses. The capital market practices of investors</w:t>
      </w:r>
      <w:r>
        <w:rPr>
          <w:sz w:val="24"/>
          <w:szCs w:val="24"/>
        </w:rPr>
        <w:t>,</w:t>
      </w:r>
      <w:r w:rsidRPr="00BD42EB">
        <w:rPr>
          <w:sz w:val="24"/>
          <w:szCs w:val="24"/>
        </w:rPr>
        <w:t xml:space="preserve"> asset managers</w:t>
      </w:r>
      <w:r>
        <w:rPr>
          <w:sz w:val="24"/>
          <w:szCs w:val="24"/>
        </w:rPr>
        <w:t>,</w:t>
      </w:r>
      <w:r w:rsidRPr="00BD42EB">
        <w:rPr>
          <w:sz w:val="24"/>
          <w:szCs w:val="24"/>
        </w:rPr>
        <w:t xml:space="preserve"> and lenders now apply ESG metric standards to risk evaluation for selecting investments</w:t>
      </w:r>
      <w:r>
        <w:rPr>
          <w:sz w:val="24"/>
          <w:szCs w:val="24"/>
        </w:rPr>
        <w:t>,</w:t>
      </w:r>
      <w:r w:rsidRPr="00BD42EB">
        <w:rPr>
          <w:sz w:val="24"/>
          <w:szCs w:val="24"/>
        </w:rPr>
        <w:t xml:space="preserve"> which results in better financing outcomes for responsible organizations. The assessment of ESG performance impacts oil and gas companies because it determines investor interest and sets the price of capital they will pay.</w:t>
      </w:r>
      <w:r w:rsidR="00F8431B">
        <w:rPr>
          <w:sz w:val="24"/>
          <w:szCs w:val="24"/>
        </w:rPr>
        <w:t xml:space="preserve"> Furthermore, the study supports the reduced borrowing cost through the ESG performance score, resulting in improved lender faith.</w:t>
      </w:r>
    </w:p>
    <w:p w14:paraId="385CA3E1" w14:textId="486A3973" w:rsidR="007D145F" w:rsidRPr="00BD42EB" w:rsidRDefault="007D145F" w:rsidP="007D145F">
      <w:pPr>
        <w:spacing w:before="240" w:after="240"/>
        <w:jc w:val="both"/>
        <w:rPr>
          <w:sz w:val="24"/>
          <w:szCs w:val="24"/>
        </w:rPr>
      </w:pPr>
      <w:r w:rsidRPr="00BD42EB">
        <w:rPr>
          <w:sz w:val="24"/>
          <w:szCs w:val="24"/>
        </w:rPr>
        <w:t>The interaction effect suggests that financially secure oil and gas firms with good ESG scores are making themselves appealing to investors with sustainability-focused interest. The increase of ESG-focused investment funds in the global financial sector allows businesses that meet these expectations to achieve higher market value and stronger investor trust. Organizations which maintain high ESG scores demonstrate stable stock prices and s</w:t>
      </w:r>
      <w:r>
        <w:rPr>
          <w:sz w:val="24"/>
          <w:szCs w:val="24"/>
        </w:rPr>
        <w:t>tabilize even during</w:t>
      </w:r>
      <w:r w:rsidRPr="00BD42EB">
        <w:rPr>
          <w:sz w:val="24"/>
          <w:szCs w:val="24"/>
        </w:rPr>
        <w:t xml:space="preserve"> financial downturns</w:t>
      </w:r>
      <w:r>
        <w:rPr>
          <w:sz w:val="24"/>
          <w:szCs w:val="24"/>
        </w:rPr>
        <w:t>,</w:t>
      </w:r>
      <w:r w:rsidRPr="00BD42EB">
        <w:rPr>
          <w:sz w:val="24"/>
          <w:szCs w:val="24"/>
        </w:rPr>
        <w:t xml:space="preserve"> according to literary findings</w:t>
      </w:r>
      <w:r>
        <w:rPr>
          <w:sz w:val="24"/>
          <w:szCs w:val="24"/>
        </w:rPr>
        <w:t>,</w:t>
      </w:r>
      <w:r w:rsidRPr="00BD42EB">
        <w:rPr>
          <w:sz w:val="24"/>
          <w:szCs w:val="24"/>
        </w:rPr>
        <w:t xml:space="preserve"> thus supporting the financial advantages of sustainability implementation.</w:t>
      </w:r>
    </w:p>
    <w:p w14:paraId="7AE8604F" w14:textId="77777777" w:rsidR="007D145F" w:rsidRDefault="007D145F" w:rsidP="007D145F">
      <w:pPr>
        <w:pStyle w:val="Heading3"/>
        <w:jc w:val="both"/>
      </w:pPr>
      <w:bookmarkStart w:id="63" w:name="_64t1xx1x8m3v"/>
      <w:bookmarkStart w:id="64" w:name="_Toc194903460"/>
      <w:bookmarkEnd w:id="63"/>
      <w:r w:rsidRPr="007C012D">
        <w:t>4.3.3 Regulatory and Policy Considerations</w:t>
      </w:r>
      <w:bookmarkEnd w:id="64"/>
    </w:p>
    <w:p w14:paraId="79BF05C4" w14:textId="77777777" w:rsidR="007D145F" w:rsidRPr="007C012D" w:rsidRDefault="007D145F" w:rsidP="007D145F">
      <w:pPr>
        <w:pStyle w:val="Heading3"/>
        <w:jc w:val="both"/>
        <w:rPr>
          <w:b w:val="0"/>
          <w:bCs w:val="0"/>
        </w:rPr>
      </w:pPr>
    </w:p>
    <w:p w14:paraId="3FC3AE83" w14:textId="77777777" w:rsidR="007D145F" w:rsidRDefault="007D145F" w:rsidP="007D145F">
      <w:pPr>
        <w:jc w:val="both"/>
        <w:rPr>
          <w:sz w:val="24"/>
          <w:szCs w:val="24"/>
        </w:rPr>
      </w:pPr>
      <w:bookmarkStart w:id="65" w:name="_dz9t66b0dg8z"/>
      <w:bookmarkEnd w:id="65"/>
      <w:r w:rsidRPr="004E3A96">
        <w:rPr>
          <w:sz w:val="24"/>
          <w:szCs w:val="24"/>
        </w:rPr>
        <w:t>The expanding role of ESG in influencing capital structure choices for oil and gas companies brings significant regulatory effects to the field. Multiple governments</w:t>
      </w:r>
      <w:r>
        <w:rPr>
          <w:sz w:val="24"/>
          <w:szCs w:val="24"/>
        </w:rPr>
        <w:t>,</w:t>
      </w:r>
      <w:r w:rsidRPr="004E3A96">
        <w:rPr>
          <w:sz w:val="24"/>
          <w:szCs w:val="24"/>
        </w:rPr>
        <w:t xml:space="preserve"> along with financial regulating bodies across the world</w:t>
      </w:r>
      <w:r>
        <w:rPr>
          <w:sz w:val="24"/>
          <w:szCs w:val="24"/>
        </w:rPr>
        <w:t>,</w:t>
      </w:r>
      <w:r w:rsidRPr="004E3A96">
        <w:rPr>
          <w:sz w:val="24"/>
          <w:szCs w:val="24"/>
        </w:rPr>
        <w:t xml:space="preserve"> continue to introduce more rigorous standards for ESG disclosure</w:t>
      </w:r>
      <w:r>
        <w:rPr>
          <w:sz w:val="24"/>
          <w:szCs w:val="24"/>
        </w:rPr>
        <w:t>,</w:t>
      </w:r>
      <w:r w:rsidRPr="004E3A96">
        <w:rPr>
          <w:sz w:val="24"/>
          <w:szCs w:val="24"/>
        </w:rPr>
        <w:t xml:space="preserve"> together with carbon reduction targets </w:t>
      </w:r>
      <w:r>
        <w:rPr>
          <w:sz w:val="24"/>
          <w:szCs w:val="24"/>
        </w:rPr>
        <w:t>and</w:t>
      </w:r>
      <w:r w:rsidRPr="004E3A96">
        <w:rPr>
          <w:sz w:val="24"/>
          <w:szCs w:val="24"/>
        </w:rPr>
        <w:t xml:space="preserve"> sustainability reporting requirements. Results from this study demonstrate that forward-thinking ESG performance improvement by companies produces both regulatory risk reduction and avoidance of possible financial penalties and environmental sustainability limitations.</w:t>
      </w:r>
    </w:p>
    <w:p w14:paraId="37D0DAE3" w14:textId="77777777" w:rsidR="007D145F" w:rsidRPr="004E3A96" w:rsidRDefault="007D145F" w:rsidP="007D145F">
      <w:pPr>
        <w:jc w:val="both"/>
        <w:rPr>
          <w:sz w:val="24"/>
          <w:szCs w:val="24"/>
        </w:rPr>
      </w:pPr>
    </w:p>
    <w:p w14:paraId="510A9C26" w14:textId="77777777" w:rsidR="007D145F" w:rsidRPr="004E3A96" w:rsidRDefault="007D145F" w:rsidP="007D145F">
      <w:pPr>
        <w:jc w:val="both"/>
        <w:rPr>
          <w:sz w:val="24"/>
          <w:szCs w:val="24"/>
        </w:rPr>
      </w:pPr>
      <w:r w:rsidRPr="004E3A96">
        <w:rPr>
          <w:sz w:val="24"/>
          <w:szCs w:val="24"/>
        </w:rPr>
        <w:t>Environmental sustainability issues</w:t>
      </w:r>
      <w:r>
        <w:rPr>
          <w:sz w:val="24"/>
          <w:szCs w:val="24"/>
        </w:rPr>
        <w:t>,</w:t>
      </w:r>
      <w:r w:rsidRPr="004E3A96">
        <w:rPr>
          <w:sz w:val="24"/>
          <w:szCs w:val="24"/>
        </w:rPr>
        <w:t xml:space="preserve"> along with ESG performance and enhanced financial stability</w:t>
      </w:r>
      <w:r>
        <w:rPr>
          <w:sz w:val="24"/>
          <w:szCs w:val="24"/>
        </w:rPr>
        <w:t>,</w:t>
      </w:r>
      <w:r w:rsidRPr="004E3A96">
        <w:rPr>
          <w:sz w:val="24"/>
          <w:szCs w:val="24"/>
        </w:rPr>
        <w:t xml:space="preserve"> seem to be encouraged by new regulatory frameworks related to leverage reduction. Managed policies in sustainable finance </w:t>
      </w:r>
      <w:r>
        <w:rPr>
          <w:sz w:val="24"/>
          <w:szCs w:val="24"/>
        </w:rPr>
        <w:t>that</w:t>
      </w:r>
      <w:r w:rsidRPr="004E3A96">
        <w:rPr>
          <w:sz w:val="24"/>
          <w:szCs w:val="24"/>
        </w:rPr>
        <w:t xml:space="preserve"> provide financial incentives to ESG-compliant firms</w:t>
      </w:r>
      <w:r>
        <w:rPr>
          <w:sz w:val="24"/>
          <w:szCs w:val="24"/>
        </w:rPr>
        <w:t>,</w:t>
      </w:r>
      <w:r w:rsidRPr="004E3A96">
        <w:rPr>
          <w:sz w:val="24"/>
          <w:szCs w:val="24"/>
        </w:rPr>
        <w:t xml:space="preserve"> along with green financing programs backed by </w:t>
      </w:r>
      <w:r>
        <w:rPr>
          <w:sz w:val="24"/>
          <w:szCs w:val="24"/>
        </w:rPr>
        <w:t xml:space="preserve">the </w:t>
      </w:r>
      <w:r w:rsidRPr="004E3A96">
        <w:rPr>
          <w:sz w:val="24"/>
          <w:szCs w:val="24"/>
        </w:rPr>
        <w:t>government</w:t>
      </w:r>
      <w:r>
        <w:rPr>
          <w:sz w:val="24"/>
          <w:szCs w:val="24"/>
        </w:rPr>
        <w:t>,</w:t>
      </w:r>
      <w:r w:rsidRPr="004E3A96">
        <w:rPr>
          <w:sz w:val="24"/>
          <w:szCs w:val="24"/>
        </w:rPr>
        <w:t xml:space="preserve"> create potential supporting factors for this emerging trend. Oil companies </w:t>
      </w:r>
      <w:r>
        <w:rPr>
          <w:sz w:val="24"/>
          <w:szCs w:val="24"/>
        </w:rPr>
        <w:t>that</w:t>
      </w:r>
      <w:r w:rsidRPr="004E3A96">
        <w:rPr>
          <w:sz w:val="24"/>
          <w:szCs w:val="24"/>
        </w:rPr>
        <w:t xml:space="preserve"> ignore market and regulatory changes because of non-adaptation will experience increased borrowing expenses together with diminished market opportunities and negative reputational impacts.</w:t>
      </w:r>
    </w:p>
    <w:p w14:paraId="768E0FA1" w14:textId="77777777" w:rsidR="007D145F" w:rsidRDefault="007D145F" w:rsidP="007D145F">
      <w:pPr>
        <w:pStyle w:val="Heading1"/>
      </w:pPr>
    </w:p>
    <w:p w14:paraId="1F153F5D" w14:textId="4F54780B" w:rsidR="007D145F" w:rsidRDefault="007D145F" w:rsidP="0056380F">
      <w:pPr>
        <w:pStyle w:val="Heading1"/>
        <w:jc w:val="left"/>
      </w:pPr>
      <w:bookmarkStart w:id="66" w:name="_Toc194903461"/>
      <w:r w:rsidRPr="008161C1">
        <w:t>Chapter 5.</w:t>
      </w:r>
      <w:r>
        <w:t xml:space="preserve"> </w:t>
      </w:r>
      <w:r w:rsidRPr="007C012D">
        <w:t>Conclusion</w:t>
      </w:r>
      <w:bookmarkEnd w:id="66"/>
    </w:p>
    <w:p w14:paraId="43F7DF80" w14:textId="77777777" w:rsidR="00A356BF" w:rsidRDefault="00A356BF" w:rsidP="0056380F">
      <w:pPr>
        <w:pStyle w:val="Heading1"/>
        <w:jc w:val="left"/>
      </w:pPr>
    </w:p>
    <w:p w14:paraId="5588FA78" w14:textId="707524AC" w:rsidR="00A356BF" w:rsidRPr="00A356BF" w:rsidRDefault="00A356BF" w:rsidP="00A356BF">
      <w:pPr>
        <w:pStyle w:val="Heading1"/>
        <w:ind w:left="0"/>
        <w:jc w:val="both"/>
        <w:rPr>
          <w:b w:val="0"/>
          <w:sz w:val="24"/>
          <w:szCs w:val="24"/>
        </w:rPr>
      </w:pPr>
      <w:r w:rsidRPr="00A356BF">
        <w:rPr>
          <w:b w:val="0"/>
          <w:sz w:val="24"/>
          <w:szCs w:val="24"/>
        </w:rPr>
        <w:t xml:space="preserve">Normally, </w:t>
      </w:r>
      <w:r>
        <w:rPr>
          <w:b w:val="0"/>
          <w:sz w:val="24"/>
          <w:szCs w:val="24"/>
        </w:rPr>
        <w:t xml:space="preserve">a </w:t>
      </w:r>
      <w:r w:rsidRPr="00A356BF">
        <w:rPr>
          <w:b w:val="0"/>
          <w:sz w:val="24"/>
          <w:szCs w:val="24"/>
        </w:rPr>
        <w:t>higher ICR means less debt</w:t>
      </w:r>
      <w:r>
        <w:rPr>
          <w:b w:val="0"/>
          <w:sz w:val="24"/>
          <w:szCs w:val="24"/>
        </w:rPr>
        <w:t>,</w:t>
      </w:r>
      <w:r w:rsidRPr="00A356BF">
        <w:rPr>
          <w:b w:val="0"/>
          <w:sz w:val="24"/>
          <w:szCs w:val="24"/>
        </w:rPr>
        <w:t xml:space="preserve"> but ESG changes the game. ESG gives companies the cushion to take on more debt even if they already have strong ICR because it bu</w:t>
      </w:r>
      <w:r>
        <w:rPr>
          <w:b w:val="0"/>
          <w:sz w:val="24"/>
          <w:szCs w:val="24"/>
        </w:rPr>
        <w:t>ilds lender and investor trust.</w:t>
      </w:r>
    </w:p>
    <w:p w14:paraId="0A3AEBA6" w14:textId="77777777" w:rsidR="00A356BF" w:rsidRDefault="00A356BF" w:rsidP="007D145F">
      <w:pPr>
        <w:jc w:val="both"/>
        <w:rPr>
          <w:sz w:val="24"/>
          <w:szCs w:val="24"/>
        </w:rPr>
      </w:pPr>
      <w:bookmarkStart w:id="67" w:name="_5nfguob6sv6"/>
      <w:bookmarkEnd w:id="67"/>
    </w:p>
    <w:p w14:paraId="0D2C994C" w14:textId="1D92C868" w:rsidR="007D145F" w:rsidRPr="004E3A96" w:rsidRDefault="007D145F" w:rsidP="007D145F">
      <w:pPr>
        <w:jc w:val="both"/>
        <w:rPr>
          <w:sz w:val="24"/>
          <w:szCs w:val="24"/>
        </w:rPr>
      </w:pPr>
      <w:r w:rsidRPr="004E3A96">
        <w:rPr>
          <w:sz w:val="24"/>
          <w:szCs w:val="24"/>
        </w:rPr>
        <w:t>The present research analyzed how financial stability affects financial leverage by evaluating the Debt-to-Equity ratio through Interest Coverage Ratio indicators. Strong findings demonstrated that well-financially stable firms had less debt because their strong earnings reduced their need for external funding. The research analysis established that ESG performance served as an essential modifier for this relationship between financial stability and D/E ratio. ESG performance independently did not affect leverage levels</w:t>
      </w:r>
      <w:r>
        <w:rPr>
          <w:sz w:val="24"/>
          <w:szCs w:val="24"/>
        </w:rPr>
        <w:t>,</w:t>
      </w:r>
      <w:r w:rsidRPr="004E3A96">
        <w:rPr>
          <w:sz w:val="24"/>
          <w:szCs w:val="24"/>
        </w:rPr>
        <w:t xml:space="preserve"> yet its statistical relationship with </w:t>
      </w:r>
      <w:r>
        <w:rPr>
          <w:sz w:val="24"/>
          <w:szCs w:val="24"/>
        </w:rPr>
        <w:t xml:space="preserve">the </w:t>
      </w:r>
      <w:r w:rsidRPr="004E3A96">
        <w:rPr>
          <w:sz w:val="24"/>
          <w:szCs w:val="24"/>
        </w:rPr>
        <w:t xml:space="preserve">Interest Coverage </w:t>
      </w:r>
      <w:r w:rsidR="00F8431B">
        <w:rPr>
          <w:sz w:val="24"/>
          <w:szCs w:val="24"/>
        </w:rPr>
        <w:t>Ratio made it evident that ESG can reduce the negative effect of ICR on DER.</w:t>
      </w:r>
    </w:p>
    <w:p w14:paraId="0221B9AC" w14:textId="77777777" w:rsidR="007D145F" w:rsidRDefault="007D145F" w:rsidP="007D145F">
      <w:pPr>
        <w:jc w:val="both"/>
        <w:rPr>
          <w:sz w:val="24"/>
          <w:szCs w:val="24"/>
        </w:rPr>
      </w:pPr>
    </w:p>
    <w:p w14:paraId="71C37EB4" w14:textId="2BFD378F" w:rsidR="007D145F" w:rsidRPr="00F8431B" w:rsidRDefault="00F8431B" w:rsidP="007D145F">
      <w:pPr>
        <w:jc w:val="both"/>
        <w:rPr>
          <w:sz w:val="24"/>
          <w:szCs w:val="24"/>
        </w:rPr>
      </w:pPr>
      <w:r w:rsidRPr="00F8431B">
        <w:rPr>
          <w:sz w:val="24"/>
          <w:szCs w:val="24"/>
        </w:rPr>
        <w:t>The regression analysis revealed that while financially stable firms typically rely less on debt financing, the presence of strong ESG practices reduced this effect. In other words, companies with high financial stability and strong ESG performance were more likely to utilize debt in their capital structure, suggesting that ESG initiatives may enhance stakeholder confidence and allow firms greater flexibility in leveraging. Although the model showed statistical significance, the results also indicated that other factors beyond financial stability and ESG performance influence corporate debt decisions</w:t>
      </w:r>
      <w:r>
        <w:rPr>
          <w:sz w:val="24"/>
          <w:szCs w:val="24"/>
        </w:rPr>
        <w:t>.</w:t>
      </w:r>
    </w:p>
    <w:p w14:paraId="5FA32F82" w14:textId="77777777" w:rsidR="007D145F" w:rsidRPr="007C012D" w:rsidRDefault="007D145F" w:rsidP="007D145F">
      <w:pPr>
        <w:jc w:val="both"/>
      </w:pPr>
    </w:p>
    <w:p w14:paraId="7692D1B4" w14:textId="77777777" w:rsidR="00F8431B" w:rsidRDefault="007D145F" w:rsidP="00F8431B">
      <w:pPr>
        <w:pStyle w:val="Heading2"/>
        <w:jc w:val="both"/>
        <w:rPr>
          <w:b/>
          <w:bCs/>
        </w:rPr>
      </w:pPr>
      <w:bookmarkStart w:id="68" w:name="_Toc194903462"/>
      <w:r w:rsidRPr="007C012D">
        <w:rPr>
          <w:b/>
          <w:bCs/>
        </w:rPr>
        <w:t>5.1 Limitations</w:t>
      </w:r>
      <w:bookmarkEnd w:id="68"/>
    </w:p>
    <w:p w14:paraId="682A58B6" w14:textId="7983E35E" w:rsidR="007D145F" w:rsidRPr="00F8431B" w:rsidRDefault="007D145F" w:rsidP="00F8431B">
      <w:pPr>
        <w:pStyle w:val="Heading2"/>
        <w:jc w:val="both"/>
        <w:rPr>
          <w:b/>
          <w:bCs/>
        </w:rPr>
      </w:pPr>
      <w:bookmarkStart w:id="69" w:name="_Toc194903463"/>
      <w:r w:rsidRPr="00BD42EB">
        <w:rPr>
          <w:sz w:val="24"/>
          <w:szCs w:val="24"/>
        </w:rPr>
        <w:t>Despite the robustness of the findings, certain limitations existed</w:t>
      </w:r>
      <w:r>
        <w:rPr>
          <w:sz w:val="24"/>
          <w:szCs w:val="24"/>
        </w:rPr>
        <w:t>,</w:t>
      </w:r>
      <w:r w:rsidRPr="00BD42EB">
        <w:rPr>
          <w:sz w:val="24"/>
          <w:szCs w:val="24"/>
        </w:rPr>
        <w:t xml:space="preserve"> such as;</w:t>
      </w:r>
      <w:bookmarkEnd w:id="69"/>
    </w:p>
    <w:p w14:paraId="3B9A2B10" w14:textId="60F9594A" w:rsidR="007D145F" w:rsidRPr="00BD42EB" w:rsidRDefault="007D145F" w:rsidP="007D145F">
      <w:pPr>
        <w:spacing w:before="240"/>
        <w:jc w:val="both"/>
        <w:rPr>
          <w:sz w:val="24"/>
          <w:szCs w:val="24"/>
        </w:rPr>
      </w:pPr>
      <w:r w:rsidRPr="00BD42EB">
        <w:rPr>
          <w:sz w:val="24"/>
          <w:szCs w:val="24"/>
        </w:rPr>
        <w:t xml:space="preserve">(1) The model's strength was limited to </w:t>
      </w:r>
      <w:r>
        <w:rPr>
          <w:sz w:val="24"/>
          <w:szCs w:val="24"/>
        </w:rPr>
        <w:t>an</w:t>
      </w:r>
      <w:r w:rsidRPr="00BD42EB">
        <w:rPr>
          <w:sz w:val="24"/>
          <w:szCs w:val="24"/>
        </w:rPr>
        <w:t xml:space="preserve"> 11.55% explanation rate of leverage variations since additional financial elements and sector-specific factors determined capital structure choices.</w:t>
      </w:r>
      <w:r>
        <w:rPr>
          <w:sz w:val="24"/>
          <w:szCs w:val="24"/>
        </w:rPr>
        <w:t xml:space="preserve"> </w:t>
      </w:r>
      <w:r w:rsidRPr="00BD42EB">
        <w:rPr>
          <w:sz w:val="24"/>
          <w:szCs w:val="24"/>
        </w:rPr>
        <w:t>(2) The study confined analysis to just oil and gas firms</w:t>
      </w:r>
      <w:r>
        <w:rPr>
          <w:sz w:val="24"/>
          <w:szCs w:val="24"/>
        </w:rPr>
        <w:t>,</w:t>
      </w:r>
      <w:r w:rsidRPr="00BD42EB">
        <w:rPr>
          <w:sz w:val="24"/>
          <w:szCs w:val="24"/>
        </w:rPr>
        <w:t xml:space="preserve"> so researchers could not generalize the findings to other types of industries</w:t>
      </w:r>
      <w:r>
        <w:rPr>
          <w:sz w:val="24"/>
          <w:szCs w:val="24"/>
        </w:rPr>
        <w:t>.</w:t>
      </w:r>
      <w:r w:rsidRPr="00BD42EB">
        <w:rPr>
          <w:sz w:val="24"/>
          <w:szCs w:val="24"/>
        </w:rPr>
        <w:t xml:space="preserve"> (3) Adding liquidity ratios and profitability ratios to the model would have strengthened its ability to generate predictions.</w:t>
      </w:r>
      <w:r>
        <w:rPr>
          <w:sz w:val="24"/>
          <w:szCs w:val="24"/>
        </w:rPr>
        <w:t xml:space="preserve"> </w:t>
      </w:r>
      <w:r w:rsidRPr="00BD42EB">
        <w:rPr>
          <w:sz w:val="24"/>
          <w:szCs w:val="24"/>
        </w:rPr>
        <w:t>(4) Furthermore, the dataset could only accommodate the oil and gas firms that were liste</w:t>
      </w:r>
      <w:r w:rsidR="00B22EFF">
        <w:rPr>
          <w:sz w:val="24"/>
          <w:szCs w:val="24"/>
        </w:rPr>
        <w:t>d in the S&amp;P Global Oil and</w:t>
      </w:r>
      <w:r w:rsidRPr="00BD42EB">
        <w:rPr>
          <w:sz w:val="24"/>
          <w:szCs w:val="24"/>
        </w:rPr>
        <w:t xml:space="preserve"> Index</w:t>
      </w:r>
      <w:r>
        <w:rPr>
          <w:sz w:val="24"/>
          <w:szCs w:val="24"/>
        </w:rPr>
        <w:t>,</w:t>
      </w:r>
      <w:r w:rsidRPr="00BD42EB">
        <w:rPr>
          <w:sz w:val="24"/>
          <w:szCs w:val="24"/>
        </w:rPr>
        <w:t xml:space="preserve"> overlooking oil and gas giants from the </w:t>
      </w:r>
      <w:r>
        <w:rPr>
          <w:sz w:val="24"/>
          <w:szCs w:val="24"/>
        </w:rPr>
        <w:t>Middle East</w:t>
      </w:r>
      <w:r w:rsidRPr="00BD42EB">
        <w:rPr>
          <w:sz w:val="24"/>
          <w:szCs w:val="24"/>
        </w:rPr>
        <w:t>.</w:t>
      </w:r>
    </w:p>
    <w:p w14:paraId="2472E2B3" w14:textId="03A3DA5E" w:rsidR="007D145F" w:rsidRPr="00BD42EB" w:rsidRDefault="007D145F" w:rsidP="007D145F">
      <w:pPr>
        <w:spacing w:before="240"/>
        <w:jc w:val="both"/>
        <w:rPr>
          <w:sz w:val="24"/>
          <w:szCs w:val="24"/>
        </w:rPr>
      </w:pPr>
      <w:r w:rsidRPr="00BD42EB">
        <w:rPr>
          <w:sz w:val="24"/>
          <w:szCs w:val="24"/>
        </w:rPr>
        <w:t>These limitations call for further study to create a broader impact across oil and gas and other industries.</w:t>
      </w:r>
      <w:r w:rsidRPr="00BD42EB">
        <w:rPr>
          <w:sz w:val="24"/>
          <w:szCs w:val="24"/>
        </w:rPr>
        <w:br/>
      </w:r>
    </w:p>
    <w:p w14:paraId="666FB75B" w14:textId="77777777" w:rsidR="007D145F" w:rsidRDefault="007D145F" w:rsidP="007D145F">
      <w:pPr>
        <w:pStyle w:val="Heading2"/>
        <w:rPr>
          <w:b/>
          <w:bCs/>
        </w:rPr>
      </w:pPr>
      <w:bookmarkStart w:id="70" w:name="_ilq85lp9xri6"/>
      <w:bookmarkStart w:id="71" w:name="_Toc194903464"/>
      <w:bookmarkEnd w:id="70"/>
      <w:r w:rsidRPr="007D145F">
        <w:rPr>
          <w:b/>
          <w:bCs/>
        </w:rPr>
        <w:t>5.2 Future Scope</w:t>
      </w:r>
      <w:bookmarkEnd w:id="71"/>
    </w:p>
    <w:p w14:paraId="71B7C5BC" w14:textId="77777777" w:rsidR="007D145F" w:rsidRPr="007D145F" w:rsidRDefault="007D145F" w:rsidP="007D145F">
      <w:pPr>
        <w:pStyle w:val="Heading2"/>
        <w:rPr>
          <w:b/>
          <w:bCs/>
        </w:rPr>
      </w:pPr>
    </w:p>
    <w:p w14:paraId="66D9FF17" w14:textId="77777777" w:rsidR="007D145F" w:rsidRDefault="007D145F" w:rsidP="007D145F">
      <w:pPr>
        <w:jc w:val="both"/>
        <w:rPr>
          <w:sz w:val="24"/>
          <w:szCs w:val="24"/>
        </w:rPr>
      </w:pPr>
      <w:r w:rsidRPr="0090542C">
        <w:rPr>
          <w:sz w:val="24"/>
          <w:szCs w:val="24"/>
        </w:rPr>
        <w:t>Research demands evaluation of the connection between ESG performance and corporate leverage across all industries to verify its consistency. Research into the ESG-leverage relationship should include more than oil and gas organizations since studying different industries</w:t>
      </w:r>
      <w:r>
        <w:rPr>
          <w:sz w:val="24"/>
          <w:szCs w:val="24"/>
        </w:rPr>
        <w:t>,</w:t>
      </w:r>
      <w:r w:rsidRPr="0090542C">
        <w:rPr>
          <w:sz w:val="24"/>
          <w:szCs w:val="24"/>
        </w:rPr>
        <w:t xml:space="preserve"> including manufacturing technology</w:t>
      </w:r>
      <w:r>
        <w:rPr>
          <w:sz w:val="24"/>
          <w:szCs w:val="24"/>
        </w:rPr>
        <w:t>,</w:t>
      </w:r>
      <w:r w:rsidRPr="0090542C">
        <w:rPr>
          <w:sz w:val="24"/>
          <w:szCs w:val="24"/>
        </w:rPr>
        <w:t xml:space="preserve"> renewable energy</w:t>
      </w:r>
      <w:r>
        <w:rPr>
          <w:sz w:val="24"/>
          <w:szCs w:val="24"/>
        </w:rPr>
        <w:t>,</w:t>
      </w:r>
      <w:r w:rsidRPr="0090542C">
        <w:rPr>
          <w:sz w:val="24"/>
          <w:szCs w:val="24"/>
        </w:rPr>
        <w:t xml:space="preserve"> and financial services</w:t>
      </w:r>
      <w:r>
        <w:rPr>
          <w:sz w:val="24"/>
          <w:szCs w:val="24"/>
        </w:rPr>
        <w:t>,</w:t>
      </w:r>
      <w:r w:rsidRPr="0090542C">
        <w:rPr>
          <w:sz w:val="24"/>
          <w:szCs w:val="24"/>
        </w:rPr>
        <w:t xml:space="preserve"> would indicate if these patterns are specific to particular sectors and industries or universal throughout sectors. The comparison of various industries based on their specific characteristics will provide essential information about which sectoral properties impact the relationship between ESG and leverage. A detailed approach of studying firm behaviors </w:t>
      </w:r>
      <w:r>
        <w:rPr>
          <w:sz w:val="24"/>
          <w:szCs w:val="24"/>
        </w:rPr>
        <w:t>over</w:t>
      </w:r>
      <w:r w:rsidRPr="0090542C">
        <w:rPr>
          <w:sz w:val="24"/>
          <w:szCs w:val="24"/>
        </w:rPr>
        <w:t xml:space="preserve"> multiple years would improve the comprehension of ESG integrations in financial strategy development across time. The method would enable scientists to monitor organizations as they restructure capital allocation processes following economic downturns, political shifts</w:t>
      </w:r>
      <w:r>
        <w:rPr>
          <w:sz w:val="24"/>
          <w:szCs w:val="24"/>
        </w:rPr>
        <w:t>,</w:t>
      </w:r>
      <w:r w:rsidRPr="0090542C">
        <w:rPr>
          <w:sz w:val="24"/>
          <w:szCs w:val="24"/>
        </w:rPr>
        <w:t xml:space="preserve"> and new ESG compliance requirements. The temporal analysis provides indications about how ESG integration impacts financial practice sustainability independently from momentary external pressures. Future models can achieve better predictive power and analytical depth through the inclusion of financial indicators that include Return on Assets (ROA) and Return on Equity (ROE)</w:t>
      </w:r>
      <w:r>
        <w:rPr>
          <w:sz w:val="24"/>
          <w:szCs w:val="24"/>
        </w:rPr>
        <w:t>,</w:t>
      </w:r>
      <w:r w:rsidRPr="0090542C">
        <w:rPr>
          <w:sz w:val="24"/>
          <w:szCs w:val="24"/>
        </w:rPr>
        <w:t xml:space="preserve"> along with the Current and Quick ratios and metrics for cash flow stability. The inclusion of these financial indicators will help researchers </w:t>
      </w:r>
      <w:r>
        <w:rPr>
          <w:sz w:val="24"/>
          <w:szCs w:val="24"/>
        </w:rPr>
        <w:t>better understand</w:t>
      </w:r>
      <w:r w:rsidRPr="0090542C">
        <w:rPr>
          <w:sz w:val="24"/>
          <w:szCs w:val="24"/>
        </w:rPr>
        <w:t xml:space="preserve"> how internal financial health relationships with ESG performance measure and affect capital structure selections. </w:t>
      </w:r>
      <w:r>
        <w:rPr>
          <w:sz w:val="24"/>
          <w:szCs w:val="24"/>
        </w:rPr>
        <w:t>The researcher's</w:t>
      </w:r>
      <w:r w:rsidRPr="0090542C">
        <w:rPr>
          <w:sz w:val="24"/>
          <w:szCs w:val="24"/>
        </w:rPr>
        <w:t xml:space="preserve"> capability to track the intricate financial-sustainability relationship improves because better financial modeling authenticity allows them to analyze effective connections between economic basics and sustainability strategies.</w:t>
      </w:r>
    </w:p>
    <w:p w14:paraId="4FFEB3F6" w14:textId="77777777" w:rsidR="007D145F" w:rsidRDefault="007D145F" w:rsidP="007D145F">
      <w:pPr>
        <w:spacing w:before="240" w:after="240"/>
        <w:jc w:val="both"/>
        <w:rPr>
          <w:sz w:val="24"/>
          <w:szCs w:val="24"/>
        </w:rPr>
      </w:pPr>
      <w:r w:rsidRPr="0090542C">
        <w:rPr>
          <w:sz w:val="24"/>
          <w:szCs w:val="24"/>
        </w:rPr>
        <w:t>Future studies must investigate the way governmental policies</w:t>
      </w:r>
      <w:r>
        <w:rPr>
          <w:sz w:val="24"/>
          <w:szCs w:val="24"/>
        </w:rPr>
        <w:t>,</w:t>
      </w:r>
      <w:r w:rsidRPr="0090542C">
        <w:rPr>
          <w:sz w:val="24"/>
          <w:szCs w:val="24"/>
        </w:rPr>
        <w:t xml:space="preserve"> along with investor emotions</w:t>
      </w:r>
      <w:r>
        <w:rPr>
          <w:sz w:val="24"/>
          <w:szCs w:val="24"/>
        </w:rPr>
        <w:t>,</w:t>
      </w:r>
      <w:r w:rsidRPr="0090542C">
        <w:rPr>
          <w:sz w:val="24"/>
          <w:szCs w:val="24"/>
        </w:rPr>
        <w:t xml:space="preserve"> affect businesses when they make financial choices based on ESG considerations. A thorough comprehension of outside factors proves essential because it explains how broader market patterns affect specific financial decision-maki</w:t>
      </w:r>
      <w:r>
        <w:rPr>
          <w:sz w:val="24"/>
          <w:szCs w:val="24"/>
        </w:rPr>
        <w:t>ng at the lower level, such as g</w:t>
      </w:r>
      <w:r w:rsidRPr="0090542C">
        <w:rPr>
          <w:sz w:val="24"/>
          <w:szCs w:val="24"/>
        </w:rPr>
        <w:t xml:space="preserve">overnment-led programs </w:t>
      </w:r>
      <w:r>
        <w:rPr>
          <w:sz w:val="24"/>
          <w:szCs w:val="24"/>
        </w:rPr>
        <w:t>that</w:t>
      </w:r>
      <w:r w:rsidRPr="0090542C">
        <w:rPr>
          <w:sz w:val="24"/>
          <w:szCs w:val="24"/>
        </w:rPr>
        <w:t xml:space="preserve"> offer tax benefits for sustainable investment and carbon price schemes</w:t>
      </w:r>
      <w:r>
        <w:rPr>
          <w:sz w:val="24"/>
          <w:szCs w:val="24"/>
        </w:rPr>
        <w:t>,</w:t>
      </w:r>
      <w:r w:rsidRPr="0090542C">
        <w:rPr>
          <w:sz w:val="24"/>
          <w:szCs w:val="24"/>
        </w:rPr>
        <w:t xml:space="preserve"> along with sustainability-based subsidies </w:t>
      </w:r>
      <w:r>
        <w:rPr>
          <w:sz w:val="24"/>
          <w:szCs w:val="24"/>
        </w:rPr>
        <w:t xml:space="preserve">that </w:t>
      </w:r>
      <w:r w:rsidRPr="0090542C">
        <w:rPr>
          <w:sz w:val="24"/>
          <w:szCs w:val="24"/>
        </w:rPr>
        <w:t>provide potent outside incentives for firms to rearrange their capital toward ESG objectives. ESG-oriented asset managers together with institutional investors who emphasize sustainable practices</w:t>
      </w:r>
      <w:r>
        <w:rPr>
          <w:sz w:val="24"/>
          <w:szCs w:val="24"/>
        </w:rPr>
        <w:t>,</w:t>
      </w:r>
      <w:r w:rsidRPr="0090542C">
        <w:rPr>
          <w:sz w:val="24"/>
          <w:szCs w:val="24"/>
        </w:rPr>
        <w:t xml:space="preserve"> have taken over capital markets</w:t>
      </w:r>
      <w:r>
        <w:rPr>
          <w:sz w:val="24"/>
          <w:szCs w:val="24"/>
        </w:rPr>
        <w:t>,</w:t>
      </w:r>
      <w:r w:rsidRPr="0090542C">
        <w:rPr>
          <w:sz w:val="24"/>
          <w:szCs w:val="24"/>
        </w:rPr>
        <w:t xml:space="preserve"> thus building value-driven ecosystems. </w:t>
      </w:r>
    </w:p>
    <w:p w14:paraId="794AD68E" w14:textId="77777777" w:rsidR="007D145F" w:rsidRPr="00986069" w:rsidRDefault="007D145F" w:rsidP="007D145F">
      <w:pPr>
        <w:spacing w:before="240" w:after="240"/>
        <w:jc w:val="both"/>
        <w:rPr>
          <w:sz w:val="24"/>
          <w:szCs w:val="24"/>
        </w:rPr>
      </w:pPr>
      <w:r w:rsidRPr="0090542C">
        <w:rPr>
          <w:sz w:val="24"/>
          <w:szCs w:val="24"/>
        </w:rPr>
        <w:t>Further studies must investigate the assessment of ESG disclosures regarding their reliability and reported quality standards. The increasing trend of ESG reporting has raised new problems regarding greenwashing and differing reporting standards. Research should investigate the relationship between authentic disclosure practices and third-party verification processes and rating methods on trust development between investors and capital market access. The relationship between transparent ESG reporting with verification and lower capital costs</w:t>
      </w:r>
      <w:r>
        <w:rPr>
          <w:sz w:val="24"/>
          <w:szCs w:val="24"/>
        </w:rPr>
        <w:t>,</w:t>
      </w:r>
      <w:r w:rsidRPr="0090542C">
        <w:rPr>
          <w:sz w:val="24"/>
          <w:szCs w:val="24"/>
        </w:rPr>
        <w:t xml:space="preserve"> together with more favorable debt terms</w:t>
      </w:r>
      <w:r>
        <w:rPr>
          <w:sz w:val="24"/>
          <w:szCs w:val="24"/>
        </w:rPr>
        <w:t>,</w:t>
      </w:r>
      <w:r w:rsidRPr="0090542C">
        <w:rPr>
          <w:sz w:val="24"/>
          <w:szCs w:val="24"/>
        </w:rPr>
        <w:t xml:space="preserve"> should be evaluated to establish accountability in sustainable finance. </w:t>
      </w:r>
    </w:p>
    <w:p w14:paraId="4715FEE5" w14:textId="77777777" w:rsidR="007D145F" w:rsidRPr="004D119C" w:rsidRDefault="007D145F" w:rsidP="007D145F">
      <w:pPr>
        <w:jc w:val="both"/>
      </w:pPr>
    </w:p>
    <w:p w14:paraId="356238DE" w14:textId="77777777" w:rsidR="007D145F" w:rsidRDefault="007D145F" w:rsidP="007D145F">
      <w:pPr>
        <w:jc w:val="both"/>
      </w:pPr>
    </w:p>
    <w:p w14:paraId="4536D569" w14:textId="77777777" w:rsidR="007D145F" w:rsidRDefault="007D145F" w:rsidP="0033720D">
      <w:pPr>
        <w:pStyle w:val="Heading2"/>
        <w:ind w:left="0"/>
        <w:rPr>
          <w:b/>
          <w:bCs/>
        </w:rPr>
      </w:pPr>
      <w:bookmarkStart w:id="72" w:name="_Toc194903465"/>
      <w:r w:rsidRPr="00970BCD">
        <w:rPr>
          <w:b/>
          <w:bCs/>
        </w:rPr>
        <w:t>References</w:t>
      </w:r>
      <w:bookmarkEnd w:id="72"/>
    </w:p>
    <w:p w14:paraId="0CDC379F" w14:textId="3749D4B4" w:rsidR="00E90521" w:rsidRDefault="00E90521" w:rsidP="0056380F">
      <w:pPr>
        <w:pStyle w:val="NormalWeb"/>
      </w:pPr>
      <w:r>
        <w:t xml:space="preserve">About | Task Force on Climate-Related Financial Disclosures (TCFD). (2023b, December 5). </w:t>
      </w:r>
      <w:r>
        <w:rPr>
          <w:rStyle w:val="Emphasis"/>
        </w:rPr>
        <w:t>Task Force on Climate-Related Financial Disclosures</w:t>
      </w:r>
      <w:r>
        <w:t xml:space="preserve">. https://www.fsb-tcfd.org/about/ </w:t>
      </w:r>
    </w:p>
    <w:p w14:paraId="774E98CA" w14:textId="77777777" w:rsidR="00E90521" w:rsidRDefault="00E90521" w:rsidP="00E90521">
      <w:pPr>
        <w:pStyle w:val="NormalWeb"/>
      </w:pPr>
      <w:r>
        <w:t xml:space="preserve">Alvarez-Perez, H., &amp; Fuentes, R. (2024). ESG disclosure and financial performance in debt market: Evidence from the oil and gas industry. </w:t>
      </w:r>
      <w:r>
        <w:rPr>
          <w:rStyle w:val="Emphasis"/>
        </w:rPr>
        <w:t>Academia Revista Latinoamericana De Administración, 37</w:t>
      </w:r>
      <w:r>
        <w:t>(4), 634–653. doi:10.1108/arla-07-2024-0135</w:t>
      </w:r>
    </w:p>
    <w:p w14:paraId="1D4868E8" w14:textId="77777777" w:rsidR="00E90521" w:rsidRDefault="00E90521" w:rsidP="00E90521">
      <w:pPr>
        <w:pStyle w:val="NormalWeb"/>
      </w:pPr>
      <w:r>
        <w:t>Amenya, C. T., &amp; Fon, J. (2022). ESG and the cost of capital: Does disclosure of ESG performance affect the cost of equity and cost of debt? (Master’s thesis). Oslo Business School &amp; Oslo Metropolitan University. https://oda.oslomet.no/oda-xmlui/bitstream/handle/11250/3030612/Amenya_ChristopherToft-Fon_Joakim.pdf?sequence=1&amp;isAllowed=y</w:t>
      </w:r>
    </w:p>
    <w:p w14:paraId="7DED58EE" w14:textId="77777777" w:rsidR="00E90521" w:rsidRDefault="00E90521" w:rsidP="00E90521">
      <w:pPr>
        <w:pStyle w:val="NormalWeb"/>
      </w:pPr>
      <w:r>
        <w:t xml:space="preserve">Amiraslani, H., Lins, K. V., Servaes, H., &amp; Tamayo, A. (2022b). Trust, social capital, and the bond market benefits of ESG performance. </w:t>
      </w:r>
      <w:r>
        <w:rPr>
          <w:rStyle w:val="Emphasis"/>
        </w:rPr>
        <w:t>Review of Accounting Studies, 28</w:t>
      </w:r>
      <w:r>
        <w:t>(2), 421–462. doi:10.1007/s11142-021-09646-0</w:t>
      </w:r>
    </w:p>
    <w:p w14:paraId="16DC1438" w14:textId="6E284970" w:rsidR="00201C5B" w:rsidRDefault="00201C5B" w:rsidP="00E90521">
      <w:pPr>
        <w:pStyle w:val="NormalWeb"/>
      </w:pPr>
      <w:r w:rsidRPr="00201C5B">
        <w:t>Apergis, N., Poufinas, T., &amp; Antonopoulos, A. (2022). ESG scores and cost of debt. Energy Economics, 112, 106186. https://doi.org/10.1016/j.eneco.2022.106186</w:t>
      </w:r>
    </w:p>
    <w:p w14:paraId="15799BB3" w14:textId="77777777" w:rsidR="00E90521" w:rsidRDefault="00E90521" w:rsidP="00E90521">
      <w:pPr>
        <w:pStyle w:val="NormalWeb"/>
      </w:pPr>
      <w:r>
        <w:t xml:space="preserve">Arora, A., &amp; Sharma, D. (2022). Do Environmental, Social and Governance (ESG) performance scores reduce the cost of debt? Evidence from Indian firms. </w:t>
      </w:r>
      <w:r>
        <w:rPr>
          <w:rStyle w:val="Emphasis"/>
        </w:rPr>
        <w:t>Australasian Accounting Business and Finance Journal, 16</w:t>
      </w:r>
      <w:r>
        <w:t>(5), 4–18. doi:10.14453/aabfj.v16i5.02</w:t>
      </w:r>
    </w:p>
    <w:p w14:paraId="7556D19B" w14:textId="77777777" w:rsidR="00E90521" w:rsidRDefault="00E90521" w:rsidP="00E90521">
      <w:pPr>
        <w:pStyle w:val="NormalWeb"/>
      </w:pPr>
      <w:r>
        <w:t xml:space="preserve">Broadstock, D. C., Chan, K., Cheng, L. T., &amp; Wang, X. (2020). The role of ESG performance during times of financial crisis: Evidence from COVID-19 in China. </w:t>
      </w:r>
      <w:r>
        <w:rPr>
          <w:rStyle w:val="Emphasis"/>
        </w:rPr>
        <w:t>Finance Research Letters, 38</w:t>
      </w:r>
      <w:r>
        <w:t>, 101716. doi:10.1016/j.frl.2020.101716</w:t>
      </w:r>
    </w:p>
    <w:p w14:paraId="1EB40E43" w14:textId="2EE06860" w:rsidR="00E90521" w:rsidRDefault="00E90521" w:rsidP="0056380F">
      <w:pPr>
        <w:pStyle w:val="NormalWeb"/>
      </w:pPr>
      <w:r>
        <w:t>Business Reporting on the SDGs: An Analysis of the Goals and Targets - updated edition 2022 | UN Global Compact. (n.d.).</w:t>
      </w:r>
      <w:r w:rsidRPr="0056380F">
        <w:t xml:space="preserve"> </w:t>
      </w:r>
      <w:hyperlink r:id="rId12" w:history="1">
        <w:r w:rsidR="0056380F" w:rsidRPr="0056380F">
          <w:rPr>
            <w:rStyle w:val="Hyperlink"/>
            <w:color w:val="auto"/>
            <w:u w:val="none"/>
          </w:rPr>
          <w:t>https://unglobalcompact.org/library/5361</w:t>
        </w:r>
      </w:hyperlink>
    </w:p>
    <w:p w14:paraId="029DD077" w14:textId="51CA31E1" w:rsidR="0056380F" w:rsidRDefault="0056380F" w:rsidP="0056380F">
      <w:pPr>
        <w:pStyle w:val="NormalWeb"/>
      </w:pPr>
      <w:r w:rsidRPr="0056380F">
        <w:t xml:space="preserve">Cgep, C. |. (2023, July 27). </w:t>
      </w:r>
      <w:r w:rsidRPr="0056380F">
        <w:rPr>
          <w:i/>
          <w:iCs/>
        </w:rPr>
        <w:t>The Intersection of Debt and Climate in Emerging Market and Developing Economies: Roundtable report</w:t>
      </w:r>
      <w:r w:rsidRPr="0056380F">
        <w:t>. Center on Global Energy Policy at Columbia University SIPA | CGEP. https://www.energypolicy.columbia.edu/publications/the-intersection-of-debt-and-climate-in-emerging-market-and-developing-economies-roundtable-report/</w:t>
      </w:r>
      <w:r>
        <w:t>myers</w:t>
      </w:r>
    </w:p>
    <w:p w14:paraId="7C93E9FE" w14:textId="77777777" w:rsidR="00E90521" w:rsidRDefault="00E90521" w:rsidP="00E90521">
      <w:pPr>
        <w:pStyle w:val="NormalWeb"/>
      </w:pPr>
      <w:r>
        <w:t xml:space="preserve">Chava, S. (2014). Environmental externalities and cost of capital. </w:t>
      </w:r>
      <w:r>
        <w:rPr>
          <w:rStyle w:val="Emphasis"/>
        </w:rPr>
        <w:t>Management Science, 60</w:t>
      </w:r>
      <w:r>
        <w:t>(9), 2223–2247. doi:10.1287/mnsc.2013.1863</w:t>
      </w:r>
    </w:p>
    <w:p w14:paraId="5184A451" w14:textId="77777777" w:rsidR="00E90521" w:rsidRDefault="00E90521" w:rsidP="00E90521">
      <w:pPr>
        <w:pStyle w:val="NormalWeb"/>
      </w:pPr>
      <w:r>
        <w:t xml:space="preserve">Dimitriou, D., Kenourgios, D., Simos, T., &amp; Tsioutsios, A. (2024). The implications of non‐synchronous trading in G‐7 financial markets. </w:t>
      </w:r>
      <w:r>
        <w:rPr>
          <w:rStyle w:val="Emphasis"/>
        </w:rPr>
        <w:t>International Journal of Finance &amp; Economics</w:t>
      </w:r>
      <w:r>
        <w:t>. doi:10.1002/ijfe.2936</w:t>
      </w:r>
    </w:p>
    <w:p w14:paraId="68A098C1" w14:textId="77777777" w:rsidR="00E90521" w:rsidRDefault="00E90521" w:rsidP="00E90521">
      <w:pPr>
        <w:pStyle w:val="NormalWeb"/>
      </w:pPr>
      <w:r>
        <w:t xml:space="preserve">E. Aruna, F., G. Orji, T., &amp; Ndubuisi Amahalu, N. (n.d.). Debt financing and environmental sustainability disclosure of listed oil and gas firms in Nigeria. </w:t>
      </w:r>
      <w:r>
        <w:rPr>
          <w:rStyle w:val="Emphasis"/>
        </w:rPr>
        <w:t>Journal of Global Accounting</w:t>
      </w:r>
      <w:r>
        <w:t>. https://journals.unizik.edu.ng/joga/article/view/4152/3384</w:t>
      </w:r>
    </w:p>
    <w:p w14:paraId="74112271" w14:textId="77777777" w:rsidR="00E90521" w:rsidRDefault="00E90521" w:rsidP="00E90521">
      <w:pPr>
        <w:pStyle w:val="NormalWeb"/>
      </w:pPr>
      <w:r>
        <w:t xml:space="preserve">Eliwa, Y., Aboud, A., &amp; Saleh, A. (2019). ESG practices and the cost of debt: Evidence from EU countries. </w:t>
      </w:r>
      <w:r>
        <w:rPr>
          <w:rStyle w:val="Emphasis"/>
        </w:rPr>
        <w:t>Critical Perspectives on Accounting, 79</w:t>
      </w:r>
      <w:r>
        <w:t>, 102097. doi:10.1016/j.cpa.2019.102097</w:t>
      </w:r>
    </w:p>
    <w:p w14:paraId="50632C55" w14:textId="77777777" w:rsidR="00E90521" w:rsidRDefault="00E90521" w:rsidP="0056380F">
      <w:pPr>
        <w:pStyle w:val="NormalWeb"/>
      </w:pPr>
      <w:r>
        <w:t xml:space="preserve">European Commission. (2019). </w:t>
      </w:r>
      <w:r>
        <w:rPr>
          <w:rStyle w:val="Emphasis"/>
        </w:rPr>
        <w:t>The European Green Deal</w:t>
      </w:r>
      <w:r>
        <w:t>. https://eur-lex.europa.eu/resource.html?uri=cellar:b828d165-1c22-11ea-8c1f-01aa75ed71a1.0002.02/DOC_1&amp;format=PDF</w:t>
      </w:r>
    </w:p>
    <w:p w14:paraId="07A88649" w14:textId="22A14772" w:rsidR="00E90521" w:rsidRDefault="00E90521" w:rsidP="00E90521">
      <w:pPr>
        <w:pStyle w:val="NormalWeb"/>
      </w:pPr>
      <w:r>
        <w:t xml:space="preserve">Farah, I., Amin, C., &amp; Pramudianto. (2021). View of the effect of debt to asset ratio, long term debt to equity ratio and time interest earned ratio on profitability. </w:t>
      </w:r>
      <w:hyperlink r:id="rId13" w:history="1">
        <w:r w:rsidR="0056380F" w:rsidRPr="00307772">
          <w:rPr>
            <w:rStyle w:val="Hyperlink"/>
            <w:color w:val="auto"/>
            <w:u w:val="none"/>
          </w:rPr>
          <w:t>https://bbijbm.lppmbinabangsa.ac.id/index.php/home/article/view/8/7</w:t>
        </w:r>
      </w:hyperlink>
    </w:p>
    <w:p w14:paraId="3ADEABAF" w14:textId="77777777" w:rsidR="0056380F" w:rsidRPr="0056380F" w:rsidRDefault="0056380F" w:rsidP="0056380F">
      <w:pPr>
        <w:pStyle w:val="NormalWeb"/>
      </w:pPr>
      <w:r w:rsidRPr="0056380F">
        <w:t xml:space="preserve">Greenwald, D. (2019). Firm debt covenants and the macroeconomy: the interest coverage channel. </w:t>
      </w:r>
      <w:r w:rsidRPr="0056380F">
        <w:rPr>
          <w:i/>
          <w:iCs/>
        </w:rPr>
        <w:t>SSRN Electronic Journal</w:t>
      </w:r>
      <w:r w:rsidRPr="0056380F">
        <w:t>. https://doi.org/10.2139/ssrn.3535221</w:t>
      </w:r>
    </w:p>
    <w:p w14:paraId="673443FB" w14:textId="77777777" w:rsidR="00E90521" w:rsidRDefault="00E90521" w:rsidP="00E90521">
      <w:pPr>
        <w:pStyle w:val="NormalWeb"/>
      </w:pPr>
      <w:r>
        <w:t xml:space="preserve">Freeman, R. E. (1984). </w:t>
      </w:r>
      <w:r>
        <w:rPr>
          <w:rStyle w:val="Emphasis"/>
        </w:rPr>
        <w:t>Strategic management: A stakeholder approach</w:t>
      </w:r>
      <w:r>
        <w:t>.</w:t>
      </w:r>
    </w:p>
    <w:p w14:paraId="5B20ED7E" w14:textId="77777777" w:rsidR="00E90521" w:rsidRDefault="00E90521" w:rsidP="00E90521">
      <w:pPr>
        <w:pStyle w:val="NormalWeb"/>
      </w:pPr>
      <w:r>
        <w:t xml:space="preserve">Friede, G., Busch, T., &amp; Bassen, A. (2015). ESG and financial performance: Aggregated evidence from more than 2000 empirical studies. </w:t>
      </w:r>
      <w:r>
        <w:rPr>
          <w:rStyle w:val="Emphasis"/>
        </w:rPr>
        <w:t>Journal of Sustainable Finance &amp; Investment, 5</w:t>
      </w:r>
      <w:r>
        <w:t>(4), 210–233. doi:10.1080/20430795.2015.1118917</w:t>
      </w:r>
    </w:p>
    <w:p w14:paraId="1943D78A" w14:textId="77777777" w:rsidR="00E90521" w:rsidRDefault="00E90521" w:rsidP="00E90521">
      <w:pPr>
        <w:pStyle w:val="NormalWeb"/>
      </w:pPr>
      <w:r>
        <w:t xml:space="preserve">Giese, G., Lee, L., Melas, D., Nagy, Z., &amp; Nishikawa, L. (2019). Foundations of ESG investing: How ESG affects equity valuation, risk, and performance. </w:t>
      </w:r>
      <w:r>
        <w:rPr>
          <w:rStyle w:val="Emphasis"/>
        </w:rPr>
        <w:t>The Journal of Portfolio Management, 45</w:t>
      </w:r>
      <w:r>
        <w:t>(5), 69–83. doi:10.3905/jpm.2019.45.5.069</w:t>
      </w:r>
    </w:p>
    <w:p w14:paraId="5AB077A9" w14:textId="77777777" w:rsidR="00E90521" w:rsidRDefault="00E90521" w:rsidP="00E90521">
      <w:pPr>
        <w:pStyle w:val="NormalWeb"/>
      </w:pPr>
      <w:r>
        <w:t xml:space="preserve">Gracia, O., &amp; Siregar, S. V. (2021). Sustainability practices and the cost of debt: Evidence from ASEAN countries. </w:t>
      </w:r>
      <w:r>
        <w:rPr>
          <w:rStyle w:val="Emphasis"/>
        </w:rPr>
        <w:t>Journal of Cleaner Production, 300</w:t>
      </w:r>
      <w:r>
        <w:t>, 126942. doi:10.1016/j.jclepro.2021.126942</w:t>
      </w:r>
    </w:p>
    <w:p w14:paraId="3EEB86E1" w14:textId="77777777" w:rsidR="00E90521" w:rsidRDefault="00E90521" w:rsidP="00E90521">
      <w:pPr>
        <w:pStyle w:val="NormalWeb"/>
      </w:pPr>
      <w:r>
        <w:t xml:space="preserve">Grewal, J., &amp; Serafeim, G. (2020). Research on corporate sustainability: Review and directions for future research. </w:t>
      </w:r>
      <w:r>
        <w:rPr>
          <w:rStyle w:val="Emphasis"/>
        </w:rPr>
        <w:t>SSRN Electronic Journal</w:t>
      </w:r>
      <w:r>
        <w:t>. doi:10.2139/ssrn.3687330</w:t>
      </w:r>
    </w:p>
    <w:p w14:paraId="6CA24292" w14:textId="77777777" w:rsidR="00E90521" w:rsidRDefault="00E90521" w:rsidP="00E90521">
      <w:pPr>
        <w:pStyle w:val="NormalWeb"/>
      </w:pPr>
      <w:r>
        <w:t>GRI - Global Sustainability Standards Board. (n.d.). https://www.globalreporting.org/standards/global-sustainability-standards-board/</w:t>
      </w:r>
    </w:p>
    <w:p w14:paraId="27E0DD44" w14:textId="77777777" w:rsidR="00E90521" w:rsidRDefault="00E90521" w:rsidP="00E90521">
      <w:pPr>
        <w:pStyle w:val="NormalWeb"/>
      </w:pPr>
      <w:r>
        <w:t>GRI - Home. (n.d.). https://www.globalreporting.org/</w:t>
      </w:r>
    </w:p>
    <w:p w14:paraId="789547DA" w14:textId="77777777" w:rsidR="00E90521" w:rsidRDefault="00E90521" w:rsidP="00E90521">
      <w:pPr>
        <w:pStyle w:val="NormalWeb"/>
      </w:pPr>
      <w:r>
        <w:t>GRI - Home. (2016). https://www.globalreporting.org/</w:t>
      </w:r>
    </w:p>
    <w:p w14:paraId="11F26159" w14:textId="77777777" w:rsidR="00E90521" w:rsidRDefault="00E90521" w:rsidP="00E90521">
      <w:pPr>
        <w:pStyle w:val="NormalWeb"/>
      </w:pPr>
      <w:r>
        <w:t>GSIA | Welcome to the Global Sustainable Investment Alliance. (2020). https://www.gsi-alliance.org/</w:t>
      </w:r>
    </w:p>
    <w:p w14:paraId="1A8D3D38" w14:textId="77777777" w:rsidR="00E90521" w:rsidRDefault="00E90521" w:rsidP="00E90521">
      <w:pPr>
        <w:pStyle w:val="NormalWeb"/>
      </w:pPr>
      <w:r>
        <w:t>IFRS - Connectivity, core work and convergence—what next for IFRS Accounting Standards? (n.d.). https://www.ifrs.org/news-and-events/news/2021/12/connectivity-core-work-and-convergence/</w:t>
      </w:r>
    </w:p>
    <w:p w14:paraId="3772556D" w14:textId="77777777" w:rsidR="00E90521" w:rsidRDefault="00E90521" w:rsidP="00E90521">
      <w:pPr>
        <w:pStyle w:val="NormalWeb"/>
      </w:pPr>
      <w:r>
        <w:t>IFRS - IFRS Practice Statement 2: Making materiality judgements. (n.d.). https://www.ifrs.org/issued-standards/list-of-standards/materiality-practice-statement/</w:t>
      </w:r>
    </w:p>
    <w:p w14:paraId="38440666" w14:textId="2F86B980" w:rsidR="00E90521" w:rsidRDefault="00E90521" w:rsidP="00E90521">
      <w:pPr>
        <w:pStyle w:val="NormalWeb"/>
      </w:pPr>
      <w:r>
        <w:t xml:space="preserve">International Integrated Reporting Council (IIRC). (2021). </w:t>
      </w:r>
      <w:r>
        <w:rPr>
          <w:rStyle w:val="Emphasis"/>
        </w:rPr>
        <w:t>International Framework</w:t>
      </w:r>
      <w:r>
        <w:t xml:space="preserve">. </w:t>
      </w:r>
      <w:hyperlink r:id="rId14" w:history="1">
        <w:r w:rsidR="00201C5B" w:rsidRPr="00201C5B">
          <w:rPr>
            <w:rStyle w:val="Hyperlink"/>
            <w:color w:val="auto"/>
          </w:rPr>
          <w:t>https://www.integratedreporting.org</w:t>
        </w:r>
      </w:hyperlink>
    </w:p>
    <w:p w14:paraId="74D6AFBC" w14:textId="195FC898" w:rsidR="00201C5B" w:rsidRDefault="00201C5B" w:rsidP="00E90521">
      <w:pPr>
        <w:pStyle w:val="NormalWeb"/>
      </w:pPr>
      <w:r w:rsidRPr="00201C5B">
        <w:t xml:space="preserve">Iazzolino, G., Bruni, M. E., Veltri, S., Morea, D., &amp; Baldissarro, G. (2023). The impact of ESG factors on financial efficiency: An empirical analysis for the selection of sustainable firm portfolios. Corporate Social Responsibility and Environmental Management, 30(4), 1917–1927. </w:t>
      </w:r>
      <w:hyperlink r:id="rId15" w:history="1">
        <w:r w:rsidRPr="00201C5B">
          <w:rPr>
            <w:rStyle w:val="Hyperlink"/>
            <w:color w:val="auto"/>
            <w:u w:val="none"/>
          </w:rPr>
          <w:t>https://doi.org/10.1002/csr.2463</w:t>
        </w:r>
      </w:hyperlink>
      <w:r w:rsidRPr="00201C5B">
        <w:t xml:space="preserve"> </w:t>
      </w:r>
    </w:p>
    <w:p w14:paraId="08EF3854" w14:textId="1B2851CC" w:rsidR="00201C5B" w:rsidRDefault="00E90521" w:rsidP="00E90521">
      <w:pPr>
        <w:pStyle w:val="NormalWeb"/>
      </w:pPr>
      <w:r>
        <w:t>Journal of Global Accounting. (n.d.). https://journals.unizik.edu.ng/joga</w:t>
      </w:r>
    </w:p>
    <w:p w14:paraId="7E1CB776" w14:textId="77777777" w:rsidR="00E90521" w:rsidRDefault="00E90521" w:rsidP="00E90521">
      <w:pPr>
        <w:pStyle w:val="NormalWeb"/>
      </w:pPr>
      <w:r>
        <w:t xml:space="preserve">Khan, M., Serafeim, G., &amp; Yoon, A. (2016). Corporate sustainability: First evidence on materiality. </w:t>
      </w:r>
      <w:r>
        <w:rPr>
          <w:rStyle w:val="Emphasis"/>
        </w:rPr>
        <w:t>The Accounting Review, 91</w:t>
      </w:r>
      <w:r>
        <w:t>(6), 1697–1724. doi:10.2308/accr-51383</w:t>
      </w:r>
    </w:p>
    <w:p w14:paraId="2EB7129E" w14:textId="77777777" w:rsidR="00E90521" w:rsidRDefault="00E90521" w:rsidP="00E90521">
      <w:pPr>
        <w:pStyle w:val="NormalWeb"/>
      </w:pPr>
      <w:r>
        <w:t xml:space="preserve">Kotsantonis, S., Pinney, C., &amp; Serafeim, G. (2016). ESG integration in investment management: Myths and realities. </w:t>
      </w:r>
      <w:r>
        <w:rPr>
          <w:rStyle w:val="Emphasis"/>
        </w:rPr>
        <w:t>Journal of Applied Corporate Finance, 28</w:t>
      </w:r>
      <w:r>
        <w:t>(2), 10–16. doi:10.1111/jacf.12169</w:t>
      </w:r>
    </w:p>
    <w:p w14:paraId="40520ED7" w14:textId="77777777" w:rsidR="00E90521" w:rsidRDefault="00E90521" w:rsidP="00E90521">
      <w:pPr>
        <w:pStyle w:val="NormalWeb"/>
      </w:pPr>
      <w:r>
        <w:t xml:space="preserve">Krüger, P. (2014). Corporate goodness and shareholder wealth. </w:t>
      </w:r>
      <w:r>
        <w:rPr>
          <w:rStyle w:val="Emphasis"/>
        </w:rPr>
        <w:t>Journal of Financial Economics, 115</w:t>
      </w:r>
      <w:r>
        <w:t>(2), 304–329. doi:10.1016/j.jfineco.2014.09.008</w:t>
      </w:r>
    </w:p>
    <w:p w14:paraId="271026F9" w14:textId="77777777" w:rsidR="00E90521" w:rsidRDefault="00E90521" w:rsidP="00E90521">
      <w:pPr>
        <w:pStyle w:val="NormalWeb"/>
      </w:pPr>
      <w:r>
        <w:t xml:space="preserve">Lins, K. V., Servaes, H., &amp; Tamayo, A. (2017). Social capital, trust, and firm performance: The value of corporate social responsibility during the financial crisis. </w:t>
      </w:r>
      <w:r>
        <w:rPr>
          <w:rStyle w:val="Emphasis"/>
        </w:rPr>
        <w:t>The Journal of Finance, 72</w:t>
      </w:r>
      <w:r>
        <w:t>(4), 1785–1824. doi:10.1111/jofi.12505</w:t>
      </w:r>
    </w:p>
    <w:p w14:paraId="1B650EFA" w14:textId="77777777" w:rsidR="00201C5B" w:rsidRPr="00201C5B" w:rsidRDefault="00201C5B" w:rsidP="00201C5B">
      <w:pPr>
        <w:pStyle w:val="NormalWeb"/>
      </w:pPr>
      <w:r w:rsidRPr="00201C5B">
        <w:t xml:space="preserve">Moesgaard, R. F. (2024b). </w:t>
      </w:r>
      <w:r w:rsidRPr="00201C5B">
        <w:rPr>
          <w:i/>
          <w:iCs/>
        </w:rPr>
        <w:t>ESG and access to debt financing: Empirical analysis of the impact of ESG scores on access to debt</w:t>
      </w:r>
      <w:r w:rsidRPr="00201C5B">
        <w:t>. https://research-api.cbs.dk/ws/portalfiles/portal/108036074/1783509_Thesis.pdf</w:t>
      </w:r>
    </w:p>
    <w:p w14:paraId="31B3E245" w14:textId="77777777" w:rsidR="00E90521" w:rsidRDefault="00E90521" w:rsidP="00E90521">
      <w:pPr>
        <w:pStyle w:val="NormalWeb"/>
      </w:pPr>
      <w:r>
        <w:t>OECD, Marshall, C., Patalano, R., &amp; Boffo, R. (2021). ESG investing and climate transition: Market practices, issues and policy considerations. OECD Paris. https://www.oecd.org/finance/ESG-investing-and-climate-transition-market-practices-issues-and-policy-considerations.pdf</w:t>
      </w:r>
    </w:p>
    <w:p w14:paraId="5CFC334D" w14:textId="77777777" w:rsidR="00E90521" w:rsidRDefault="00E90521" w:rsidP="00E90521">
      <w:pPr>
        <w:pStyle w:val="NormalWeb"/>
      </w:pPr>
      <w:r>
        <w:t xml:space="preserve">Recommendations | Task Force on Climate-Related Financial Disclosures. (2023, December 5). </w:t>
      </w:r>
      <w:r>
        <w:rPr>
          <w:rStyle w:val="Emphasis"/>
        </w:rPr>
        <w:t>Task Force on Climate-Related Financial Disclosures</w:t>
      </w:r>
      <w:r>
        <w:t>. https://www.fsb-tcfd.org/recommendations/</w:t>
      </w:r>
    </w:p>
    <w:p w14:paraId="524900B1" w14:textId="77777777" w:rsidR="00E90521" w:rsidRDefault="00E90521" w:rsidP="00E90521">
      <w:pPr>
        <w:pStyle w:val="NormalWeb"/>
      </w:pPr>
      <w:r>
        <w:t xml:space="preserve">Serafeim, G., Yoon, A., Harvard Business School, &amp; Northwestern University. (2021). Which corporate ESG news does the market react to? </w:t>
      </w:r>
      <w:r>
        <w:rPr>
          <w:rStyle w:val="Emphasis"/>
        </w:rPr>
        <w:t>Working Paper 21-115</w:t>
      </w:r>
      <w:r>
        <w:t>. https://www.hbs.edu/ris/Publication%20Files/WP21-115_397685a0-a044-4f86-8e6a-e4b9a0769cc7.pdf</w:t>
      </w:r>
    </w:p>
    <w:p w14:paraId="55AC5978" w14:textId="77777777" w:rsidR="00E90521" w:rsidRDefault="00E90521" w:rsidP="00E90521">
      <w:pPr>
        <w:pStyle w:val="NormalWeb"/>
      </w:pPr>
      <w:r>
        <w:t xml:space="preserve">Starks, L. T., Venkat, P., &amp; Zhu, Q. (2017). Corporate ESG profiles and investor horizons. </w:t>
      </w:r>
      <w:r>
        <w:rPr>
          <w:rStyle w:val="Emphasis"/>
        </w:rPr>
        <w:t>SSRN Electronic Journal</w:t>
      </w:r>
      <w:r>
        <w:t>. doi:10.2139/ssrn.3049943</w:t>
      </w:r>
    </w:p>
    <w:p w14:paraId="7587CCDE" w14:textId="77777777" w:rsidR="00E90521" w:rsidRPr="00307772" w:rsidRDefault="00E90521" w:rsidP="00E90521">
      <w:pPr>
        <w:pStyle w:val="NormalWeb"/>
      </w:pPr>
      <w:r>
        <w:t xml:space="preserve">Sustainable Investing: ESG ratings. (2020a). </w:t>
      </w:r>
      <w:r>
        <w:rPr>
          <w:rStyle w:val="Emphasis"/>
        </w:rPr>
        <w:t>MSCI</w:t>
      </w:r>
      <w:r>
        <w:t>. https://www.msci.com/our-solutions/esg-investing/esg-ratings</w:t>
      </w:r>
    </w:p>
    <w:p w14:paraId="75CB5A41" w14:textId="799D416C" w:rsidR="00E90521" w:rsidRPr="00307772" w:rsidRDefault="00E90521" w:rsidP="00201C5B">
      <w:pPr>
        <w:pStyle w:val="NormalWeb"/>
      </w:pPr>
      <w:r w:rsidRPr="00307772">
        <w:t xml:space="preserve">Sustainable Investing: ESG ratings. (2020b). </w:t>
      </w:r>
      <w:r w:rsidRPr="00307772">
        <w:rPr>
          <w:rStyle w:val="Emphasis"/>
        </w:rPr>
        <w:t>MSCI</w:t>
      </w:r>
      <w:r w:rsidRPr="00307772">
        <w:t xml:space="preserve">. </w:t>
      </w:r>
      <w:hyperlink r:id="rId16" w:history="1">
        <w:r w:rsidR="00201C5B" w:rsidRPr="00307772">
          <w:rPr>
            <w:rStyle w:val="Hyperlink"/>
            <w:color w:val="auto"/>
            <w:u w:val="none"/>
          </w:rPr>
          <w:t>https://www.msci.com/our-solutions/esg-investing/esg-ratings</w:t>
        </w:r>
      </w:hyperlink>
    </w:p>
    <w:p w14:paraId="577FB00D" w14:textId="77777777" w:rsidR="00201C5B" w:rsidRPr="00201C5B" w:rsidRDefault="00201C5B" w:rsidP="00201C5B">
      <w:pPr>
        <w:pStyle w:val="NormalWeb"/>
      </w:pPr>
      <w:r w:rsidRPr="00201C5B">
        <w:t xml:space="preserve">Szczepańczyk, M., Nowodziński, P., &amp; Sikorski, A. (2023). ESG strategy and financial aspects using the example of an oil and gas midstream company: the UNIMOT Group. </w:t>
      </w:r>
      <w:r w:rsidRPr="00201C5B">
        <w:rPr>
          <w:i/>
          <w:iCs/>
        </w:rPr>
        <w:t>Sustainability</w:t>
      </w:r>
      <w:r w:rsidRPr="00201C5B">
        <w:t xml:space="preserve">, </w:t>
      </w:r>
      <w:r w:rsidRPr="00201C5B">
        <w:rPr>
          <w:i/>
          <w:iCs/>
        </w:rPr>
        <w:t>15</w:t>
      </w:r>
      <w:r w:rsidRPr="00201C5B">
        <w:t>(18), 13396. https://doi.org/10.3390/su151813396</w:t>
      </w:r>
    </w:p>
    <w:p w14:paraId="348E42E7" w14:textId="77777777" w:rsidR="00201C5B" w:rsidRDefault="00201C5B" w:rsidP="00201C5B">
      <w:pPr>
        <w:pStyle w:val="NormalWeb"/>
      </w:pPr>
    </w:p>
    <w:p w14:paraId="21A25B7B" w14:textId="77777777" w:rsidR="00E90521" w:rsidRDefault="00E90521" w:rsidP="007D145F">
      <w:pPr>
        <w:pStyle w:val="Heading2"/>
        <w:rPr>
          <w:b/>
          <w:bCs/>
        </w:rPr>
      </w:pPr>
    </w:p>
    <w:p w14:paraId="3FBD7C11" w14:textId="77777777" w:rsidR="00E90521" w:rsidRDefault="00E90521" w:rsidP="007D145F">
      <w:pPr>
        <w:pStyle w:val="Heading2"/>
        <w:rPr>
          <w:b/>
          <w:bCs/>
        </w:rPr>
      </w:pPr>
    </w:p>
    <w:p w14:paraId="2BB7652A" w14:textId="77777777" w:rsidR="00E90521" w:rsidRDefault="00E90521" w:rsidP="007D145F">
      <w:pPr>
        <w:pStyle w:val="Heading2"/>
        <w:rPr>
          <w:b/>
          <w:bCs/>
        </w:rPr>
      </w:pPr>
    </w:p>
    <w:p w14:paraId="5818BC89" w14:textId="77777777" w:rsidR="00E90521" w:rsidRDefault="00E90521" w:rsidP="007D145F">
      <w:pPr>
        <w:pStyle w:val="Heading2"/>
        <w:rPr>
          <w:b/>
          <w:bCs/>
        </w:rPr>
      </w:pPr>
    </w:p>
    <w:p w14:paraId="1CF90A50" w14:textId="77777777" w:rsidR="00E90521" w:rsidRDefault="00E90521" w:rsidP="007D145F">
      <w:pPr>
        <w:pStyle w:val="Heading2"/>
        <w:rPr>
          <w:b/>
          <w:bCs/>
        </w:rPr>
      </w:pPr>
    </w:p>
    <w:p w14:paraId="2FE20145" w14:textId="77777777" w:rsidR="00E90521" w:rsidRDefault="00E90521" w:rsidP="007D145F">
      <w:pPr>
        <w:pStyle w:val="Heading2"/>
        <w:rPr>
          <w:b/>
          <w:bCs/>
        </w:rPr>
      </w:pPr>
    </w:p>
    <w:p w14:paraId="155655AE" w14:textId="77777777" w:rsidR="00E90521" w:rsidRDefault="00E90521" w:rsidP="007D145F">
      <w:pPr>
        <w:pStyle w:val="Heading2"/>
        <w:rPr>
          <w:b/>
          <w:bCs/>
        </w:rPr>
      </w:pPr>
    </w:p>
    <w:p w14:paraId="2577F697" w14:textId="77777777" w:rsidR="00E90521" w:rsidRDefault="00E90521" w:rsidP="007D145F">
      <w:pPr>
        <w:pStyle w:val="Heading2"/>
        <w:rPr>
          <w:b/>
          <w:bCs/>
        </w:rPr>
      </w:pPr>
    </w:p>
    <w:p w14:paraId="3D8B1DA7" w14:textId="77777777" w:rsidR="00E90521" w:rsidRDefault="00E90521" w:rsidP="007D145F">
      <w:pPr>
        <w:pStyle w:val="Heading2"/>
        <w:rPr>
          <w:b/>
          <w:bCs/>
        </w:rPr>
      </w:pPr>
    </w:p>
    <w:p w14:paraId="3EBA4970" w14:textId="77777777" w:rsidR="00E90521" w:rsidRDefault="00E90521" w:rsidP="007D145F">
      <w:pPr>
        <w:pStyle w:val="Heading2"/>
        <w:rPr>
          <w:b/>
          <w:bCs/>
        </w:rPr>
      </w:pPr>
    </w:p>
    <w:p w14:paraId="1772D63D" w14:textId="77777777" w:rsidR="00E90521" w:rsidRDefault="00E90521" w:rsidP="007D145F">
      <w:pPr>
        <w:pStyle w:val="Heading2"/>
        <w:rPr>
          <w:b/>
          <w:bCs/>
        </w:rPr>
      </w:pPr>
    </w:p>
    <w:p w14:paraId="0D1A8963" w14:textId="77777777" w:rsidR="00E90521" w:rsidRDefault="00E90521" w:rsidP="007D145F">
      <w:pPr>
        <w:pStyle w:val="Heading2"/>
        <w:rPr>
          <w:b/>
          <w:bCs/>
        </w:rPr>
      </w:pPr>
    </w:p>
    <w:p w14:paraId="24240311" w14:textId="77777777" w:rsidR="00E90521" w:rsidRDefault="00E90521" w:rsidP="007D145F">
      <w:pPr>
        <w:pStyle w:val="Heading2"/>
        <w:rPr>
          <w:b/>
          <w:bCs/>
        </w:rPr>
      </w:pPr>
    </w:p>
    <w:p w14:paraId="6A52AAA0" w14:textId="77777777" w:rsidR="00E90521" w:rsidRDefault="00E90521" w:rsidP="007D145F">
      <w:pPr>
        <w:pStyle w:val="Heading2"/>
        <w:rPr>
          <w:b/>
          <w:bCs/>
        </w:rPr>
      </w:pPr>
    </w:p>
    <w:p w14:paraId="7E3381CA" w14:textId="77777777" w:rsidR="00307772" w:rsidRDefault="00307772" w:rsidP="007D145F">
      <w:pPr>
        <w:pStyle w:val="Heading2"/>
        <w:rPr>
          <w:b/>
          <w:bCs/>
        </w:rPr>
      </w:pPr>
    </w:p>
    <w:p w14:paraId="190723B6" w14:textId="77777777" w:rsidR="00307772" w:rsidRDefault="00307772" w:rsidP="007D145F">
      <w:pPr>
        <w:pStyle w:val="Heading2"/>
        <w:rPr>
          <w:b/>
          <w:bCs/>
        </w:rPr>
      </w:pPr>
    </w:p>
    <w:p w14:paraId="41F1C460" w14:textId="77777777" w:rsidR="00307772" w:rsidRDefault="00307772" w:rsidP="007D145F">
      <w:pPr>
        <w:pStyle w:val="Heading2"/>
        <w:rPr>
          <w:b/>
          <w:bCs/>
        </w:rPr>
      </w:pPr>
    </w:p>
    <w:p w14:paraId="730766BF" w14:textId="77777777" w:rsidR="00307772" w:rsidRDefault="00307772" w:rsidP="007D145F">
      <w:pPr>
        <w:pStyle w:val="Heading2"/>
        <w:rPr>
          <w:b/>
          <w:bCs/>
        </w:rPr>
      </w:pPr>
    </w:p>
    <w:p w14:paraId="7DFD9F59" w14:textId="77777777" w:rsidR="00307772" w:rsidRDefault="00307772" w:rsidP="007D145F">
      <w:pPr>
        <w:pStyle w:val="Heading2"/>
        <w:rPr>
          <w:b/>
          <w:bCs/>
        </w:rPr>
      </w:pPr>
    </w:p>
    <w:p w14:paraId="05D7242E" w14:textId="77777777" w:rsidR="00307772" w:rsidRDefault="00307772" w:rsidP="007D145F">
      <w:pPr>
        <w:pStyle w:val="Heading2"/>
        <w:rPr>
          <w:b/>
          <w:bCs/>
        </w:rPr>
      </w:pPr>
    </w:p>
    <w:p w14:paraId="29939C27" w14:textId="77777777" w:rsidR="00307772" w:rsidRDefault="00307772" w:rsidP="007D145F">
      <w:pPr>
        <w:pStyle w:val="Heading2"/>
        <w:rPr>
          <w:b/>
          <w:bCs/>
        </w:rPr>
      </w:pPr>
    </w:p>
    <w:p w14:paraId="1EDA5ACA" w14:textId="77777777" w:rsidR="00307772" w:rsidRDefault="00307772" w:rsidP="007D145F">
      <w:pPr>
        <w:pStyle w:val="Heading2"/>
        <w:rPr>
          <w:b/>
          <w:bCs/>
        </w:rPr>
      </w:pPr>
    </w:p>
    <w:p w14:paraId="39D9A9F6" w14:textId="77777777" w:rsidR="00307772" w:rsidRDefault="00307772" w:rsidP="007D145F">
      <w:pPr>
        <w:pStyle w:val="Heading2"/>
        <w:rPr>
          <w:b/>
          <w:bCs/>
        </w:rPr>
      </w:pPr>
    </w:p>
    <w:p w14:paraId="6E5A0D25" w14:textId="77777777" w:rsidR="00307772" w:rsidRDefault="00307772" w:rsidP="007D145F">
      <w:pPr>
        <w:pStyle w:val="Heading2"/>
        <w:rPr>
          <w:b/>
          <w:bCs/>
        </w:rPr>
      </w:pPr>
    </w:p>
    <w:p w14:paraId="674A48C7" w14:textId="77777777" w:rsidR="00661C8B" w:rsidRDefault="00661C8B" w:rsidP="007D145F">
      <w:pPr>
        <w:pStyle w:val="Heading2"/>
        <w:rPr>
          <w:b/>
          <w:bCs/>
        </w:rPr>
      </w:pPr>
    </w:p>
    <w:p w14:paraId="27D6F34E" w14:textId="77777777" w:rsidR="00661C8B" w:rsidRDefault="00661C8B" w:rsidP="007D145F">
      <w:pPr>
        <w:pStyle w:val="Heading2"/>
        <w:rPr>
          <w:b/>
          <w:bCs/>
        </w:rPr>
      </w:pPr>
    </w:p>
    <w:p w14:paraId="7C40B838" w14:textId="77777777" w:rsidR="00661C8B" w:rsidRDefault="00661C8B" w:rsidP="007D145F">
      <w:pPr>
        <w:pStyle w:val="Heading2"/>
        <w:rPr>
          <w:b/>
          <w:bCs/>
        </w:rPr>
      </w:pPr>
    </w:p>
    <w:p w14:paraId="0FB728EC" w14:textId="77777777" w:rsidR="00307772" w:rsidRDefault="00307772" w:rsidP="007D145F">
      <w:pPr>
        <w:pStyle w:val="Heading2"/>
        <w:rPr>
          <w:b/>
          <w:bCs/>
        </w:rPr>
      </w:pPr>
    </w:p>
    <w:p w14:paraId="00A9AF8B" w14:textId="77777777" w:rsidR="00307772" w:rsidRDefault="00307772" w:rsidP="007D145F">
      <w:pPr>
        <w:pStyle w:val="Heading2"/>
        <w:rPr>
          <w:b/>
          <w:bCs/>
        </w:rPr>
      </w:pPr>
    </w:p>
    <w:p w14:paraId="08C017C1" w14:textId="77777777" w:rsidR="00307772" w:rsidRDefault="00307772" w:rsidP="007D145F">
      <w:pPr>
        <w:pStyle w:val="Heading2"/>
        <w:rPr>
          <w:b/>
          <w:bCs/>
        </w:rPr>
      </w:pPr>
    </w:p>
    <w:p w14:paraId="4C5BF9B1" w14:textId="77777777" w:rsidR="00307772" w:rsidRDefault="00307772" w:rsidP="007D145F">
      <w:pPr>
        <w:pStyle w:val="Heading2"/>
        <w:rPr>
          <w:b/>
          <w:bCs/>
        </w:rPr>
      </w:pPr>
    </w:p>
    <w:p w14:paraId="7F86D194" w14:textId="77777777" w:rsidR="00307772" w:rsidRDefault="00307772" w:rsidP="007D145F">
      <w:pPr>
        <w:pStyle w:val="Heading2"/>
        <w:rPr>
          <w:b/>
          <w:bCs/>
        </w:rPr>
      </w:pPr>
    </w:p>
    <w:p w14:paraId="7C9C633C" w14:textId="77777777" w:rsidR="00E90521" w:rsidRDefault="00E90521" w:rsidP="00E90521">
      <w:pPr>
        <w:pStyle w:val="Heading2"/>
        <w:ind w:left="0"/>
        <w:rPr>
          <w:b/>
          <w:bCs/>
        </w:rPr>
      </w:pPr>
    </w:p>
    <w:p w14:paraId="76793198" w14:textId="77777777" w:rsidR="005A6290" w:rsidRDefault="005A6290" w:rsidP="00E90521">
      <w:pPr>
        <w:pStyle w:val="Heading2"/>
        <w:ind w:left="0"/>
        <w:rPr>
          <w:b/>
          <w:bCs/>
        </w:rPr>
      </w:pPr>
    </w:p>
    <w:p w14:paraId="5B0CBBDF" w14:textId="77777777" w:rsidR="00E90521" w:rsidRPr="00970BCD" w:rsidRDefault="00E90521" w:rsidP="007D145F">
      <w:pPr>
        <w:pStyle w:val="Heading2"/>
        <w:rPr>
          <w:b/>
          <w:bCs/>
        </w:rPr>
      </w:pPr>
    </w:p>
    <w:p w14:paraId="60BB207D" w14:textId="77777777" w:rsidR="007D145F" w:rsidRDefault="007D145F" w:rsidP="005B0CCB">
      <w:pPr>
        <w:rPr>
          <w:sz w:val="24"/>
          <w:szCs w:val="24"/>
        </w:rPr>
      </w:pPr>
    </w:p>
    <w:p w14:paraId="3DC6F019" w14:textId="77777777" w:rsidR="007D145F" w:rsidRPr="00F3769A" w:rsidRDefault="007D145F" w:rsidP="007D145F">
      <w:pPr>
        <w:pStyle w:val="Heading2"/>
        <w:jc w:val="center"/>
        <w:rPr>
          <w:b/>
          <w:bCs/>
        </w:rPr>
      </w:pPr>
      <w:bookmarkStart w:id="73" w:name="_Toc194903466"/>
      <w:r w:rsidRPr="00F3769A">
        <w:rPr>
          <w:b/>
          <w:bCs/>
        </w:rPr>
        <w:t>TURNITIN PLAGIARISM REPORT</w:t>
      </w:r>
      <w:bookmarkEnd w:id="73"/>
    </w:p>
    <w:p w14:paraId="13F5CFAB" w14:textId="77777777" w:rsidR="007D145F" w:rsidRDefault="007D145F" w:rsidP="007D145F">
      <w:pPr>
        <w:ind w:left="567" w:hanging="567"/>
        <w:rPr>
          <w:sz w:val="24"/>
          <w:szCs w:val="24"/>
        </w:rPr>
      </w:pPr>
    </w:p>
    <w:p w14:paraId="582C8BC4" w14:textId="77777777" w:rsidR="007D145F" w:rsidRDefault="007D145F" w:rsidP="007D145F">
      <w:pPr>
        <w:rPr>
          <w:sz w:val="24"/>
          <w:szCs w:val="24"/>
        </w:rPr>
      </w:pPr>
    </w:p>
    <w:p w14:paraId="3FFAC455" w14:textId="77777777" w:rsidR="007D145F" w:rsidRPr="00136FA4" w:rsidRDefault="007D145F" w:rsidP="007D145F">
      <w:pPr>
        <w:pStyle w:val="Heading3"/>
        <w:rPr>
          <w:b w:val="0"/>
          <w:bCs w:val="0"/>
        </w:rPr>
      </w:pPr>
      <w:r>
        <w:t xml:space="preserve">        </w:t>
      </w:r>
      <w:bookmarkStart w:id="74" w:name="_Toc194903467"/>
      <w:r w:rsidRPr="00136FA4">
        <w:t>Plagiarism Summary</w:t>
      </w:r>
      <w:bookmarkEnd w:id="74"/>
    </w:p>
    <w:p w14:paraId="124ABA76" w14:textId="77777777" w:rsidR="007D145F" w:rsidRDefault="007D145F" w:rsidP="007D145F">
      <w:pPr>
        <w:ind w:left="567" w:hanging="567"/>
        <w:rPr>
          <w:sz w:val="24"/>
          <w:szCs w:val="24"/>
        </w:rPr>
      </w:pPr>
      <w:r w:rsidRPr="00136FA4">
        <w:rPr>
          <w:noProof/>
          <w:sz w:val="24"/>
          <w:szCs w:val="24"/>
        </w:rPr>
        <w:drawing>
          <wp:inline distT="0" distB="0" distL="0" distR="0" wp14:anchorId="70FDB876" wp14:editId="509A7204">
            <wp:extent cx="5943600" cy="3154680"/>
            <wp:effectExtent l="0" t="0" r="0" b="7620"/>
            <wp:docPr id="187766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665228" name=""/>
                    <pic:cNvPicPr/>
                  </pic:nvPicPr>
                  <pic:blipFill>
                    <a:blip r:embed="rId17"/>
                    <a:stretch>
                      <a:fillRect/>
                    </a:stretch>
                  </pic:blipFill>
                  <pic:spPr>
                    <a:xfrm>
                      <a:off x="0" y="0"/>
                      <a:ext cx="5943600" cy="3154680"/>
                    </a:xfrm>
                    <a:prstGeom prst="rect">
                      <a:avLst/>
                    </a:prstGeom>
                  </pic:spPr>
                </pic:pic>
              </a:graphicData>
            </a:graphic>
          </wp:inline>
        </w:drawing>
      </w:r>
    </w:p>
    <w:p w14:paraId="57E00294" w14:textId="77777777" w:rsidR="007D145F" w:rsidRDefault="007D145F" w:rsidP="007D145F">
      <w:pPr>
        <w:ind w:left="567" w:hanging="567"/>
        <w:rPr>
          <w:sz w:val="24"/>
          <w:szCs w:val="24"/>
        </w:rPr>
      </w:pPr>
    </w:p>
    <w:p w14:paraId="47CFCD12" w14:textId="77777777" w:rsidR="007D145F" w:rsidRPr="00136FA4" w:rsidRDefault="007D145F" w:rsidP="007D145F">
      <w:pPr>
        <w:pStyle w:val="Heading3"/>
        <w:rPr>
          <w:b w:val="0"/>
          <w:bCs w:val="0"/>
        </w:rPr>
      </w:pPr>
      <w:r>
        <w:t xml:space="preserve">       </w:t>
      </w:r>
      <w:bookmarkStart w:id="75" w:name="_Toc194903468"/>
      <w:r w:rsidRPr="00136FA4">
        <w:t>AI Detection Summary</w:t>
      </w:r>
      <w:bookmarkEnd w:id="75"/>
      <w:r w:rsidRPr="00136FA4">
        <w:t xml:space="preserve"> </w:t>
      </w:r>
    </w:p>
    <w:p w14:paraId="09FAF532" w14:textId="77777777" w:rsidR="007D145F" w:rsidRDefault="007D145F" w:rsidP="007D145F">
      <w:pPr>
        <w:ind w:left="567" w:hanging="567"/>
        <w:rPr>
          <w:sz w:val="24"/>
          <w:szCs w:val="24"/>
        </w:rPr>
      </w:pPr>
      <w:r w:rsidRPr="00136FA4">
        <w:rPr>
          <w:noProof/>
          <w:sz w:val="24"/>
          <w:szCs w:val="24"/>
        </w:rPr>
        <w:drawing>
          <wp:inline distT="0" distB="0" distL="0" distR="0" wp14:anchorId="5014D3B3" wp14:editId="4A0A6879">
            <wp:extent cx="5943600" cy="2133600"/>
            <wp:effectExtent l="0" t="0" r="0" b="0"/>
            <wp:docPr id="188965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51393" name=""/>
                    <pic:cNvPicPr/>
                  </pic:nvPicPr>
                  <pic:blipFill>
                    <a:blip r:embed="rId18"/>
                    <a:stretch>
                      <a:fillRect/>
                    </a:stretch>
                  </pic:blipFill>
                  <pic:spPr>
                    <a:xfrm>
                      <a:off x="0" y="0"/>
                      <a:ext cx="5943600" cy="2133600"/>
                    </a:xfrm>
                    <a:prstGeom prst="rect">
                      <a:avLst/>
                    </a:prstGeom>
                  </pic:spPr>
                </pic:pic>
              </a:graphicData>
            </a:graphic>
          </wp:inline>
        </w:drawing>
      </w:r>
    </w:p>
    <w:p w14:paraId="7B9D47D7" w14:textId="77777777" w:rsidR="007D145F" w:rsidRDefault="007D145F" w:rsidP="007D145F">
      <w:pPr>
        <w:ind w:left="567" w:hanging="567"/>
        <w:rPr>
          <w:sz w:val="24"/>
          <w:szCs w:val="24"/>
        </w:rPr>
      </w:pPr>
    </w:p>
    <w:p w14:paraId="5BDA0AA6" w14:textId="77777777" w:rsidR="007D145F" w:rsidRDefault="007D145F" w:rsidP="007D145F">
      <w:pPr>
        <w:ind w:left="567" w:hanging="567"/>
        <w:rPr>
          <w:sz w:val="24"/>
          <w:szCs w:val="24"/>
        </w:rPr>
      </w:pPr>
    </w:p>
    <w:p w14:paraId="56D772C5" w14:textId="77777777" w:rsidR="007D145F" w:rsidRDefault="007D145F" w:rsidP="007D145F">
      <w:pPr>
        <w:ind w:left="567" w:hanging="567"/>
        <w:rPr>
          <w:sz w:val="24"/>
          <w:szCs w:val="24"/>
        </w:rPr>
      </w:pPr>
    </w:p>
    <w:p w14:paraId="225AE20F" w14:textId="77777777" w:rsidR="007D145F" w:rsidRDefault="007D145F" w:rsidP="007D145F">
      <w:pPr>
        <w:ind w:left="567" w:hanging="567"/>
        <w:rPr>
          <w:sz w:val="24"/>
          <w:szCs w:val="24"/>
        </w:rPr>
      </w:pPr>
    </w:p>
    <w:p w14:paraId="139F21E8" w14:textId="77777777" w:rsidR="007D145F" w:rsidRPr="001A2558" w:rsidRDefault="007D145F" w:rsidP="007D145F">
      <w:pPr>
        <w:ind w:left="567" w:hanging="567"/>
        <w:rPr>
          <w:sz w:val="24"/>
          <w:szCs w:val="24"/>
        </w:rPr>
      </w:pPr>
    </w:p>
    <w:p w14:paraId="448D4721" w14:textId="77777777" w:rsidR="007D145F" w:rsidRDefault="007D145F">
      <w:pPr>
        <w:spacing w:before="348" w:line="357" w:lineRule="auto"/>
        <w:ind w:left="112" w:right="103"/>
        <w:jc w:val="center"/>
        <w:rPr>
          <w:b/>
          <w:sz w:val="32"/>
        </w:rPr>
      </w:pPr>
    </w:p>
    <w:p w14:paraId="2D7387C8" w14:textId="77777777" w:rsidR="007D145F" w:rsidRDefault="007D145F">
      <w:pPr>
        <w:spacing w:before="348" w:line="357" w:lineRule="auto"/>
        <w:ind w:left="112" w:right="103"/>
        <w:jc w:val="center"/>
        <w:rPr>
          <w:b/>
          <w:sz w:val="32"/>
        </w:rPr>
      </w:pPr>
    </w:p>
    <w:p w14:paraId="08E69B0D" w14:textId="77777777" w:rsidR="007D145F" w:rsidRDefault="007D145F">
      <w:pPr>
        <w:spacing w:before="348" w:line="357" w:lineRule="auto"/>
        <w:ind w:left="112" w:right="103"/>
        <w:jc w:val="center"/>
        <w:rPr>
          <w:b/>
          <w:sz w:val="32"/>
        </w:rPr>
      </w:pPr>
    </w:p>
    <w:p w14:paraId="01A89340" w14:textId="77777777" w:rsidR="007D145F" w:rsidRDefault="007D145F">
      <w:pPr>
        <w:spacing w:before="348" w:line="357" w:lineRule="auto"/>
        <w:ind w:left="112" w:right="103"/>
        <w:jc w:val="center"/>
        <w:rPr>
          <w:b/>
          <w:sz w:val="32"/>
        </w:rPr>
      </w:pPr>
    </w:p>
    <w:p w14:paraId="30D7F5F8" w14:textId="77777777" w:rsidR="007D145F" w:rsidRDefault="007D145F">
      <w:pPr>
        <w:spacing w:before="348" w:line="357" w:lineRule="auto"/>
        <w:ind w:left="112" w:right="103"/>
        <w:jc w:val="center"/>
        <w:rPr>
          <w:b/>
          <w:sz w:val="32"/>
        </w:rPr>
      </w:pPr>
    </w:p>
    <w:p w14:paraId="79DCDD6C" w14:textId="77777777" w:rsidR="007D145F" w:rsidRDefault="007D145F">
      <w:pPr>
        <w:spacing w:before="348" w:line="357" w:lineRule="auto"/>
        <w:ind w:left="112" w:right="103"/>
        <w:jc w:val="center"/>
        <w:rPr>
          <w:b/>
          <w:sz w:val="32"/>
        </w:rPr>
      </w:pPr>
    </w:p>
    <w:sectPr w:rsidR="007D145F" w:rsidSect="00E90521">
      <w:headerReference w:type="default" r:id="rId19"/>
      <w:footerReference w:type="default" r:id="rId20"/>
      <w:pgSz w:w="11900" w:h="16840"/>
      <w:pgMar w:top="1360" w:right="1417" w:bottom="1560" w:left="1417" w:header="324" w:footer="8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DEFB3" w14:textId="77777777" w:rsidR="00904CFE" w:rsidRDefault="00904CFE">
      <w:r>
        <w:separator/>
      </w:r>
    </w:p>
  </w:endnote>
  <w:endnote w:type="continuationSeparator" w:id="0">
    <w:p w14:paraId="5C626C12" w14:textId="77777777" w:rsidR="00904CFE" w:rsidRDefault="00904C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5F76" w14:textId="77777777" w:rsidR="00326EA3" w:rsidRDefault="00326EA3">
    <w:pPr>
      <w:pStyle w:val="BodyText"/>
      <w:spacing w:line="14" w:lineRule="auto"/>
      <w:rPr>
        <w:sz w:val="20"/>
      </w:rPr>
    </w:pPr>
    <w:r>
      <w:rPr>
        <w:noProof/>
        <w:sz w:val="20"/>
      </w:rPr>
      <w:drawing>
        <wp:anchor distT="0" distB="0" distL="0" distR="0" simplePos="0" relativeHeight="251675648" behindDoc="1" locked="0" layoutInCell="1" allowOverlap="1" wp14:anchorId="7026232E" wp14:editId="02208092">
          <wp:simplePos x="0" y="0"/>
          <wp:positionH relativeFrom="page">
            <wp:posOffset>914400</wp:posOffset>
          </wp:positionH>
          <wp:positionV relativeFrom="page">
            <wp:posOffset>10009631</wp:posOffset>
          </wp:positionV>
          <wp:extent cx="5731509" cy="218021"/>
          <wp:effectExtent l="0" t="0" r="0" b="0"/>
          <wp:wrapNone/>
          <wp:docPr id="20796704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5731509" cy="218021"/>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1740F" w14:textId="77777777" w:rsidR="00904CFE" w:rsidRDefault="00904CFE">
      <w:r>
        <w:separator/>
      </w:r>
    </w:p>
  </w:footnote>
  <w:footnote w:type="continuationSeparator" w:id="0">
    <w:p w14:paraId="6FE1CF6A" w14:textId="77777777" w:rsidR="00904CFE" w:rsidRDefault="00904C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F63F6" w14:textId="77777777" w:rsidR="00326EA3" w:rsidRDefault="00326EA3">
    <w:pPr>
      <w:pStyle w:val="BodyText"/>
      <w:spacing w:line="14" w:lineRule="auto"/>
      <w:rPr>
        <w:sz w:val="20"/>
      </w:rPr>
    </w:pPr>
    <w:r>
      <w:rPr>
        <w:noProof/>
        <w:sz w:val="20"/>
      </w:rPr>
      <w:drawing>
        <wp:anchor distT="0" distB="0" distL="0" distR="0" simplePos="0" relativeHeight="251665408" behindDoc="1" locked="0" layoutInCell="1" allowOverlap="1" wp14:anchorId="5A7DBD30" wp14:editId="24CFC9C8">
          <wp:simplePos x="0" y="0"/>
          <wp:positionH relativeFrom="page">
            <wp:posOffset>5753100</wp:posOffset>
          </wp:positionH>
          <wp:positionV relativeFrom="page">
            <wp:posOffset>205738</wp:posOffset>
          </wp:positionV>
          <wp:extent cx="1211579" cy="617220"/>
          <wp:effectExtent l="0" t="0" r="0" b="0"/>
          <wp:wrapNone/>
          <wp:docPr id="1445044580"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 cstate="print"/>
                  <a:stretch>
                    <a:fillRect/>
                  </a:stretch>
                </pic:blipFill>
                <pic:spPr>
                  <a:xfrm>
                    <a:off x="0" y="0"/>
                    <a:ext cx="1211579" cy="617220"/>
                  </a:xfrm>
                  <a:prstGeom prst="rect">
                    <a:avLst/>
                  </a:prstGeom>
                </pic:spPr>
              </pic:pic>
            </a:graphicData>
          </a:graphic>
        </wp:anchor>
      </w:drawing>
    </w:r>
    <w:r>
      <w:rPr>
        <w:noProof/>
        <w:sz w:val="20"/>
      </w:rPr>
      <mc:AlternateContent>
        <mc:Choice Requires="wps">
          <w:drawing>
            <wp:anchor distT="0" distB="0" distL="0" distR="0" simplePos="0" relativeHeight="251670528" behindDoc="1" locked="0" layoutInCell="1" allowOverlap="1" wp14:anchorId="527CD459" wp14:editId="19EB3A3E">
              <wp:simplePos x="0" y="0"/>
              <wp:positionH relativeFrom="page">
                <wp:posOffset>901700</wp:posOffset>
              </wp:positionH>
              <wp:positionV relativeFrom="page">
                <wp:posOffset>439758</wp:posOffset>
              </wp:positionV>
              <wp:extent cx="1194435" cy="19431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4435" cy="194310"/>
                      </a:xfrm>
                      <a:prstGeom prst="rect">
                        <a:avLst/>
                      </a:prstGeom>
                    </wps:spPr>
                    <wps:txbx>
                      <w:txbxContent>
                        <w:p w14:paraId="14928B0A" w14:textId="77777777" w:rsidR="00326EA3" w:rsidRDefault="00326EA3">
                          <w:pPr>
                            <w:pStyle w:val="BodyText"/>
                            <w:spacing w:before="10"/>
                            <w:ind w:left="20"/>
                          </w:pPr>
                          <w:r>
                            <w:t>School</w:t>
                          </w:r>
                          <w:r>
                            <w:rPr>
                              <w:spacing w:val="-1"/>
                            </w:rPr>
                            <w:t xml:space="preserve"> </w:t>
                          </w:r>
                          <w:r>
                            <w:t xml:space="preserve">of </w:t>
                          </w:r>
                          <w:r>
                            <w:rPr>
                              <w:spacing w:val="-2"/>
                            </w:rPr>
                            <w:t>Business</w:t>
                          </w:r>
                        </w:p>
                      </w:txbxContent>
                    </wps:txbx>
                    <wps:bodyPr wrap="square" lIns="0" tIns="0" rIns="0" bIns="0" rtlCol="0">
                      <a:noAutofit/>
                    </wps:bodyPr>
                  </wps:wsp>
                </a:graphicData>
              </a:graphic>
            </wp:anchor>
          </w:drawing>
        </mc:Choice>
        <mc:Fallback>
          <w:pict>
            <v:shapetype w14:anchorId="527CD459" id="_x0000_t202" coordsize="21600,21600" o:spt="202" path="m,l,21600r21600,l21600,xe">
              <v:stroke joinstyle="miter"/>
              <v:path gradientshapeok="t" o:connecttype="rect"/>
            </v:shapetype>
            <v:shape id="Textbox 24" o:spid="_x0000_s1027" type="#_x0000_t202" style="position:absolute;margin-left:71pt;margin-top:34.65pt;width:94.05pt;height:15.3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" filled="f" stroked="f">
              <v:textbox inset="0,0,0,0">
                <w:txbxContent>
                  <w:p w14:paraId="14928B0A" w14:textId="77777777" w:rsidR="00326EA3" w:rsidRDefault="00326EA3">
                    <w:pPr>
                      <w:pStyle w:val="BodyText"/>
                      <w:spacing w:before="10"/>
                      <w:ind w:left="20"/>
                    </w:pPr>
                    <w:r>
                      <w:t>School</w:t>
                    </w:r>
                    <w:r>
                      <w:rPr>
                        <w:spacing w:val="-1"/>
                      </w:rPr>
                      <w:t xml:space="preserve"> </w:t>
                    </w:r>
                    <w:r>
                      <w:t xml:space="preserve">of </w:t>
                    </w:r>
                    <w:r>
                      <w:rPr>
                        <w:spacing w:val="-2"/>
                      </w:rPr>
                      <w:t>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751"/>
    <w:multiLevelType w:val="multilevel"/>
    <w:tmpl w:val="BDBA0A4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AE64DF2"/>
    <w:multiLevelType w:val="multilevel"/>
    <w:tmpl w:val="F9E67C32"/>
    <w:lvl w:ilvl="0">
      <w:start w:val="2"/>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hint="default"/>
        <w:spacing w:val="-1"/>
        <w:w w:val="100"/>
        <w:lang w:val="en-US" w:eastAsia="en-US" w:bidi="ar-SA"/>
      </w:rPr>
    </w:lvl>
    <w:lvl w:ilvl="2">
      <w:numFmt w:val="bullet"/>
      <w:lvlText w:val="•"/>
      <w:lvlJc w:val="left"/>
      <w:pPr>
        <w:ind w:left="2405" w:hanging="720"/>
      </w:pPr>
      <w:rPr>
        <w:rFonts w:hint="default"/>
        <w:lang w:val="en-US" w:eastAsia="en-US" w:bidi="ar-SA"/>
      </w:rPr>
    </w:lvl>
    <w:lvl w:ilvl="3">
      <w:numFmt w:val="bullet"/>
      <w:lvlText w:val="•"/>
      <w:lvlJc w:val="left"/>
      <w:pPr>
        <w:ind w:left="3237" w:hanging="720"/>
      </w:pPr>
      <w:rPr>
        <w:rFonts w:hint="default"/>
        <w:lang w:val="en-US" w:eastAsia="en-US" w:bidi="ar-SA"/>
      </w:rPr>
    </w:lvl>
    <w:lvl w:ilvl="4">
      <w:numFmt w:val="bullet"/>
      <w:lvlText w:val="•"/>
      <w:lvlJc w:val="left"/>
      <w:pPr>
        <w:ind w:left="4070" w:hanging="720"/>
      </w:pPr>
      <w:rPr>
        <w:rFonts w:hint="default"/>
        <w:lang w:val="en-US" w:eastAsia="en-US" w:bidi="ar-SA"/>
      </w:rPr>
    </w:lvl>
    <w:lvl w:ilvl="5">
      <w:numFmt w:val="bullet"/>
      <w:lvlText w:val="•"/>
      <w:lvlJc w:val="left"/>
      <w:pPr>
        <w:ind w:left="4903" w:hanging="720"/>
      </w:pPr>
      <w:rPr>
        <w:rFonts w:hint="default"/>
        <w:lang w:val="en-US" w:eastAsia="en-US" w:bidi="ar-SA"/>
      </w:rPr>
    </w:lvl>
    <w:lvl w:ilvl="6">
      <w:numFmt w:val="bullet"/>
      <w:lvlText w:val="•"/>
      <w:lvlJc w:val="left"/>
      <w:pPr>
        <w:ind w:left="5735" w:hanging="720"/>
      </w:pPr>
      <w:rPr>
        <w:rFonts w:hint="default"/>
        <w:lang w:val="en-US" w:eastAsia="en-US" w:bidi="ar-SA"/>
      </w:rPr>
    </w:lvl>
    <w:lvl w:ilvl="7">
      <w:numFmt w:val="bullet"/>
      <w:lvlText w:val="•"/>
      <w:lvlJc w:val="left"/>
      <w:pPr>
        <w:ind w:left="6568" w:hanging="720"/>
      </w:pPr>
      <w:rPr>
        <w:rFonts w:hint="default"/>
        <w:lang w:val="en-US" w:eastAsia="en-US" w:bidi="ar-SA"/>
      </w:rPr>
    </w:lvl>
    <w:lvl w:ilvl="8">
      <w:numFmt w:val="bullet"/>
      <w:lvlText w:val="•"/>
      <w:lvlJc w:val="left"/>
      <w:pPr>
        <w:ind w:left="7400" w:hanging="720"/>
      </w:pPr>
      <w:rPr>
        <w:rFonts w:hint="default"/>
        <w:lang w:val="en-US" w:eastAsia="en-US" w:bidi="ar-SA"/>
      </w:rPr>
    </w:lvl>
  </w:abstractNum>
  <w:abstractNum w:abstractNumId="2" w15:restartNumberingAfterBreak="0">
    <w:nsid w:val="0CD04C55"/>
    <w:multiLevelType w:val="multilevel"/>
    <w:tmpl w:val="222C6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E26BC"/>
    <w:multiLevelType w:val="hybridMultilevel"/>
    <w:tmpl w:val="7410F792"/>
    <w:lvl w:ilvl="0" w:tplc="3502FF22">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5D0A84A">
      <w:numFmt w:val="bullet"/>
      <w:lvlText w:val="•"/>
      <w:lvlJc w:val="left"/>
      <w:pPr>
        <w:ind w:left="1572" w:hanging="360"/>
      </w:pPr>
      <w:rPr>
        <w:rFonts w:hint="default"/>
        <w:lang w:val="en-US" w:eastAsia="en-US" w:bidi="ar-SA"/>
      </w:rPr>
    </w:lvl>
    <w:lvl w:ilvl="2" w:tplc="939E93E6">
      <w:numFmt w:val="bullet"/>
      <w:lvlText w:val="•"/>
      <w:lvlJc w:val="left"/>
      <w:pPr>
        <w:ind w:left="2405" w:hanging="360"/>
      </w:pPr>
      <w:rPr>
        <w:rFonts w:hint="default"/>
        <w:lang w:val="en-US" w:eastAsia="en-US" w:bidi="ar-SA"/>
      </w:rPr>
    </w:lvl>
    <w:lvl w:ilvl="3" w:tplc="50AAFC38">
      <w:numFmt w:val="bullet"/>
      <w:lvlText w:val="•"/>
      <w:lvlJc w:val="left"/>
      <w:pPr>
        <w:ind w:left="3237" w:hanging="360"/>
      </w:pPr>
      <w:rPr>
        <w:rFonts w:hint="default"/>
        <w:lang w:val="en-US" w:eastAsia="en-US" w:bidi="ar-SA"/>
      </w:rPr>
    </w:lvl>
    <w:lvl w:ilvl="4" w:tplc="AD74E710">
      <w:numFmt w:val="bullet"/>
      <w:lvlText w:val="•"/>
      <w:lvlJc w:val="left"/>
      <w:pPr>
        <w:ind w:left="4070" w:hanging="360"/>
      </w:pPr>
      <w:rPr>
        <w:rFonts w:hint="default"/>
        <w:lang w:val="en-US" w:eastAsia="en-US" w:bidi="ar-SA"/>
      </w:rPr>
    </w:lvl>
    <w:lvl w:ilvl="5" w:tplc="067C2018">
      <w:numFmt w:val="bullet"/>
      <w:lvlText w:val="•"/>
      <w:lvlJc w:val="left"/>
      <w:pPr>
        <w:ind w:left="4903" w:hanging="360"/>
      </w:pPr>
      <w:rPr>
        <w:rFonts w:hint="default"/>
        <w:lang w:val="en-US" w:eastAsia="en-US" w:bidi="ar-SA"/>
      </w:rPr>
    </w:lvl>
    <w:lvl w:ilvl="6" w:tplc="C20861EA">
      <w:numFmt w:val="bullet"/>
      <w:lvlText w:val="•"/>
      <w:lvlJc w:val="left"/>
      <w:pPr>
        <w:ind w:left="5735" w:hanging="360"/>
      </w:pPr>
      <w:rPr>
        <w:rFonts w:hint="default"/>
        <w:lang w:val="en-US" w:eastAsia="en-US" w:bidi="ar-SA"/>
      </w:rPr>
    </w:lvl>
    <w:lvl w:ilvl="7" w:tplc="C8E6BEF0">
      <w:numFmt w:val="bullet"/>
      <w:lvlText w:val="•"/>
      <w:lvlJc w:val="left"/>
      <w:pPr>
        <w:ind w:left="6568" w:hanging="360"/>
      </w:pPr>
      <w:rPr>
        <w:rFonts w:hint="default"/>
        <w:lang w:val="en-US" w:eastAsia="en-US" w:bidi="ar-SA"/>
      </w:rPr>
    </w:lvl>
    <w:lvl w:ilvl="8" w:tplc="9B4ADFE8">
      <w:numFmt w:val="bullet"/>
      <w:lvlText w:val="•"/>
      <w:lvlJc w:val="left"/>
      <w:pPr>
        <w:ind w:left="7400" w:hanging="360"/>
      </w:pPr>
      <w:rPr>
        <w:rFonts w:hint="default"/>
        <w:lang w:val="en-US" w:eastAsia="en-US" w:bidi="ar-SA"/>
      </w:rPr>
    </w:lvl>
  </w:abstractNum>
  <w:abstractNum w:abstractNumId="4" w15:restartNumberingAfterBreak="0">
    <w:nsid w:val="15AC13AB"/>
    <w:multiLevelType w:val="multilevel"/>
    <w:tmpl w:val="9CB8A786"/>
    <w:lvl w:ilvl="0">
      <w:start w:val="1"/>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hint="default"/>
        <w:spacing w:val="-1"/>
        <w:w w:val="100"/>
        <w:lang w:val="en-US" w:eastAsia="en-US" w:bidi="ar-SA"/>
      </w:rPr>
    </w:lvl>
    <w:lvl w:ilvl="2">
      <w:numFmt w:val="bullet"/>
      <w:lvlText w:val="•"/>
      <w:lvlJc w:val="left"/>
      <w:pPr>
        <w:ind w:left="2405" w:hanging="720"/>
      </w:pPr>
      <w:rPr>
        <w:rFonts w:hint="default"/>
        <w:lang w:val="en-US" w:eastAsia="en-US" w:bidi="ar-SA"/>
      </w:rPr>
    </w:lvl>
    <w:lvl w:ilvl="3">
      <w:numFmt w:val="bullet"/>
      <w:lvlText w:val="•"/>
      <w:lvlJc w:val="left"/>
      <w:pPr>
        <w:ind w:left="3237" w:hanging="720"/>
      </w:pPr>
      <w:rPr>
        <w:rFonts w:hint="default"/>
        <w:lang w:val="en-US" w:eastAsia="en-US" w:bidi="ar-SA"/>
      </w:rPr>
    </w:lvl>
    <w:lvl w:ilvl="4">
      <w:numFmt w:val="bullet"/>
      <w:lvlText w:val="•"/>
      <w:lvlJc w:val="left"/>
      <w:pPr>
        <w:ind w:left="4070" w:hanging="720"/>
      </w:pPr>
      <w:rPr>
        <w:rFonts w:hint="default"/>
        <w:lang w:val="en-US" w:eastAsia="en-US" w:bidi="ar-SA"/>
      </w:rPr>
    </w:lvl>
    <w:lvl w:ilvl="5">
      <w:numFmt w:val="bullet"/>
      <w:lvlText w:val="•"/>
      <w:lvlJc w:val="left"/>
      <w:pPr>
        <w:ind w:left="4903" w:hanging="720"/>
      </w:pPr>
      <w:rPr>
        <w:rFonts w:hint="default"/>
        <w:lang w:val="en-US" w:eastAsia="en-US" w:bidi="ar-SA"/>
      </w:rPr>
    </w:lvl>
    <w:lvl w:ilvl="6">
      <w:numFmt w:val="bullet"/>
      <w:lvlText w:val="•"/>
      <w:lvlJc w:val="left"/>
      <w:pPr>
        <w:ind w:left="5735" w:hanging="720"/>
      </w:pPr>
      <w:rPr>
        <w:rFonts w:hint="default"/>
        <w:lang w:val="en-US" w:eastAsia="en-US" w:bidi="ar-SA"/>
      </w:rPr>
    </w:lvl>
    <w:lvl w:ilvl="7">
      <w:numFmt w:val="bullet"/>
      <w:lvlText w:val="•"/>
      <w:lvlJc w:val="left"/>
      <w:pPr>
        <w:ind w:left="6568" w:hanging="720"/>
      </w:pPr>
      <w:rPr>
        <w:rFonts w:hint="default"/>
        <w:lang w:val="en-US" w:eastAsia="en-US" w:bidi="ar-SA"/>
      </w:rPr>
    </w:lvl>
    <w:lvl w:ilvl="8">
      <w:numFmt w:val="bullet"/>
      <w:lvlText w:val="•"/>
      <w:lvlJc w:val="left"/>
      <w:pPr>
        <w:ind w:left="7400" w:hanging="720"/>
      </w:pPr>
      <w:rPr>
        <w:rFonts w:hint="default"/>
        <w:lang w:val="en-US" w:eastAsia="en-US" w:bidi="ar-SA"/>
      </w:rPr>
    </w:lvl>
  </w:abstractNum>
  <w:abstractNum w:abstractNumId="5" w15:restartNumberingAfterBreak="0">
    <w:nsid w:val="19702395"/>
    <w:multiLevelType w:val="hybridMultilevel"/>
    <w:tmpl w:val="F0F6D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4C62F2"/>
    <w:multiLevelType w:val="hybridMultilevel"/>
    <w:tmpl w:val="3216E2D2"/>
    <w:lvl w:ilvl="0" w:tplc="0212DE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D00029"/>
    <w:multiLevelType w:val="multilevel"/>
    <w:tmpl w:val="B58C750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8" w15:restartNumberingAfterBreak="0">
    <w:nsid w:val="223F7540"/>
    <w:multiLevelType w:val="multilevel"/>
    <w:tmpl w:val="C15ED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475F18"/>
    <w:multiLevelType w:val="hybridMultilevel"/>
    <w:tmpl w:val="DD689C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6291"/>
    <w:multiLevelType w:val="multilevel"/>
    <w:tmpl w:val="3F0E7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8E5799B"/>
    <w:multiLevelType w:val="multilevel"/>
    <w:tmpl w:val="E9224B0C"/>
    <w:lvl w:ilvl="0">
      <w:start w:val="1"/>
      <w:numFmt w:val="decimal"/>
      <w:lvlText w:val="%1."/>
      <w:lvlJc w:val="left"/>
      <w:pPr>
        <w:ind w:left="743" w:hanging="360"/>
      </w:pPr>
      <w:rPr>
        <w:rFonts w:ascii="Times New Roman" w:eastAsia="Times New Roman" w:hAnsi="Times New Roman" w:cs="Times New Roman" w:hint="default"/>
        <w:b/>
        <w:bCs/>
        <w:i w:val="0"/>
        <w:iCs w:val="0"/>
        <w:color w:val="0F4761"/>
        <w:spacing w:val="0"/>
        <w:w w:val="100"/>
        <w:sz w:val="24"/>
        <w:szCs w:val="24"/>
        <w:lang w:val="en-US" w:eastAsia="en-US" w:bidi="ar-SA"/>
      </w:rPr>
    </w:lvl>
    <w:lvl w:ilvl="1">
      <w:start w:val="1"/>
      <w:numFmt w:val="decimal"/>
      <w:lvlText w:val="%1.%2."/>
      <w:lvlJc w:val="left"/>
      <w:pPr>
        <w:ind w:left="1103" w:hanging="720"/>
      </w:pPr>
      <w:rPr>
        <w:rFonts w:ascii="Times New Roman" w:eastAsia="Times New Roman" w:hAnsi="Times New Roman" w:cs="Times New Roman" w:hint="default"/>
        <w:b w:val="0"/>
        <w:bCs w:val="0"/>
        <w:i w:val="0"/>
        <w:iCs w:val="0"/>
        <w:color w:val="0F4761"/>
        <w:spacing w:val="0"/>
        <w:w w:val="99"/>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70" w:hanging="360"/>
      </w:pPr>
      <w:rPr>
        <w:rFonts w:hint="default"/>
        <w:lang w:val="en-US" w:eastAsia="en-US" w:bidi="ar-SA"/>
      </w:rPr>
    </w:lvl>
    <w:lvl w:ilvl="4">
      <w:numFmt w:val="bullet"/>
      <w:lvlText w:val="•"/>
      <w:lvlJc w:val="left"/>
      <w:pPr>
        <w:ind w:left="3755" w:hanging="360"/>
      </w:pPr>
      <w:rPr>
        <w:rFonts w:hint="default"/>
        <w:lang w:val="en-US" w:eastAsia="en-US" w:bidi="ar-SA"/>
      </w:rPr>
    </w:lvl>
    <w:lvl w:ilvl="5">
      <w:numFmt w:val="bullet"/>
      <w:lvlText w:val="•"/>
      <w:lvlJc w:val="left"/>
      <w:pPr>
        <w:ind w:left="4640" w:hanging="360"/>
      </w:pPr>
      <w:rPr>
        <w:rFonts w:hint="default"/>
        <w:lang w:val="en-US" w:eastAsia="en-US" w:bidi="ar-SA"/>
      </w:rPr>
    </w:lvl>
    <w:lvl w:ilvl="6">
      <w:numFmt w:val="bullet"/>
      <w:lvlText w:val="•"/>
      <w:lvlJc w:val="left"/>
      <w:pPr>
        <w:ind w:left="5525" w:hanging="360"/>
      </w:pPr>
      <w:rPr>
        <w:rFonts w:hint="default"/>
        <w:lang w:val="en-US" w:eastAsia="en-US" w:bidi="ar-SA"/>
      </w:rPr>
    </w:lvl>
    <w:lvl w:ilvl="7">
      <w:numFmt w:val="bullet"/>
      <w:lvlText w:val="•"/>
      <w:lvlJc w:val="left"/>
      <w:pPr>
        <w:ind w:left="6410" w:hanging="360"/>
      </w:pPr>
      <w:rPr>
        <w:rFonts w:hint="default"/>
        <w:lang w:val="en-US" w:eastAsia="en-US" w:bidi="ar-SA"/>
      </w:rPr>
    </w:lvl>
    <w:lvl w:ilvl="8">
      <w:numFmt w:val="bullet"/>
      <w:lvlText w:val="•"/>
      <w:lvlJc w:val="left"/>
      <w:pPr>
        <w:ind w:left="7295" w:hanging="360"/>
      </w:pPr>
      <w:rPr>
        <w:rFonts w:hint="default"/>
        <w:lang w:val="en-US" w:eastAsia="en-US" w:bidi="ar-SA"/>
      </w:rPr>
    </w:lvl>
  </w:abstractNum>
  <w:abstractNum w:abstractNumId="12" w15:restartNumberingAfterBreak="0">
    <w:nsid w:val="39F658FE"/>
    <w:multiLevelType w:val="multilevel"/>
    <w:tmpl w:val="AF62E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A1D2E9C"/>
    <w:multiLevelType w:val="hybridMultilevel"/>
    <w:tmpl w:val="3C6C508E"/>
    <w:lvl w:ilvl="0" w:tplc="0409000F">
      <w:start w:val="1"/>
      <w:numFmt w:val="decimal"/>
      <w:lvlText w:val="%1."/>
      <w:lvlJc w:val="left"/>
      <w:pPr>
        <w:ind w:left="1080" w:hanging="720"/>
      </w:pPr>
      <w:rPr>
        <w:rFonts w:hint="default"/>
      </w:rPr>
    </w:lvl>
    <w:lvl w:ilvl="1" w:tplc="F11C58EC">
      <w:numFmt w:val="bullet"/>
      <w:lvlText w:val=""/>
      <w:lvlJc w:val="left"/>
      <w:pPr>
        <w:ind w:left="1440" w:hanging="360"/>
      </w:pPr>
      <w:rPr>
        <w:rFonts w:ascii="Symbol" w:eastAsia="Arial" w:hAnsi="Symbo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80A712E"/>
    <w:multiLevelType w:val="multilevel"/>
    <w:tmpl w:val="6D583528"/>
    <w:lvl w:ilvl="0">
      <w:start w:val="5"/>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hint="default"/>
        <w:spacing w:val="-1"/>
        <w:w w:val="100"/>
        <w:lang w:val="en-US" w:eastAsia="en-US" w:bidi="ar-SA"/>
      </w:rPr>
    </w:lvl>
    <w:lvl w:ilvl="2">
      <w:numFmt w:val="bullet"/>
      <w:lvlText w:val="•"/>
      <w:lvlJc w:val="left"/>
      <w:pPr>
        <w:ind w:left="2405" w:hanging="720"/>
      </w:pPr>
      <w:rPr>
        <w:rFonts w:hint="default"/>
        <w:lang w:val="en-US" w:eastAsia="en-US" w:bidi="ar-SA"/>
      </w:rPr>
    </w:lvl>
    <w:lvl w:ilvl="3">
      <w:numFmt w:val="bullet"/>
      <w:lvlText w:val="•"/>
      <w:lvlJc w:val="left"/>
      <w:pPr>
        <w:ind w:left="3237" w:hanging="720"/>
      </w:pPr>
      <w:rPr>
        <w:rFonts w:hint="default"/>
        <w:lang w:val="en-US" w:eastAsia="en-US" w:bidi="ar-SA"/>
      </w:rPr>
    </w:lvl>
    <w:lvl w:ilvl="4">
      <w:numFmt w:val="bullet"/>
      <w:lvlText w:val="•"/>
      <w:lvlJc w:val="left"/>
      <w:pPr>
        <w:ind w:left="4070" w:hanging="720"/>
      </w:pPr>
      <w:rPr>
        <w:rFonts w:hint="default"/>
        <w:lang w:val="en-US" w:eastAsia="en-US" w:bidi="ar-SA"/>
      </w:rPr>
    </w:lvl>
    <w:lvl w:ilvl="5">
      <w:numFmt w:val="bullet"/>
      <w:lvlText w:val="•"/>
      <w:lvlJc w:val="left"/>
      <w:pPr>
        <w:ind w:left="4903" w:hanging="720"/>
      </w:pPr>
      <w:rPr>
        <w:rFonts w:hint="default"/>
        <w:lang w:val="en-US" w:eastAsia="en-US" w:bidi="ar-SA"/>
      </w:rPr>
    </w:lvl>
    <w:lvl w:ilvl="6">
      <w:numFmt w:val="bullet"/>
      <w:lvlText w:val="•"/>
      <w:lvlJc w:val="left"/>
      <w:pPr>
        <w:ind w:left="5735" w:hanging="720"/>
      </w:pPr>
      <w:rPr>
        <w:rFonts w:hint="default"/>
        <w:lang w:val="en-US" w:eastAsia="en-US" w:bidi="ar-SA"/>
      </w:rPr>
    </w:lvl>
    <w:lvl w:ilvl="7">
      <w:numFmt w:val="bullet"/>
      <w:lvlText w:val="•"/>
      <w:lvlJc w:val="left"/>
      <w:pPr>
        <w:ind w:left="6568" w:hanging="720"/>
      </w:pPr>
      <w:rPr>
        <w:rFonts w:hint="default"/>
        <w:lang w:val="en-US" w:eastAsia="en-US" w:bidi="ar-SA"/>
      </w:rPr>
    </w:lvl>
    <w:lvl w:ilvl="8">
      <w:numFmt w:val="bullet"/>
      <w:lvlText w:val="•"/>
      <w:lvlJc w:val="left"/>
      <w:pPr>
        <w:ind w:left="7400" w:hanging="720"/>
      </w:pPr>
      <w:rPr>
        <w:rFonts w:hint="default"/>
        <w:lang w:val="en-US" w:eastAsia="en-US" w:bidi="ar-SA"/>
      </w:rPr>
    </w:lvl>
  </w:abstractNum>
  <w:abstractNum w:abstractNumId="15" w15:restartNumberingAfterBreak="0">
    <w:nsid w:val="4D6C6645"/>
    <w:multiLevelType w:val="multilevel"/>
    <w:tmpl w:val="81BC9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E125C10"/>
    <w:multiLevelType w:val="multilevel"/>
    <w:tmpl w:val="214EF98E"/>
    <w:lvl w:ilvl="0">
      <w:start w:val="3"/>
      <w:numFmt w:val="decimal"/>
      <w:lvlText w:val="%1"/>
      <w:lvlJc w:val="left"/>
      <w:pPr>
        <w:ind w:left="743" w:hanging="720"/>
      </w:pPr>
      <w:rPr>
        <w:rFonts w:hint="default"/>
        <w:lang w:val="en-US" w:eastAsia="en-US" w:bidi="ar-SA"/>
      </w:rPr>
    </w:lvl>
    <w:lvl w:ilvl="1">
      <w:start w:val="1"/>
      <w:numFmt w:val="decimal"/>
      <w:lvlText w:val="%1.%2"/>
      <w:lvlJc w:val="left"/>
      <w:pPr>
        <w:ind w:left="743" w:hanging="720"/>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405" w:hanging="720"/>
      </w:pPr>
      <w:rPr>
        <w:rFonts w:hint="default"/>
        <w:lang w:val="en-US" w:eastAsia="en-US" w:bidi="ar-SA"/>
      </w:rPr>
    </w:lvl>
    <w:lvl w:ilvl="3">
      <w:numFmt w:val="bullet"/>
      <w:lvlText w:val="•"/>
      <w:lvlJc w:val="left"/>
      <w:pPr>
        <w:ind w:left="3237" w:hanging="720"/>
      </w:pPr>
      <w:rPr>
        <w:rFonts w:hint="default"/>
        <w:lang w:val="en-US" w:eastAsia="en-US" w:bidi="ar-SA"/>
      </w:rPr>
    </w:lvl>
    <w:lvl w:ilvl="4">
      <w:numFmt w:val="bullet"/>
      <w:lvlText w:val="•"/>
      <w:lvlJc w:val="left"/>
      <w:pPr>
        <w:ind w:left="4070" w:hanging="720"/>
      </w:pPr>
      <w:rPr>
        <w:rFonts w:hint="default"/>
        <w:lang w:val="en-US" w:eastAsia="en-US" w:bidi="ar-SA"/>
      </w:rPr>
    </w:lvl>
    <w:lvl w:ilvl="5">
      <w:numFmt w:val="bullet"/>
      <w:lvlText w:val="•"/>
      <w:lvlJc w:val="left"/>
      <w:pPr>
        <w:ind w:left="4903" w:hanging="720"/>
      </w:pPr>
      <w:rPr>
        <w:rFonts w:hint="default"/>
        <w:lang w:val="en-US" w:eastAsia="en-US" w:bidi="ar-SA"/>
      </w:rPr>
    </w:lvl>
    <w:lvl w:ilvl="6">
      <w:numFmt w:val="bullet"/>
      <w:lvlText w:val="•"/>
      <w:lvlJc w:val="left"/>
      <w:pPr>
        <w:ind w:left="5735" w:hanging="720"/>
      </w:pPr>
      <w:rPr>
        <w:rFonts w:hint="default"/>
        <w:lang w:val="en-US" w:eastAsia="en-US" w:bidi="ar-SA"/>
      </w:rPr>
    </w:lvl>
    <w:lvl w:ilvl="7">
      <w:numFmt w:val="bullet"/>
      <w:lvlText w:val="•"/>
      <w:lvlJc w:val="left"/>
      <w:pPr>
        <w:ind w:left="6568" w:hanging="720"/>
      </w:pPr>
      <w:rPr>
        <w:rFonts w:hint="default"/>
        <w:lang w:val="en-US" w:eastAsia="en-US" w:bidi="ar-SA"/>
      </w:rPr>
    </w:lvl>
    <w:lvl w:ilvl="8">
      <w:numFmt w:val="bullet"/>
      <w:lvlText w:val="•"/>
      <w:lvlJc w:val="left"/>
      <w:pPr>
        <w:ind w:left="7400" w:hanging="720"/>
      </w:pPr>
      <w:rPr>
        <w:rFonts w:hint="default"/>
        <w:lang w:val="en-US" w:eastAsia="en-US" w:bidi="ar-SA"/>
      </w:rPr>
    </w:lvl>
  </w:abstractNum>
  <w:abstractNum w:abstractNumId="17" w15:restartNumberingAfterBreak="0">
    <w:nsid w:val="532D1A0A"/>
    <w:multiLevelType w:val="hybridMultilevel"/>
    <w:tmpl w:val="3086FA2A"/>
    <w:lvl w:ilvl="0" w:tplc="0212DE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58426E"/>
    <w:multiLevelType w:val="hybridMultilevel"/>
    <w:tmpl w:val="63DC686C"/>
    <w:lvl w:ilvl="0" w:tplc="FE70A8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BB0539"/>
    <w:multiLevelType w:val="hybridMultilevel"/>
    <w:tmpl w:val="FAB21730"/>
    <w:lvl w:ilvl="0" w:tplc="EA66FE00">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E027F92">
      <w:numFmt w:val="bullet"/>
      <w:lvlText w:val="•"/>
      <w:lvlJc w:val="left"/>
      <w:pPr>
        <w:ind w:left="1572" w:hanging="360"/>
      </w:pPr>
      <w:rPr>
        <w:rFonts w:hint="default"/>
        <w:lang w:val="en-US" w:eastAsia="en-US" w:bidi="ar-SA"/>
      </w:rPr>
    </w:lvl>
    <w:lvl w:ilvl="2" w:tplc="AC548766">
      <w:numFmt w:val="bullet"/>
      <w:lvlText w:val="•"/>
      <w:lvlJc w:val="left"/>
      <w:pPr>
        <w:ind w:left="2405" w:hanging="360"/>
      </w:pPr>
      <w:rPr>
        <w:rFonts w:hint="default"/>
        <w:lang w:val="en-US" w:eastAsia="en-US" w:bidi="ar-SA"/>
      </w:rPr>
    </w:lvl>
    <w:lvl w:ilvl="3" w:tplc="DAEE7802">
      <w:numFmt w:val="bullet"/>
      <w:lvlText w:val="•"/>
      <w:lvlJc w:val="left"/>
      <w:pPr>
        <w:ind w:left="3237" w:hanging="360"/>
      </w:pPr>
      <w:rPr>
        <w:rFonts w:hint="default"/>
        <w:lang w:val="en-US" w:eastAsia="en-US" w:bidi="ar-SA"/>
      </w:rPr>
    </w:lvl>
    <w:lvl w:ilvl="4" w:tplc="68B4528A">
      <w:numFmt w:val="bullet"/>
      <w:lvlText w:val="•"/>
      <w:lvlJc w:val="left"/>
      <w:pPr>
        <w:ind w:left="4070" w:hanging="360"/>
      </w:pPr>
      <w:rPr>
        <w:rFonts w:hint="default"/>
        <w:lang w:val="en-US" w:eastAsia="en-US" w:bidi="ar-SA"/>
      </w:rPr>
    </w:lvl>
    <w:lvl w:ilvl="5" w:tplc="C8922A3A">
      <w:numFmt w:val="bullet"/>
      <w:lvlText w:val="•"/>
      <w:lvlJc w:val="left"/>
      <w:pPr>
        <w:ind w:left="4903" w:hanging="360"/>
      </w:pPr>
      <w:rPr>
        <w:rFonts w:hint="default"/>
        <w:lang w:val="en-US" w:eastAsia="en-US" w:bidi="ar-SA"/>
      </w:rPr>
    </w:lvl>
    <w:lvl w:ilvl="6" w:tplc="7F5ED55A">
      <w:numFmt w:val="bullet"/>
      <w:lvlText w:val="•"/>
      <w:lvlJc w:val="left"/>
      <w:pPr>
        <w:ind w:left="5735" w:hanging="360"/>
      </w:pPr>
      <w:rPr>
        <w:rFonts w:hint="default"/>
        <w:lang w:val="en-US" w:eastAsia="en-US" w:bidi="ar-SA"/>
      </w:rPr>
    </w:lvl>
    <w:lvl w:ilvl="7" w:tplc="7FF08B8A">
      <w:numFmt w:val="bullet"/>
      <w:lvlText w:val="•"/>
      <w:lvlJc w:val="left"/>
      <w:pPr>
        <w:ind w:left="6568" w:hanging="360"/>
      </w:pPr>
      <w:rPr>
        <w:rFonts w:hint="default"/>
        <w:lang w:val="en-US" w:eastAsia="en-US" w:bidi="ar-SA"/>
      </w:rPr>
    </w:lvl>
    <w:lvl w:ilvl="8" w:tplc="A0D2008E">
      <w:numFmt w:val="bullet"/>
      <w:lvlText w:val="•"/>
      <w:lvlJc w:val="left"/>
      <w:pPr>
        <w:ind w:left="7400" w:hanging="360"/>
      </w:pPr>
      <w:rPr>
        <w:rFonts w:hint="default"/>
        <w:lang w:val="en-US" w:eastAsia="en-US" w:bidi="ar-SA"/>
      </w:rPr>
    </w:lvl>
  </w:abstractNum>
  <w:abstractNum w:abstractNumId="20" w15:restartNumberingAfterBreak="0">
    <w:nsid w:val="5F0B773A"/>
    <w:multiLevelType w:val="hybridMultilevel"/>
    <w:tmpl w:val="6ECC10B0"/>
    <w:lvl w:ilvl="0" w:tplc="AD82D118">
      <w:start w:val="1"/>
      <w:numFmt w:val="decimal"/>
      <w:lvlText w:val="%1."/>
      <w:lvlJc w:val="left"/>
      <w:pPr>
        <w:ind w:left="743" w:hanging="360"/>
      </w:pPr>
      <w:rPr>
        <w:rFonts w:ascii="Trebuchet MS" w:eastAsia="Trebuchet MS" w:hAnsi="Trebuchet MS" w:cs="Trebuchet MS" w:hint="default"/>
        <w:b w:val="0"/>
        <w:bCs w:val="0"/>
        <w:i w:val="0"/>
        <w:iCs w:val="0"/>
        <w:spacing w:val="-1"/>
        <w:w w:val="86"/>
        <w:sz w:val="24"/>
        <w:szCs w:val="24"/>
        <w:lang w:val="en-US" w:eastAsia="en-US" w:bidi="ar-SA"/>
      </w:rPr>
    </w:lvl>
    <w:lvl w:ilvl="1" w:tplc="2E2E1B96">
      <w:numFmt w:val="bullet"/>
      <w:lvlText w:val="•"/>
      <w:lvlJc w:val="left"/>
      <w:pPr>
        <w:ind w:left="1572" w:hanging="360"/>
      </w:pPr>
      <w:rPr>
        <w:rFonts w:hint="default"/>
        <w:lang w:val="en-US" w:eastAsia="en-US" w:bidi="ar-SA"/>
      </w:rPr>
    </w:lvl>
    <w:lvl w:ilvl="2" w:tplc="A1106DF8">
      <w:numFmt w:val="bullet"/>
      <w:lvlText w:val="•"/>
      <w:lvlJc w:val="left"/>
      <w:pPr>
        <w:ind w:left="2405" w:hanging="360"/>
      </w:pPr>
      <w:rPr>
        <w:rFonts w:hint="default"/>
        <w:lang w:val="en-US" w:eastAsia="en-US" w:bidi="ar-SA"/>
      </w:rPr>
    </w:lvl>
    <w:lvl w:ilvl="3" w:tplc="3F0C15D4">
      <w:numFmt w:val="bullet"/>
      <w:lvlText w:val="•"/>
      <w:lvlJc w:val="left"/>
      <w:pPr>
        <w:ind w:left="3237" w:hanging="360"/>
      </w:pPr>
      <w:rPr>
        <w:rFonts w:hint="default"/>
        <w:lang w:val="en-US" w:eastAsia="en-US" w:bidi="ar-SA"/>
      </w:rPr>
    </w:lvl>
    <w:lvl w:ilvl="4" w:tplc="C47097F4">
      <w:numFmt w:val="bullet"/>
      <w:lvlText w:val="•"/>
      <w:lvlJc w:val="left"/>
      <w:pPr>
        <w:ind w:left="4070" w:hanging="360"/>
      </w:pPr>
      <w:rPr>
        <w:rFonts w:hint="default"/>
        <w:lang w:val="en-US" w:eastAsia="en-US" w:bidi="ar-SA"/>
      </w:rPr>
    </w:lvl>
    <w:lvl w:ilvl="5" w:tplc="09542DF2">
      <w:numFmt w:val="bullet"/>
      <w:lvlText w:val="•"/>
      <w:lvlJc w:val="left"/>
      <w:pPr>
        <w:ind w:left="4903" w:hanging="360"/>
      </w:pPr>
      <w:rPr>
        <w:rFonts w:hint="default"/>
        <w:lang w:val="en-US" w:eastAsia="en-US" w:bidi="ar-SA"/>
      </w:rPr>
    </w:lvl>
    <w:lvl w:ilvl="6" w:tplc="033ED672">
      <w:numFmt w:val="bullet"/>
      <w:lvlText w:val="•"/>
      <w:lvlJc w:val="left"/>
      <w:pPr>
        <w:ind w:left="5735" w:hanging="360"/>
      </w:pPr>
      <w:rPr>
        <w:rFonts w:hint="default"/>
        <w:lang w:val="en-US" w:eastAsia="en-US" w:bidi="ar-SA"/>
      </w:rPr>
    </w:lvl>
    <w:lvl w:ilvl="7" w:tplc="56A8D2EE">
      <w:numFmt w:val="bullet"/>
      <w:lvlText w:val="•"/>
      <w:lvlJc w:val="left"/>
      <w:pPr>
        <w:ind w:left="6568" w:hanging="360"/>
      </w:pPr>
      <w:rPr>
        <w:rFonts w:hint="default"/>
        <w:lang w:val="en-US" w:eastAsia="en-US" w:bidi="ar-SA"/>
      </w:rPr>
    </w:lvl>
    <w:lvl w:ilvl="8" w:tplc="85768858">
      <w:numFmt w:val="bullet"/>
      <w:lvlText w:val="•"/>
      <w:lvlJc w:val="left"/>
      <w:pPr>
        <w:ind w:left="7400" w:hanging="360"/>
      </w:pPr>
      <w:rPr>
        <w:rFonts w:hint="default"/>
        <w:lang w:val="en-US" w:eastAsia="en-US" w:bidi="ar-SA"/>
      </w:rPr>
    </w:lvl>
  </w:abstractNum>
  <w:abstractNum w:abstractNumId="21" w15:restartNumberingAfterBreak="0">
    <w:nsid w:val="736E24A3"/>
    <w:multiLevelType w:val="hybridMultilevel"/>
    <w:tmpl w:val="9650F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983781">
    <w:abstractNumId w:val="14"/>
  </w:num>
  <w:num w:numId="2" w16cid:durableId="887693200">
    <w:abstractNumId w:val="16"/>
  </w:num>
  <w:num w:numId="3" w16cid:durableId="299727070">
    <w:abstractNumId w:val="1"/>
  </w:num>
  <w:num w:numId="4" w16cid:durableId="1922449721">
    <w:abstractNumId w:val="4"/>
  </w:num>
  <w:num w:numId="5" w16cid:durableId="318966458">
    <w:abstractNumId w:val="3"/>
  </w:num>
  <w:num w:numId="6" w16cid:durableId="148600984">
    <w:abstractNumId w:val="19"/>
  </w:num>
  <w:num w:numId="7" w16cid:durableId="1633748491">
    <w:abstractNumId w:val="20"/>
  </w:num>
  <w:num w:numId="8" w16cid:durableId="2131895337">
    <w:abstractNumId w:val="11"/>
  </w:num>
  <w:num w:numId="9" w16cid:durableId="96753748">
    <w:abstractNumId w:val="5"/>
  </w:num>
  <w:num w:numId="10" w16cid:durableId="1119371633">
    <w:abstractNumId w:val="8"/>
  </w:num>
  <w:num w:numId="11" w16cid:durableId="974867240">
    <w:abstractNumId w:val="17"/>
  </w:num>
  <w:num w:numId="12" w16cid:durableId="20502390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05302902">
    <w:abstractNumId w:val="6"/>
  </w:num>
  <w:num w:numId="14" w16cid:durableId="326254282">
    <w:abstractNumId w:val="13"/>
  </w:num>
  <w:num w:numId="15" w16cid:durableId="2018264836">
    <w:abstractNumId w:val="21"/>
  </w:num>
  <w:num w:numId="16" w16cid:durableId="1501234067">
    <w:abstractNumId w:val="9"/>
  </w:num>
  <w:num w:numId="17" w16cid:durableId="212234504">
    <w:abstractNumId w:val="10"/>
  </w:num>
  <w:num w:numId="18" w16cid:durableId="251475471">
    <w:abstractNumId w:val="15"/>
  </w:num>
  <w:num w:numId="19" w16cid:durableId="502477054">
    <w:abstractNumId w:val="12"/>
  </w:num>
  <w:num w:numId="20" w16cid:durableId="802191641">
    <w:abstractNumId w:val="0"/>
  </w:num>
  <w:num w:numId="21" w16cid:durableId="2075425419">
    <w:abstractNumId w:val="18"/>
  </w:num>
  <w:num w:numId="22" w16cid:durableId="104159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3C1"/>
    <w:rsid w:val="00201C5B"/>
    <w:rsid w:val="00243A7D"/>
    <w:rsid w:val="00270475"/>
    <w:rsid w:val="00307772"/>
    <w:rsid w:val="00326EA3"/>
    <w:rsid w:val="0033720D"/>
    <w:rsid w:val="00436DCB"/>
    <w:rsid w:val="004C3D6C"/>
    <w:rsid w:val="005113C1"/>
    <w:rsid w:val="00557024"/>
    <w:rsid w:val="0056380F"/>
    <w:rsid w:val="005A6290"/>
    <w:rsid w:val="005B0CCB"/>
    <w:rsid w:val="005B3B31"/>
    <w:rsid w:val="006323E1"/>
    <w:rsid w:val="00661C8B"/>
    <w:rsid w:val="006A4956"/>
    <w:rsid w:val="006E0E45"/>
    <w:rsid w:val="006F7BDE"/>
    <w:rsid w:val="007D145F"/>
    <w:rsid w:val="00904CFE"/>
    <w:rsid w:val="00974C67"/>
    <w:rsid w:val="009E7E7B"/>
    <w:rsid w:val="00A356BF"/>
    <w:rsid w:val="00A422BD"/>
    <w:rsid w:val="00B22EFF"/>
    <w:rsid w:val="00B255E2"/>
    <w:rsid w:val="00B72D4B"/>
    <w:rsid w:val="00BF2488"/>
    <w:rsid w:val="00E90521"/>
    <w:rsid w:val="00ED6D89"/>
    <w:rsid w:val="00F8431B"/>
    <w:rsid w:val="00FA5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024D42"/>
  <w15:docId w15:val="{B3A93213-2878-4F60-87C7-0FA906537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8"/>
      <w:ind w:left="7"/>
      <w:jc w:val="center"/>
      <w:outlineLvl w:val="0"/>
    </w:pPr>
    <w:rPr>
      <w:b/>
      <w:bCs/>
      <w:sz w:val="32"/>
      <w:szCs w:val="32"/>
    </w:rPr>
  </w:style>
  <w:style w:type="paragraph" w:styleId="Heading2">
    <w:name w:val="heading 2"/>
    <w:basedOn w:val="Normal"/>
    <w:link w:val="Heading2Char"/>
    <w:uiPriority w:val="9"/>
    <w:unhideWhenUsed/>
    <w:qFormat/>
    <w:pPr>
      <w:ind w:left="19"/>
      <w:outlineLvl w:val="1"/>
    </w:pPr>
    <w:rPr>
      <w:sz w:val="28"/>
      <w:szCs w:val="28"/>
    </w:rPr>
  </w:style>
  <w:style w:type="paragraph" w:styleId="Heading3">
    <w:name w:val="heading 3"/>
    <w:basedOn w:val="Normal"/>
    <w:link w:val="Heading3Char"/>
    <w:uiPriority w:val="9"/>
    <w:unhideWhenUsed/>
    <w:qFormat/>
    <w:pPr>
      <w:spacing w:before="80"/>
      <w:ind w:left="743" w:hanging="360"/>
      <w:outlineLvl w:val="2"/>
    </w:pPr>
    <w:rPr>
      <w:b/>
      <w:bCs/>
      <w:sz w:val="24"/>
      <w:szCs w:val="24"/>
    </w:rPr>
  </w:style>
  <w:style w:type="paragraph" w:styleId="Heading4">
    <w:name w:val="heading 4"/>
    <w:basedOn w:val="Normal"/>
    <w:link w:val="Heading4Char"/>
    <w:uiPriority w:val="9"/>
    <w:unhideWhenUsed/>
    <w:qFormat/>
    <w:pPr>
      <w:ind w:left="23"/>
      <w:jc w:val="both"/>
      <w:outlineLvl w:val="3"/>
    </w:pPr>
    <w:rPr>
      <w:b/>
      <w:bCs/>
      <w:i/>
      <w:iCs/>
      <w:sz w:val="24"/>
      <w:szCs w:val="24"/>
    </w:rPr>
  </w:style>
  <w:style w:type="paragraph" w:styleId="Heading5">
    <w:name w:val="heading 5"/>
    <w:basedOn w:val="Normal"/>
    <w:next w:val="Normal"/>
    <w:link w:val="Heading5Char"/>
    <w:uiPriority w:val="9"/>
    <w:semiHidden/>
    <w:unhideWhenUsed/>
    <w:qFormat/>
    <w:rsid w:val="007D145F"/>
    <w:pPr>
      <w:keepNext/>
      <w:keepLines/>
      <w:widowControl/>
      <w:autoSpaceDE/>
      <w:autoSpaceDN/>
      <w:spacing w:before="240" w:after="80" w:line="276" w:lineRule="auto"/>
      <w:outlineLvl w:val="4"/>
    </w:pPr>
    <w:rPr>
      <w:rFonts w:ascii="Arial" w:eastAsia="Arial" w:hAnsi="Arial" w:cs="Arial"/>
      <w:color w:val="666666"/>
      <w:lang w:val="en"/>
    </w:rPr>
  </w:style>
  <w:style w:type="paragraph" w:styleId="Heading6">
    <w:name w:val="heading 6"/>
    <w:basedOn w:val="Normal"/>
    <w:next w:val="Normal"/>
    <w:link w:val="Heading6Char"/>
    <w:uiPriority w:val="9"/>
    <w:semiHidden/>
    <w:unhideWhenUsed/>
    <w:qFormat/>
    <w:rsid w:val="007D145F"/>
    <w:pPr>
      <w:keepNext/>
      <w:keepLines/>
      <w:widowControl/>
      <w:autoSpaceDE/>
      <w:autoSpaceDN/>
      <w:spacing w:before="240" w:after="80" w:line="276" w:lineRule="auto"/>
      <w:outlineLvl w:val="5"/>
    </w:pPr>
    <w:rPr>
      <w:rFonts w:ascii="Arial" w:eastAsia="Arial" w:hAnsi="Arial" w:cs="Arial"/>
      <w:i/>
      <w:color w:val="666666"/>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pPr>
      <w:ind w:left="743" w:hanging="360"/>
    </w:pPr>
  </w:style>
  <w:style w:type="paragraph" w:customStyle="1" w:styleId="TableParagraph">
    <w:name w:val="Table Paragraph"/>
    <w:basedOn w:val="Normal"/>
    <w:uiPriority w:val="1"/>
    <w:qFormat/>
    <w:pPr>
      <w:spacing w:before="1"/>
      <w:ind w:left="110"/>
    </w:pPr>
  </w:style>
  <w:style w:type="character" w:customStyle="1" w:styleId="Heading5Char">
    <w:name w:val="Heading 5 Char"/>
    <w:basedOn w:val="DefaultParagraphFont"/>
    <w:link w:val="Heading5"/>
    <w:uiPriority w:val="9"/>
    <w:semiHidden/>
    <w:rsid w:val="007D145F"/>
    <w:rPr>
      <w:rFonts w:ascii="Arial" w:eastAsia="Arial" w:hAnsi="Arial" w:cs="Arial"/>
      <w:color w:val="666666"/>
      <w:lang w:val="en"/>
    </w:rPr>
  </w:style>
  <w:style w:type="character" w:customStyle="1" w:styleId="Heading6Char">
    <w:name w:val="Heading 6 Char"/>
    <w:basedOn w:val="DefaultParagraphFont"/>
    <w:link w:val="Heading6"/>
    <w:uiPriority w:val="9"/>
    <w:semiHidden/>
    <w:rsid w:val="007D145F"/>
    <w:rPr>
      <w:rFonts w:ascii="Arial" w:eastAsia="Arial" w:hAnsi="Arial" w:cs="Arial"/>
      <w:i/>
      <w:color w:val="666666"/>
      <w:lang w:val="en"/>
    </w:rPr>
  </w:style>
  <w:style w:type="character" w:customStyle="1" w:styleId="Heading1Char">
    <w:name w:val="Heading 1 Char"/>
    <w:basedOn w:val="DefaultParagraphFont"/>
    <w:link w:val="Heading1"/>
    <w:uiPriority w:val="9"/>
    <w:rsid w:val="007D145F"/>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9"/>
    <w:rsid w:val="007D145F"/>
    <w:rPr>
      <w:rFonts w:ascii="Times New Roman" w:eastAsia="Times New Roman" w:hAnsi="Times New Roman" w:cs="Times New Roman"/>
      <w:sz w:val="28"/>
      <w:szCs w:val="28"/>
    </w:rPr>
  </w:style>
  <w:style w:type="character" w:customStyle="1" w:styleId="Heading3Char">
    <w:name w:val="Heading 3 Char"/>
    <w:basedOn w:val="DefaultParagraphFont"/>
    <w:link w:val="Heading3"/>
    <w:uiPriority w:val="9"/>
    <w:rsid w:val="007D145F"/>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7D145F"/>
    <w:rPr>
      <w:rFonts w:ascii="Times New Roman" w:eastAsia="Times New Roman" w:hAnsi="Times New Roman" w:cs="Times New Roman"/>
      <w:b/>
      <w:bCs/>
      <w:i/>
      <w:iCs/>
      <w:sz w:val="24"/>
      <w:szCs w:val="24"/>
    </w:rPr>
  </w:style>
  <w:style w:type="paragraph" w:styleId="Title">
    <w:name w:val="Title"/>
    <w:basedOn w:val="Normal"/>
    <w:next w:val="Normal"/>
    <w:link w:val="TitleChar"/>
    <w:uiPriority w:val="10"/>
    <w:qFormat/>
    <w:rsid w:val="007D145F"/>
    <w:pPr>
      <w:keepNext/>
      <w:keepLines/>
      <w:widowControl/>
      <w:autoSpaceDE/>
      <w:autoSpaceDN/>
      <w:spacing w:after="60" w:line="276" w:lineRule="auto"/>
    </w:pPr>
    <w:rPr>
      <w:rFonts w:ascii="Arial" w:eastAsia="Arial" w:hAnsi="Arial" w:cs="Arial"/>
      <w:sz w:val="52"/>
      <w:szCs w:val="52"/>
      <w:lang w:val="en"/>
    </w:rPr>
  </w:style>
  <w:style w:type="character" w:customStyle="1" w:styleId="TitleChar">
    <w:name w:val="Title Char"/>
    <w:basedOn w:val="DefaultParagraphFont"/>
    <w:link w:val="Title"/>
    <w:uiPriority w:val="10"/>
    <w:rsid w:val="007D145F"/>
    <w:rPr>
      <w:rFonts w:ascii="Arial" w:eastAsia="Arial" w:hAnsi="Arial" w:cs="Arial"/>
      <w:sz w:val="52"/>
      <w:szCs w:val="52"/>
      <w:lang w:val="en"/>
    </w:rPr>
  </w:style>
  <w:style w:type="paragraph" w:styleId="Subtitle">
    <w:name w:val="Subtitle"/>
    <w:basedOn w:val="Normal"/>
    <w:next w:val="Normal"/>
    <w:link w:val="SubtitleChar"/>
    <w:uiPriority w:val="11"/>
    <w:qFormat/>
    <w:rsid w:val="007D145F"/>
    <w:pPr>
      <w:keepNext/>
      <w:keepLines/>
      <w:widowControl/>
      <w:autoSpaceDE/>
      <w:autoSpaceDN/>
      <w:spacing w:after="320" w:line="276" w:lineRule="auto"/>
    </w:pPr>
    <w:rPr>
      <w:rFonts w:ascii="Arial" w:eastAsia="Arial" w:hAnsi="Arial" w:cs="Arial"/>
      <w:color w:val="666666"/>
      <w:sz w:val="30"/>
      <w:szCs w:val="30"/>
      <w:lang w:val="en"/>
    </w:rPr>
  </w:style>
  <w:style w:type="character" w:customStyle="1" w:styleId="SubtitleChar">
    <w:name w:val="Subtitle Char"/>
    <w:basedOn w:val="DefaultParagraphFont"/>
    <w:link w:val="Subtitle"/>
    <w:uiPriority w:val="11"/>
    <w:rsid w:val="007D145F"/>
    <w:rPr>
      <w:rFonts w:ascii="Arial" w:eastAsia="Arial" w:hAnsi="Arial" w:cs="Arial"/>
      <w:color w:val="666666"/>
      <w:sz w:val="30"/>
      <w:szCs w:val="30"/>
      <w:lang w:val="en"/>
    </w:rPr>
  </w:style>
  <w:style w:type="character" w:styleId="Strong">
    <w:name w:val="Strong"/>
    <w:basedOn w:val="DefaultParagraphFont"/>
    <w:uiPriority w:val="22"/>
    <w:qFormat/>
    <w:rsid w:val="007D145F"/>
    <w:rPr>
      <w:b/>
      <w:bCs/>
    </w:rPr>
  </w:style>
  <w:style w:type="character" w:styleId="Hyperlink">
    <w:name w:val="Hyperlink"/>
    <w:basedOn w:val="DefaultParagraphFont"/>
    <w:uiPriority w:val="99"/>
    <w:unhideWhenUsed/>
    <w:rsid w:val="007D145F"/>
    <w:rPr>
      <w:color w:val="0000FF" w:themeColor="hyperlink"/>
      <w:u w:val="single"/>
    </w:rPr>
  </w:style>
  <w:style w:type="character" w:customStyle="1" w:styleId="UnresolvedMention1">
    <w:name w:val="Unresolved Mention1"/>
    <w:basedOn w:val="DefaultParagraphFont"/>
    <w:uiPriority w:val="99"/>
    <w:semiHidden/>
    <w:unhideWhenUsed/>
    <w:rsid w:val="007D145F"/>
    <w:rPr>
      <w:color w:val="605E5C"/>
      <w:shd w:val="clear" w:color="auto" w:fill="E1DFDD"/>
    </w:rPr>
  </w:style>
  <w:style w:type="character" w:customStyle="1" w:styleId="editortnoteditedwurp8">
    <w:name w:val="editor_t__not_edited__wurp8"/>
    <w:basedOn w:val="DefaultParagraphFont"/>
    <w:rsid w:val="007D145F"/>
  </w:style>
  <w:style w:type="character" w:customStyle="1" w:styleId="editortaddedltunj">
    <w:name w:val="editor_t__added__ltunj"/>
    <w:basedOn w:val="DefaultParagraphFont"/>
    <w:rsid w:val="007D145F"/>
  </w:style>
  <w:style w:type="character" w:customStyle="1" w:styleId="editortnoteditedlongjunnx">
    <w:name w:val="editor_t__not_edited_long__junnx"/>
    <w:basedOn w:val="DefaultParagraphFont"/>
    <w:rsid w:val="007D145F"/>
  </w:style>
  <w:style w:type="paragraph" w:styleId="NormalWeb">
    <w:name w:val="Normal (Web)"/>
    <w:basedOn w:val="Normal"/>
    <w:uiPriority w:val="99"/>
    <w:unhideWhenUsed/>
    <w:rsid w:val="007D145F"/>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7D145F"/>
    <w:rPr>
      <w:i/>
      <w:iCs/>
    </w:rPr>
  </w:style>
  <w:style w:type="paragraph" w:styleId="Caption">
    <w:name w:val="caption"/>
    <w:basedOn w:val="Normal"/>
    <w:next w:val="Normal"/>
    <w:uiPriority w:val="35"/>
    <w:unhideWhenUsed/>
    <w:qFormat/>
    <w:rsid w:val="007D145F"/>
    <w:pPr>
      <w:widowControl/>
      <w:autoSpaceDE/>
      <w:autoSpaceDN/>
      <w:spacing w:after="200"/>
    </w:pPr>
    <w:rPr>
      <w:rFonts w:ascii="Arial" w:eastAsia="Arial" w:hAnsi="Arial" w:cs="Arial"/>
      <w:i/>
      <w:iCs/>
      <w:color w:val="1F497D" w:themeColor="text2"/>
      <w:sz w:val="18"/>
      <w:szCs w:val="18"/>
      <w:lang w:val="en"/>
    </w:rPr>
  </w:style>
  <w:style w:type="character" w:customStyle="1" w:styleId="UnresolvedMention2">
    <w:name w:val="Unresolved Mention2"/>
    <w:basedOn w:val="DefaultParagraphFont"/>
    <w:uiPriority w:val="99"/>
    <w:semiHidden/>
    <w:unhideWhenUsed/>
    <w:rsid w:val="007D145F"/>
    <w:rPr>
      <w:color w:val="605E5C"/>
      <w:shd w:val="clear" w:color="auto" w:fill="E1DFDD"/>
    </w:rPr>
  </w:style>
  <w:style w:type="paragraph" w:styleId="TOCHeading">
    <w:name w:val="TOC Heading"/>
    <w:basedOn w:val="Heading1"/>
    <w:next w:val="Normal"/>
    <w:uiPriority w:val="39"/>
    <w:unhideWhenUsed/>
    <w:qFormat/>
    <w:rsid w:val="007D145F"/>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rPr>
  </w:style>
  <w:style w:type="paragraph" w:styleId="TOC2">
    <w:name w:val="toc 2"/>
    <w:basedOn w:val="Normal"/>
    <w:next w:val="Normal"/>
    <w:autoRedefine/>
    <w:uiPriority w:val="39"/>
    <w:unhideWhenUsed/>
    <w:rsid w:val="007D145F"/>
    <w:pPr>
      <w:widowControl/>
      <w:autoSpaceDE/>
      <w:autoSpaceDN/>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7D145F"/>
    <w:pPr>
      <w:widowControl/>
      <w:autoSpaceDE/>
      <w:autoSpaceDN/>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7D145F"/>
    <w:pPr>
      <w:widowControl/>
      <w:autoSpaceDE/>
      <w:autoSpaceDN/>
      <w:spacing w:after="100" w:line="259" w:lineRule="auto"/>
      <w:ind w:left="440"/>
    </w:pPr>
    <w:rPr>
      <w:rFonts w:asciiTheme="minorHAnsi" w:eastAsiaTheme="minorEastAsia" w:hAnsiTheme="minorHAnsi"/>
    </w:rPr>
  </w:style>
  <w:style w:type="paragraph" w:styleId="TableofFigures">
    <w:name w:val="table of figures"/>
    <w:basedOn w:val="Normal"/>
    <w:next w:val="Normal"/>
    <w:uiPriority w:val="99"/>
    <w:unhideWhenUsed/>
    <w:rsid w:val="007D145F"/>
    <w:pPr>
      <w:widowControl/>
      <w:autoSpaceDE/>
      <w:autoSpaceDN/>
      <w:spacing w:line="276" w:lineRule="auto"/>
    </w:pPr>
    <w:rPr>
      <w:rFonts w:ascii="Arial" w:eastAsia="Arial" w:hAnsi="Arial" w:cs="Arial"/>
      <w:lang w:val="en"/>
    </w:rPr>
  </w:style>
  <w:style w:type="character" w:customStyle="1" w:styleId="UnresolvedMention3">
    <w:name w:val="Unresolved Mention3"/>
    <w:basedOn w:val="DefaultParagraphFont"/>
    <w:uiPriority w:val="99"/>
    <w:semiHidden/>
    <w:unhideWhenUsed/>
    <w:rsid w:val="007D145F"/>
    <w:rPr>
      <w:color w:val="605E5C"/>
      <w:shd w:val="clear" w:color="auto" w:fill="E1DFDD"/>
    </w:rPr>
  </w:style>
  <w:style w:type="character" w:styleId="FollowedHyperlink">
    <w:name w:val="FollowedHyperlink"/>
    <w:basedOn w:val="DefaultParagraphFont"/>
    <w:uiPriority w:val="99"/>
    <w:semiHidden/>
    <w:unhideWhenUsed/>
    <w:rsid w:val="007D145F"/>
    <w:rPr>
      <w:color w:val="800080" w:themeColor="followedHyperlink"/>
      <w:u w:val="single"/>
    </w:rPr>
  </w:style>
  <w:style w:type="character" w:customStyle="1" w:styleId="url">
    <w:name w:val="url"/>
    <w:basedOn w:val="DefaultParagraphFont"/>
    <w:rsid w:val="007D145F"/>
  </w:style>
  <w:style w:type="paragraph" w:styleId="Header">
    <w:name w:val="header"/>
    <w:basedOn w:val="Normal"/>
    <w:link w:val="HeaderChar"/>
    <w:uiPriority w:val="99"/>
    <w:unhideWhenUsed/>
    <w:rsid w:val="007D145F"/>
    <w:pPr>
      <w:widowControl/>
      <w:tabs>
        <w:tab w:val="center" w:pos="4680"/>
        <w:tab w:val="right" w:pos="9360"/>
      </w:tabs>
      <w:autoSpaceDE/>
      <w:autoSpaceDN/>
    </w:pPr>
    <w:rPr>
      <w:rFonts w:ascii="Arial" w:eastAsia="Arial" w:hAnsi="Arial" w:cs="Arial"/>
      <w:lang w:val="en"/>
    </w:rPr>
  </w:style>
  <w:style w:type="character" w:customStyle="1" w:styleId="HeaderChar">
    <w:name w:val="Header Char"/>
    <w:basedOn w:val="DefaultParagraphFont"/>
    <w:link w:val="Header"/>
    <w:uiPriority w:val="99"/>
    <w:rsid w:val="007D145F"/>
    <w:rPr>
      <w:rFonts w:ascii="Arial" w:eastAsia="Arial" w:hAnsi="Arial" w:cs="Arial"/>
      <w:lang w:val="en"/>
    </w:rPr>
  </w:style>
  <w:style w:type="paragraph" w:styleId="Footer">
    <w:name w:val="footer"/>
    <w:basedOn w:val="Normal"/>
    <w:link w:val="FooterChar"/>
    <w:uiPriority w:val="99"/>
    <w:unhideWhenUsed/>
    <w:rsid w:val="007D145F"/>
    <w:pPr>
      <w:widowControl/>
      <w:tabs>
        <w:tab w:val="center" w:pos="4680"/>
        <w:tab w:val="right" w:pos="9360"/>
      </w:tabs>
      <w:autoSpaceDE/>
      <w:autoSpaceDN/>
    </w:pPr>
    <w:rPr>
      <w:rFonts w:ascii="Arial" w:eastAsia="Arial" w:hAnsi="Arial" w:cs="Arial"/>
      <w:lang w:val="en"/>
    </w:rPr>
  </w:style>
  <w:style w:type="character" w:customStyle="1" w:styleId="FooterChar">
    <w:name w:val="Footer Char"/>
    <w:basedOn w:val="DefaultParagraphFont"/>
    <w:link w:val="Footer"/>
    <w:uiPriority w:val="99"/>
    <w:rsid w:val="007D145F"/>
    <w:rPr>
      <w:rFonts w:ascii="Arial" w:eastAsia="Arial" w:hAnsi="Arial" w:cs="Arial"/>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4655">
      <w:bodyDiv w:val="1"/>
      <w:marLeft w:val="0"/>
      <w:marRight w:val="0"/>
      <w:marTop w:val="0"/>
      <w:marBottom w:val="0"/>
      <w:divBdr>
        <w:top w:val="none" w:sz="0" w:space="0" w:color="auto"/>
        <w:left w:val="none" w:sz="0" w:space="0" w:color="auto"/>
        <w:bottom w:val="none" w:sz="0" w:space="0" w:color="auto"/>
        <w:right w:val="none" w:sz="0" w:space="0" w:color="auto"/>
      </w:divBdr>
    </w:div>
    <w:div w:id="633995747">
      <w:bodyDiv w:val="1"/>
      <w:marLeft w:val="0"/>
      <w:marRight w:val="0"/>
      <w:marTop w:val="0"/>
      <w:marBottom w:val="0"/>
      <w:divBdr>
        <w:top w:val="none" w:sz="0" w:space="0" w:color="auto"/>
        <w:left w:val="none" w:sz="0" w:space="0" w:color="auto"/>
        <w:bottom w:val="none" w:sz="0" w:space="0" w:color="auto"/>
        <w:right w:val="none" w:sz="0" w:space="0" w:color="auto"/>
      </w:divBdr>
      <w:divsChild>
        <w:div w:id="6060625">
          <w:marLeft w:val="-720"/>
          <w:marRight w:val="0"/>
          <w:marTop w:val="0"/>
          <w:marBottom w:val="0"/>
          <w:divBdr>
            <w:top w:val="none" w:sz="0" w:space="0" w:color="auto"/>
            <w:left w:val="none" w:sz="0" w:space="0" w:color="auto"/>
            <w:bottom w:val="none" w:sz="0" w:space="0" w:color="auto"/>
            <w:right w:val="none" w:sz="0" w:space="0" w:color="auto"/>
          </w:divBdr>
        </w:div>
      </w:divsChild>
    </w:div>
    <w:div w:id="641037501">
      <w:bodyDiv w:val="1"/>
      <w:marLeft w:val="0"/>
      <w:marRight w:val="0"/>
      <w:marTop w:val="0"/>
      <w:marBottom w:val="0"/>
      <w:divBdr>
        <w:top w:val="none" w:sz="0" w:space="0" w:color="auto"/>
        <w:left w:val="none" w:sz="0" w:space="0" w:color="auto"/>
        <w:bottom w:val="none" w:sz="0" w:space="0" w:color="auto"/>
        <w:right w:val="none" w:sz="0" w:space="0" w:color="auto"/>
      </w:divBdr>
      <w:divsChild>
        <w:div w:id="121964392">
          <w:marLeft w:val="-720"/>
          <w:marRight w:val="0"/>
          <w:marTop w:val="0"/>
          <w:marBottom w:val="0"/>
          <w:divBdr>
            <w:top w:val="none" w:sz="0" w:space="0" w:color="auto"/>
            <w:left w:val="none" w:sz="0" w:space="0" w:color="auto"/>
            <w:bottom w:val="none" w:sz="0" w:space="0" w:color="auto"/>
            <w:right w:val="none" w:sz="0" w:space="0" w:color="auto"/>
          </w:divBdr>
        </w:div>
      </w:divsChild>
    </w:div>
    <w:div w:id="1090349639">
      <w:bodyDiv w:val="1"/>
      <w:marLeft w:val="0"/>
      <w:marRight w:val="0"/>
      <w:marTop w:val="0"/>
      <w:marBottom w:val="0"/>
      <w:divBdr>
        <w:top w:val="none" w:sz="0" w:space="0" w:color="auto"/>
        <w:left w:val="none" w:sz="0" w:space="0" w:color="auto"/>
        <w:bottom w:val="none" w:sz="0" w:space="0" w:color="auto"/>
        <w:right w:val="none" w:sz="0" w:space="0" w:color="auto"/>
      </w:divBdr>
      <w:divsChild>
        <w:div w:id="1961569235">
          <w:marLeft w:val="-720"/>
          <w:marRight w:val="0"/>
          <w:marTop w:val="0"/>
          <w:marBottom w:val="0"/>
          <w:divBdr>
            <w:top w:val="none" w:sz="0" w:space="0" w:color="auto"/>
            <w:left w:val="none" w:sz="0" w:space="0" w:color="auto"/>
            <w:bottom w:val="none" w:sz="0" w:space="0" w:color="auto"/>
            <w:right w:val="none" w:sz="0" w:space="0" w:color="auto"/>
          </w:divBdr>
        </w:div>
      </w:divsChild>
    </w:div>
    <w:div w:id="1147235541">
      <w:bodyDiv w:val="1"/>
      <w:marLeft w:val="0"/>
      <w:marRight w:val="0"/>
      <w:marTop w:val="0"/>
      <w:marBottom w:val="0"/>
      <w:divBdr>
        <w:top w:val="none" w:sz="0" w:space="0" w:color="auto"/>
        <w:left w:val="none" w:sz="0" w:space="0" w:color="auto"/>
        <w:bottom w:val="none" w:sz="0" w:space="0" w:color="auto"/>
        <w:right w:val="none" w:sz="0" w:space="0" w:color="auto"/>
      </w:divBdr>
      <w:divsChild>
        <w:div w:id="174999315">
          <w:marLeft w:val="-720"/>
          <w:marRight w:val="0"/>
          <w:marTop w:val="0"/>
          <w:marBottom w:val="0"/>
          <w:divBdr>
            <w:top w:val="none" w:sz="0" w:space="0" w:color="auto"/>
            <w:left w:val="none" w:sz="0" w:space="0" w:color="auto"/>
            <w:bottom w:val="none" w:sz="0" w:space="0" w:color="auto"/>
            <w:right w:val="none" w:sz="0" w:space="0" w:color="auto"/>
          </w:divBdr>
        </w:div>
      </w:divsChild>
    </w:div>
    <w:div w:id="1176463090">
      <w:bodyDiv w:val="1"/>
      <w:marLeft w:val="0"/>
      <w:marRight w:val="0"/>
      <w:marTop w:val="0"/>
      <w:marBottom w:val="0"/>
      <w:divBdr>
        <w:top w:val="none" w:sz="0" w:space="0" w:color="auto"/>
        <w:left w:val="none" w:sz="0" w:space="0" w:color="auto"/>
        <w:bottom w:val="none" w:sz="0" w:space="0" w:color="auto"/>
        <w:right w:val="none" w:sz="0" w:space="0" w:color="auto"/>
      </w:divBdr>
      <w:divsChild>
        <w:div w:id="866140103">
          <w:marLeft w:val="-720"/>
          <w:marRight w:val="0"/>
          <w:marTop w:val="0"/>
          <w:marBottom w:val="0"/>
          <w:divBdr>
            <w:top w:val="none" w:sz="0" w:space="0" w:color="auto"/>
            <w:left w:val="none" w:sz="0" w:space="0" w:color="auto"/>
            <w:bottom w:val="none" w:sz="0" w:space="0" w:color="auto"/>
            <w:right w:val="none" w:sz="0" w:space="0" w:color="auto"/>
          </w:divBdr>
        </w:div>
      </w:divsChild>
    </w:div>
    <w:div w:id="1504974188">
      <w:bodyDiv w:val="1"/>
      <w:marLeft w:val="0"/>
      <w:marRight w:val="0"/>
      <w:marTop w:val="0"/>
      <w:marBottom w:val="0"/>
      <w:divBdr>
        <w:top w:val="none" w:sz="0" w:space="0" w:color="auto"/>
        <w:left w:val="none" w:sz="0" w:space="0" w:color="auto"/>
        <w:bottom w:val="none" w:sz="0" w:space="0" w:color="auto"/>
        <w:right w:val="none" w:sz="0" w:space="0" w:color="auto"/>
      </w:divBdr>
      <w:divsChild>
        <w:div w:id="437876566">
          <w:marLeft w:val="-720"/>
          <w:marRight w:val="0"/>
          <w:marTop w:val="0"/>
          <w:marBottom w:val="0"/>
          <w:divBdr>
            <w:top w:val="none" w:sz="0" w:space="0" w:color="auto"/>
            <w:left w:val="none" w:sz="0" w:space="0" w:color="auto"/>
            <w:bottom w:val="none" w:sz="0" w:space="0" w:color="auto"/>
            <w:right w:val="none" w:sz="0" w:space="0" w:color="auto"/>
          </w:divBdr>
        </w:div>
      </w:divsChild>
    </w:div>
    <w:div w:id="1519006348">
      <w:bodyDiv w:val="1"/>
      <w:marLeft w:val="0"/>
      <w:marRight w:val="0"/>
      <w:marTop w:val="0"/>
      <w:marBottom w:val="0"/>
      <w:divBdr>
        <w:top w:val="none" w:sz="0" w:space="0" w:color="auto"/>
        <w:left w:val="none" w:sz="0" w:space="0" w:color="auto"/>
        <w:bottom w:val="none" w:sz="0" w:space="0" w:color="auto"/>
        <w:right w:val="none" w:sz="0" w:space="0" w:color="auto"/>
      </w:divBdr>
      <w:divsChild>
        <w:div w:id="1484354383">
          <w:marLeft w:val="-720"/>
          <w:marRight w:val="0"/>
          <w:marTop w:val="0"/>
          <w:marBottom w:val="0"/>
          <w:divBdr>
            <w:top w:val="none" w:sz="0" w:space="0" w:color="auto"/>
            <w:left w:val="none" w:sz="0" w:space="0" w:color="auto"/>
            <w:bottom w:val="none" w:sz="0" w:space="0" w:color="auto"/>
            <w:right w:val="none" w:sz="0" w:space="0" w:color="auto"/>
          </w:divBdr>
        </w:div>
      </w:divsChild>
    </w:div>
    <w:div w:id="16041481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bbijbm.lppmbinabangsa.ac.id/index.php/home/article/view/8/7" TargetMode="External" /><Relationship Id="rId18" Type="http://schemas.openxmlformats.org/officeDocument/2006/relationships/image" Target="media/image6.png" /><Relationship Id="rId3" Type="http://schemas.openxmlformats.org/officeDocument/2006/relationships/styles" Target="styles.xml" /><Relationship Id="rId21"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https://unglobalcompact.org/library/5361" TargetMode="External" /><Relationship Id="rId17" Type="http://schemas.openxmlformats.org/officeDocument/2006/relationships/image" Target="media/image5.png" /><Relationship Id="rId2" Type="http://schemas.openxmlformats.org/officeDocument/2006/relationships/numbering" Target="numbering.xml" /><Relationship Id="rId16" Type="http://schemas.openxmlformats.org/officeDocument/2006/relationships/hyperlink" Target="https://www.msci.com/our-solutions/esg-investing/esg-ratings" TargetMode="External" /><Relationship Id="rId20" Type="http://schemas.openxmlformats.org/officeDocument/2006/relationships/footer" Target="footer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hyperlink" Target="https://doi.org/10.1002/csr.2463" TargetMode="Externa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yperlink" Target="https://www.integratedreporting.org" TargetMode="External" /><Relationship Id="rId22" Type="http://schemas.openxmlformats.org/officeDocument/2006/relationships/theme" Target="theme/theme1.xml" /></Relationships>
</file>

<file path=word/_rels/footer1.xml.rels><?xml version="1.0" encoding="UTF-8" standalone="yes"?>
<Relationships xmlns="http://schemas.openxmlformats.org/package/2006/relationships"><Relationship Id="rId1" Type="http://schemas.openxmlformats.org/officeDocument/2006/relationships/image" Target="media/image8.jpeg" /></Relationships>
</file>

<file path=word/_rels/header1.xml.rels><?xml version="1.0" encoding="UTF-8" standalone="yes"?>
<Relationships xmlns="http://schemas.openxmlformats.org/package/2006/relationships"><Relationship Id="rId1" Type="http://schemas.openxmlformats.org/officeDocument/2006/relationships/image" Target="media/image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F8319-3ADF-4B4A-AA2F-1FF4DD861DDC}">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9191</Words>
  <Characters>60691</Characters>
  <Application>Microsoft Office Word</Application>
  <DocSecurity>0</DocSecurity>
  <Lines>505</Lines>
  <Paragraphs>139</Paragraphs>
  <ScaleCrop>false</ScaleCrop>
  <HeadingPairs>
    <vt:vector size="2" baseType="variant">
      <vt:variant>
        <vt:lpstr>Title</vt:lpstr>
      </vt:variant>
      <vt:variant>
        <vt:i4>1</vt:i4>
      </vt:variant>
    </vt:vector>
  </HeadingPairs>
  <TitlesOfParts>
    <vt:vector size="1" baseType="lpstr">
      <vt:lpstr>Dissertation_Policy_2024[39]</vt:lpstr>
    </vt:vector>
  </TitlesOfParts>
  <Company/>
  <LinksUpToDate>false</LinksUpToDate>
  <CharactersWithSpaces>69743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Dissertation_Policy_2024[39]</dc:title>
  <dc:creator>Shiva Sai Kiran Pothula</dc:creator>
  <cp:lastModifiedBy>Sindhukavi S (BBA_2025)</cp:lastModifiedBy>
  <cp:revision>2</cp:revision>
  <cp:lastPrinted>2025-04-07T02:07:00Z</cp:lastPrinted>
  <dcterms:created xsi:type="dcterms:W3CDTF">2025-05-03T04:18:00Z</dcterms:created>
  <dcterms:modified xsi:type="dcterms:W3CDTF">2025-05-03T04:18:00Z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2024-09-23T00:00:00Z</vt:filetime>
  </property>
  <property fmtid="{D5CDD505-2E9C-101B-9397-08002B2CF9AE}" pid="3" name="Creator">
    <vt:lpwstr>Word</vt:lpwstr>
  </property>
  <property fmtid="{D5CDD505-2E9C-101B-9397-08002B2CF9AE}" pid="4" name="LastSaved">
    <vt:filetime>2025-04-05T00:00:00Z</vt:filetime>
  </property>
  <property fmtid="{D5CDD505-2E9C-101B-9397-08002B2CF9AE}" pid="5" name="Producer">
    <vt:lpwstr>macOS Version 14.6.1 (Build 23G93) Quartz PDFContext</vt:lpwstr>
  </property>
  <property fmtid="{D5CDD505-2E9C-101B-9397-08002B2CF9AE}" pid="6" name="GrammarlyDocumentId">
    <vt:lpwstr>e92841d34eb367ba0e79d609965c28ce57a3ff2fc9c4509ceb9410fe491efab9</vt:lpwstr>
  </property>
</Properties>
</file>