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2980B9"/>
          <w:sz w:val="44"/>
        </w:rPr>
        <w:t>Customer Churn Prediction and Customer Segmentation</w:t>
        <w:br/>
        <w:t>Using Python</w:t>
      </w:r>
    </w:p>
    <w:p>
      <w:r>
        <w:br/>
      </w:r>
    </w:p>
    <w:p>
      <w:pPr>
        <w:jc w:val="center"/>
      </w:pPr>
      <w:r>
        <w:rPr>
          <w:rFonts w:ascii="Times New Roman" w:hAnsi="Times New Roman"/>
          <w:b/>
          <w:color w:val="34495E"/>
          <w:sz w:val="30"/>
        </w:rPr>
        <w:t>DATA SCIENCE INTERNSHIP</w:t>
        <w:br/>
        <w:t>WEEK 4 REPORT</w:t>
        <w:br/>
        <w:t>SUPERVISED LEARNING MODEL IMPLEMENTATION</w:t>
      </w:r>
    </w:p>
    <w:p>
      <w:r>
        <w:br/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2F4F4"/>
          </w:tcPr>
          <w:p>
            <w:r>
              <w:rPr>
                <w:rFonts w:ascii="Times New Roman" w:hAnsi="Times New Roman"/>
                <w:b/>
                <w:sz w:val="22"/>
              </w:rPr>
              <w:t>Student Name:</w:t>
            </w:r>
          </w:p>
        </w:tc>
        <w:tc>
          <w:tcPr>
            <w:tcW w:type="dxa" w:w="4320"/>
            <w:shd w:fill="EAEDED"/>
          </w:tcPr>
          <w:p>
            <w:r>
              <w:rPr>
                <w:rFonts w:ascii="Times New Roman" w:hAnsi="Times New Roman"/>
                <w:sz w:val="22"/>
              </w:rPr>
              <w:t>Sindhu Patil</w:t>
            </w:r>
          </w:p>
        </w:tc>
      </w:tr>
      <w:tr>
        <w:tc>
          <w:tcPr>
            <w:tcW w:type="dxa" w:w="4320"/>
            <w:shd w:fill="F2F4F4"/>
          </w:tcPr>
          <w:p>
            <w:r>
              <w:rPr>
                <w:rFonts w:ascii="Times New Roman" w:hAnsi="Times New Roman"/>
                <w:b/>
                <w:sz w:val="22"/>
              </w:rPr>
              <w:t>Internship Track:</w:t>
            </w:r>
          </w:p>
        </w:tc>
        <w:tc>
          <w:tcPr>
            <w:tcW w:type="dxa" w:w="4320"/>
            <w:shd w:fill="EAEDED"/>
          </w:tcPr>
          <w:p>
            <w:r>
              <w:rPr>
                <w:rFonts w:ascii="Times New Roman" w:hAnsi="Times New Roman"/>
                <w:sz w:val="22"/>
              </w:rPr>
              <w:t>Data Science Internship</w:t>
            </w:r>
          </w:p>
        </w:tc>
      </w:tr>
      <w:tr>
        <w:tc>
          <w:tcPr>
            <w:tcW w:type="dxa" w:w="4320"/>
            <w:shd w:fill="F2F4F4"/>
          </w:tcPr>
          <w:p>
            <w:r>
              <w:rPr>
                <w:rFonts w:ascii="Times New Roman" w:hAnsi="Times New Roman"/>
                <w:b/>
                <w:sz w:val="22"/>
              </w:rPr>
              <w:t>Week Number:</w:t>
            </w:r>
          </w:p>
        </w:tc>
        <w:tc>
          <w:tcPr>
            <w:tcW w:type="dxa" w:w="4320"/>
            <w:shd w:fill="EAEDED"/>
          </w:tcPr>
          <w:p>
            <w:r>
              <w:rPr>
                <w:rFonts w:ascii="Times New Roman" w:hAnsi="Times New Roman"/>
                <w:sz w:val="22"/>
              </w:rPr>
              <w:t>Week 4</w:t>
            </w:r>
          </w:p>
        </w:tc>
      </w:tr>
      <w:tr>
        <w:tc>
          <w:tcPr>
            <w:tcW w:type="dxa" w:w="4320"/>
            <w:shd w:fill="F2F4F4"/>
          </w:tcPr>
          <w:p>
            <w:r>
              <w:rPr>
                <w:rFonts w:ascii="Times New Roman" w:hAnsi="Times New Roman"/>
                <w:b/>
                <w:sz w:val="22"/>
              </w:rPr>
              <w:t>Project Title:</w:t>
            </w:r>
          </w:p>
        </w:tc>
        <w:tc>
          <w:tcPr>
            <w:tcW w:type="dxa" w:w="4320"/>
            <w:shd w:fill="EAEDED"/>
          </w:tcPr>
          <w:p>
            <w:r>
              <w:rPr>
                <w:rFonts w:ascii="Times New Roman" w:hAnsi="Times New Roman"/>
                <w:sz w:val="22"/>
              </w:rPr>
              <w:t>Customer Churn Prediction and Customer Segmentation</w:t>
            </w:r>
          </w:p>
        </w:tc>
      </w:tr>
      <w:tr>
        <w:tc>
          <w:tcPr>
            <w:tcW w:type="dxa" w:w="4320"/>
            <w:shd w:fill="F2F4F4"/>
          </w:tcPr>
          <w:p>
            <w:r>
              <w:rPr>
                <w:rFonts w:ascii="Times New Roman" w:hAnsi="Times New Roman"/>
                <w:b/>
                <w:sz w:val="22"/>
              </w:rPr>
              <w:t>Dataset Used:</w:t>
            </w:r>
          </w:p>
        </w:tc>
        <w:tc>
          <w:tcPr>
            <w:tcW w:type="dxa" w:w="4320"/>
            <w:shd w:fill="EAEDED"/>
          </w:tcPr>
          <w:p>
            <w:r>
              <w:rPr>
                <w:rFonts w:ascii="Times New Roman" w:hAnsi="Times New Roman"/>
                <w:sz w:val="22"/>
              </w:rPr>
              <w:t>IBM Telco Customer Churn Dataset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Table of Contents</w:t>
      </w:r>
    </w:p>
    <w:p>
      <w:pPr>
        <w:spacing w:after="40"/>
      </w:pPr>
      <w:r>
        <w:rPr>
          <w:rFonts w:ascii="Times New Roman" w:hAnsi="Times New Roman"/>
          <w:sz w:val="22"/>
        </w:rPr>
        <w:t>•  1. Introduction</w:t>
      </w:r>
    </w:p>
    <w:p>
      <w:pPr>
        <w:spacing w:after="40"/>
      </w:pPr>
      <w:r>
        <w:rPr>
          <w:rFonts w:ascii="Times New Roman" w:hAnsi="Times New Roman"/>
          <w:sz w:val="22"/>
        </w:rPr>
        <w:t>•  2. Problem Statement</w:t>
      </w:r>
    </w:p>
    <w:p>
      <w:pPr>
        <w:spacing w:after="40"/>
      </w:pPr>
      <w:r>
        <w:rPr>
          <w:rFonts w:ascii="Times New Roman" w:hAnsi="Times New Roman"/>
          <w:sz w:val="22"/>
        </w:rPr>
        <w:t>•  3. Objective</w:t>
      </w:r>
    </w:p>
    <w:p>
      <w:pPr>
        <w:spacing w:after="40"/>
      </w:pPr>
      <w:r>
        <w:rPr>
          <w:rFonts w:ascii="Times New Roman" w:hAnsi="Times New Roman"/>
          <w:sz w:val="22"/>
        </w:rPr>
        <w:t>•  4. Dataset Overview</w:t>
      </w:r>
    </w:p>
    <w:p>
      <w:pPr>
        <w:spacing w:after="40"/>
      </w:pPr>
      <w:r>
        <w:rPr>
          <w:rFonts w:ascii="Times New Roman" w:hAnsi="Times New Roman"/>
          <w:sz w:val="22"/>
        </w:rPr>
        <w:t>•  5. Target Variable</w:t>
      </w:r>
    </w:p>
    <w:p>
      <w:pPr>
        <w:spacing w:after="40"/>
      </w:pPr>
      <w:r>
        <w:rPr>
          <w:rFonts w:ascii="Times New Roman" w:hAnsi="Times New Roman"/>
          <w:sz w:val="22"/>
        </w:rPr>
        <w:t>•  6. Feature Selection</w:t>
      </w:r>
    </w:p>
    <w:p>
      <w:pPr>
        <w:spacing w:after="40"/>
      </w:pPr>
      <w:r>
        <w:rPr>
          <w:rFonts w:ascii="Times New Roman" w:hAnsi="Times New Roman"/>
          <w:sz w:val="22"/>
        </w:rPr>
        <w:t>•  7. Feature Engineering</w:t>
      </w:r>
    </w:p>
    <w:p>
      <w:pPr>
        <w:spacing w:after="40"/>
      </w:pPr>
      <w:r>
        <w:rPr>
          <w:rFonts w:ascii="Times New Roman" w:hAnsi="Times New Roman"/>
          <w:sz w:val="22"/>
        </w:rPr>
        <w:t>•  8. Data Preprocessing</w:t>
      </w:r>
    </w:p>
    <w:p>
      <w:pPr>
        <w:spacing w:after="40"/>
      </w:pPr>
      <w:r>
        <w:rPr>
          <w:rFonts w:ascii="Times New Roman" w:hAnsi="Times New Roman"/>
          <w:sz w:val="22"/>
        </w:rPr>
        <w:t>•  9. Train-Test Split</w:t>
      </w:r>
    </w:p>
    <w:p>
      <w:pPr>
        <w:spacing w:after="40"/>
      </w:pPr>
      <w:r>
        <w:rPr>
          <w:rFonts w:ascii="Times New Roman" w:hAnsi="Times New Roman"/>
          <w:sz w:val="22"/>
        </w:rPr>
        <w:t>•  10. Model Selection</w:t>
      </w:r>
    </w:p>
    <w:p>
      <w:pPr>
        <w:spacing w:after="40"/>
      </w:pPr>
      <w:r>
        <w:rPr>
          <w:rFonts w:ascii="Times New Roman" w:hAnsi="Times New Roman"/>
          <w:sz w:val="22"/>
        </w:rPr>
        <w:t>•  11. Logistic Regression</w:t>
      </w:r>
    </w:p>
    <w:p>
      <w:pPr>
        <w:spacing w:after="40"/>
      </w:pPr>
      <w:r>
        <w:rPr>
          <w:rFonts w:ascii="Times New Roman" w:hAnsi="Times New Roman"/>
          <w:sz w:val="22"/>
        </w:rPr>
        <w:t>•  12. Model Training</w:t>
      </w:r>
    </w:p>
    <w:p>
      <w:pPr>
        <w:spacing w:after="40"/>
      </w:pPr>
      <w:r>
        <w:rPr>
          <w:rFonts w:ascii="Times New Roman" w:hAnsi="Times New Roman"/>
          <w:sz w:val="22"/>
        </w:rPr>
        <w:t>•  13. Cross-Validation</w:t>
      </w:r>
    </w:p>
    <w:p>
      <w:pPr>
        <w:spacing w:after="40"/>
      </w:pPr>
      <w:r>
        <w:rPr>
          <w:rFonts w:ascii="Times New Roman" w:hAnsi="Times New Roman"/>
          <w:sz w:val="22"/>
        </w:rPr>
        <w:t>•  14. Evaluation Metrics</w:t>
      </w:r>
    </w:p>
    <w:p>
      <w:pPr>
        <w:spacing w:after="40"/>
      </w:pPr>
      <w:r>
        <w:rPr>
          <w:rFonts w:ascii="Times New Roman" w:hAnsi="Times New Roman"/>
          <w:sz w:val="22"/>
        </w:rPr>
        <w:t>•  15. Confusion Matrix</w:t>
      </w:r>
    </w:p>
    <w:p>
      <w:pPr>
        <w:spacing w:after="40"/>
      </w:pPr>
      <w:r>
        <w:rPr>
          <w:rFonts w:ascii="Times New Roman" w:hAnsi="Times New Roman"/>
          <w:sz w:val="22"/>
        </w:rPr>
        <w:t>•  16. ROC Curve and AUC</w:t>
      </w:r>
    </w:p>
    <w:p>
      <w:pPr>
        <w:spacing w:after="40"/>
      </w:pPr>
      <w:r>
        <w:rPr>
          <w:rFonts w:ascii="Times New Roman" w:hAnsi="Times New Roman"/>
          <w:sz w:val="22"/>
        </w:rPr>
        <w:t>•  17. Precision-Recall Analysis</w:t>
      </w:r>
    </w:p>
    <w:p>
      <w:pPr>
        <w:spacing w:after="40"/>
      </w:pPr>
      <w:r>
        <w:rPr>
          <w:rFonts w:ascii="Times New Roman" w:hAnsi="Times New Roman"/>
          <w:sz w:val="22"/>
        </w:rPr>
        <w:t>•  18. Classification Threshold Analysis</w:t>
      </w:r>
    </w:p>
    <w:p>
      <w:pPr>
        <w:spacing w:after="40"/>
      </w:pPr>
      <w:r>
        <w:rPr>
          <w:rFonts w:ascii="Times New Roman" w:hAnsi="Times New Roman"/>
          <w:sz w:val="22"/>
        </w:rPr>
        <w:t>•  19. Feature Interpretation</w:t>
      </w:r>
    </w:p>
    <w:p>
      <w:pPr>
        <w:spacing w:after="40"/>
      </w:pPr>
      <w:r>
        <w:rPr>
          <w:rFonts w:ascii="Times New Roman" w:hAnsi="Times New Roman"/>
          <w:sz w:val="22"/>
        </w:rPr>
        <w:t>•  20. Optional Model Comparison</w:t>
      </w:r>
    </w:p>
    <w:p>
      <w:pPr>
        <w:spacing w:after="40"/>
      </w:pPr>
      <w:r>
        <w:rPr>
          <w:rFonts w:ascii="Times New Roman" w:hAnsi="Times New Roman"/>
          <w:sz w:val="22"/>
        </w:rPr>
        <w:t>•  21. Final Model Selection</w:t>
      </w:r>
    </w:p>
    <w:p>
      <w:pPr>
        <w:spacing w:after="40"/>
      </w:pPr>
      <w:r>
        <w:rPr>
          <w:rFonts w:ascii="Times New Roman" w:hAnsi="Times New Roman"/>
          <w:sz w:val="22"/>
        </w:rPr>
        <w:t>•  22. Business Interpretation</w:t>
      </w:r>
    </w:p>
    <w:p>
      <w:pPr>
        <w:spacing w:after="40"/>
      </w:pPr>
      <w:r>
        <w:rPr>
          <w:rFonts w:ascii="Times New Roman" w:hAnsi="Times New Roman"/>
          <w:sz w:val="22"/>
        </w:rPr>
        <w:t>•  23. Strengths</w:t>
      </w:r>
    </w:p>
    <w:p>
      <w:pPr>
        <w:spacing w:after="40"/>
      </w:pPr>
      <w:r>
        <w:rPr>
          <w:rFonts w:ascii="Times New Roman" w:hAnsi="Times New Roman"/>
          <w:sz w:val="22"/>
        </w:rPr>
        <w:t>•  24. Limitations</w:t>
      </w:r>
    </w:p>
    <w:p>
      <w:pPr>
        <w:spacing w:after="40"/>
      </w:pPr>
      <w:r>
        <w:rPr>
          <w:rFonts w:ascii="Times New Roman" w:hAnsi="Times New Roman"/>
          <w:sz w:val="22"/>
        </w:rPr>
        <w:t>•  25. Possible Improvements</w:t>
      </w:r>
    </w:p>
    <w:p>
      <w:pPr>
        <w:spacing w:after="40"/>
      </w:pPr>
      <w:r>
        <w:rPr>
          <w:rFonts w:ascii="Times New Roman" w:hAnsi="Times New Roman"/>
          <w:sz w:val="22"/>
        </w:rPr>
        <w:t>•  26. Conclusion</w:t>
      </w:r>
    </w:p>
    <w:p>
      <w:pPr>
        <w:spacing w:after="40"/>
      </w:pPr>
      <w:r>
        <w:rPr>
          <w:rFonts w:ascii="Times New Roman" w:hAnsi="Times New Roman"/>
          <w:sz w:val="22"/>
        </w:rPr>
        <w:t>•  27. References</w:t>
      </w:r>
    </w:p>
    <w:p>
      <w:pPr>
        <w:spacing w:after="40"/>
      </w:pPr>
      <w:r>
        <w:rPr>
          <w:rFonts w:ascii="Times New Roman" w:hAnsi="Times New Roman"/>
          <w:sz w:val="22"/>
        </w:rPr>
        <w:t>•  28. Appendix</w:t>
      </w:r>
    </w:p>
    <w:p>
      <w:r>
        <w:br/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1. Introduction</w:t>
      </w:r>
    </w:p>
    <w:p>
      <w:r>
        <w:t>Following exploratory data analysis (Week 2) and unsupervised customer segmentation (Week 3), Week 4 implements supervised machine learning classification models to predict customer churn.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2. Problem Statement</w:t>
      </w:r>
    </w:p>
    <w:p>
      <w:r>
        <w:t>Customer churn represents a critical revenue challenge in telecommunications. Predicting churn risk prior to cancellation allows business teams to initiate proactive retention workflows.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3. Objective</w:t>
      </w:r>
    </w:p>
    <w:p>
      <w:r>
        <w:t>Build a robust binary classification pipeline using Logistic Regression on `data/processed/cleaned_telco_churn.csv`, evaluate cross-validation performance, analyze test set metrics, and interpret predictive feature coefficients.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4. Dataset Overview</w:t>
      </w:r>
    </w:p>
    <w:p>
      <w:r>
        <w:t>The dataset contains 7,043 customer records and 21 features. `customerID` was excluded as a non-predictive identifier.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5. Target Variable</w:t>
      </w:r>
    </w:p>
    <w:p>
      <w:r>
        <w:t>Target `Churn` is mapped to binary indicators: 1 = Churned (1,869 customers / 26.54%), 0 = Retained (5,174 customers / 73.46%).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6. Feature Selection</w:t>
      </w:r>
    </w:p>
    <w:p>
      <w:r>
        <w:t>Selected 18 predictor variables across continuous numerical attributes (`tenure`, `MonthlyCharges`, `TotalCharges`) and 15 categorical attributes (`Contract`, `InternetService`, `PaymentMethod`, etc.).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7. Feature Engineering</w:t>
      </w:r>
    </w:p>
    <w:p>
      <w:r>
        <w:t>Categorical variables were One-Hot Encoded into binary dummy columns, while continuous numerical attributes were standardized.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8. Data Preprocessing</w:t>
      </w:r>
    </w:p>
    <w:p>
      <w:r>
        <w:t>Scikit-learn `ColumnTransformer` combined `StandardScaler` and `OneHotEncoder(handle_unknown='ignore')` inside a single unified `Pipeline` to prevent data leakage.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9. Train-Test Split</w:t>
      </w:r>
    </w:p>
    <w:p>
      <w:r>
        <w:t>Applied an 80/20 stratified split (`test_size=0.2, random_state=42, stratify=y`), producing 5,634 training records and 1,409 testing records.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10. Model Selection</w:t>
      </w:r>
    </w:p>
    <w:p>
      <w:r>
        <w:t>Logistic Regression was chosen as the primary baseline classifier due to its interpretability, probability output generation, and computational efficiency.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11. Logistic Regression</w:t>
      </w:r>
    </w:p>
    <w:p>
      <w:r>
        <w:t>Logistic Regression models log-odds of churn as a linear combination of input predictors using the sigmoid activation function.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12. Model Training</w:t>
      </w:r>
    </w:p>
    <w:p>
      <w:r>
        <w:t>The pipeline was fitted strictly on the 5,634 training samples (`X_train`, `y_train`).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13. Cross-Validation</w:t>
      </w:r>
    </w:p>
    <w:p>
      <w:r>
        <w:t>Table 1 displays 5-fold stratified cross-validation metrics across training folds: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Mean CV Score</w:t>
            </w:r>
          </w:p>
        </w:tc>
        <w:tc>
          <w:tcPr>
            <w:tcW w:type="dxa" w:w="288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Standard Deviation</w:t>
            </w:r>
          </w:p>
        </w:tc>
      </w:tr>
      <w:tr>
        <w:tc>
          <w:tcPr>
            <w:tcW w:type="dxa" w:w="2880"/>
            <w:shd w:fill="F2F4F4"/>
          </w:tcPr>
          <w:p>
            <w:r>
              <w:rPr>
                <w:rFonts w:ascii="Times New Roman" w:hAnsi="Times New Roman"/>
              </w:rPr>
              <w:t>Accuracy</w:t>
            </w:r>
          </w:p>
        </w:tc>
        <w:tc>
          <w:tcPr>
            <w:tcW w:type="dxa" w:w="2880"/>
            <w:shd w:fill="F2F4F4"/>
          </w:tcPr>
          <w:p>
            <w:r>
              <w:rPr>
                <w:rFonts w:ascii="Times New Roman" w:hAnsi="Times New Roman"/>
              </w:rPr>
              <w:t>0.8056</w:t>
            </w:r>
          </w:p>
        </w:tc>
        <w:tc>
          <w:tcPr>
            <w:tcW w:type="dxa" w:w="2880"/>
            <w:shd w:fill="F2F4F4"/>
          </w:tcPr>
          <w:p>
            <w:r>
              <w:rPr>
                <w:rFonts w:ascii="Times New Roman" w:hAnsi="Times New Roman"/>
              </w:rPr>
              <w:t>± 0.0109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rFonts w:ascii="Times New Roman" w:hAnsi="Times New Roman"/>
              </w:rPr>
              <w:t>Precision</w:t>
            </w:r>
          </w:p>
        </w:tc>
        <w:tc>
          <w:tcPr>
            <w:tcW w:type="dxa" w:w="2880"/>
            <w:shd w:fill="FFFFFF"/>
          </w:tcPr>
          <w:p>
            <w:r>
              <w:rPr>
                <w:rFonts w:ascii="Times New Roman" w:hAnsi="Times New Roman"/>
              </w:rPr>
              <w:t>0.6590</w:t>
            </w:r>
          </w:p>
        </w:tc>
        <w:tc>
          <w:tcPr>
            <w:tcW w:type="dxa" w:w="2880"/>
            <w:shd w:fill="FFFFFF"/>
          </w:tcPr>
          <w:p>
            <w:r>
              <w:rPr>
                <w:rFonts w:ascii="Times New Roman" w:hAnsi="Times New Roman"/>
              </w:rPr>
              <w:t>± 0.0216</w:t>
            </w:r>
          </w:p>
        </w:tc>
      </w:tr>
      <w:tr>
        <w:tc>
          <w:tcPr>
            <w:tcW w:type="dxa" w:w="2880"/>
            <w:shd w:fill="F2F4F4"/>
          </w:tcPr>
          <w:p>
            <w:r>
              <w:rPr>
                <w:rFonts w:ascii="Times New Roman" w:hAnsi="Times New Roman"/>
              </w:rPr>
              <w:t>Recall</w:t>
            </w:r>
          </w:p>
        </w:tc>
        <w:tc>
          <w:tcPr>
            <w:tcW w:type="dxa" w:w="2880"/>
            <w:shd w:fill="F2F4F4"/>
          </w:tcPr>
          <w:p>
            <w:r>
              <w:rPr>
                <w:rFonts w:ascii="Times New Roman" w:hAnsi="Times New Roman"/>
              </w:rPr>
              <w:t>0.5532</w:t>
            </w:r>
          </w:p>
        </w:tc>
        <w:tc>
          <w:tcPr>
            <w:tcW w:type="dxa" w:w="2880"/>
            <w:shd w:fill="F2F4F4"/>
          </w:tcPr>
          <w:p>
            <w:r>
              <w:rPr>
                <w:rFonts w:ascii="Times New Roman" w:hAnsi="Times New Roman"/>
              </w:rPr>
              <w:t>± 0.0317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rFonts w:ascii="Times New Roman" w:hAnsi="Times New Roman"/>
              </w:rPr>
              <w:t>F1-Score</w:t>
            </w:r>
          </w:p>
        </w:tc>
        <w:tc>
          <w:tcPr>
            <w:tcW w:type="dxa" w:w="2880"/>
            <w:shd w:fill="FFFFFF"/>
          </w:tcPr>
          <w:p>
            <w:r>
              <w:rPr>
                <w:rFonts w:ascii="Times New Roman" w:hAnsi="Times New Roman"/>
              </w:rPr>
              <w:t>0.6013</w:t>
            </w:r>
          </w:p>
        </w:tc>
        <w:tc>
          <w:tcPr>
            <w:tcW w:type="dxa" w:w="2880"/>
            <w:shd w:fill="FFFFFF"/>
          </w:tcPr>
          <w:p>
            <w:r>
              <w:rPr>
                <w:rFonts w:ascii="Times New Roman" w:hAnsi="Times New Roman"/>
              </w:rPr>
              <w:t>± 0.0273</w:t>
            </w:r>
          </w:p>
        </w:tc>
      </w:tr>
      <w:tr>
        <w:tc>
          <w:tcPr>
            <w:tcW w:type="dxa" w:w="2880"/>
            <w:shd w:fill="F2F4F4"/>
          </w:tcPr>
          <w:p>
            <w:r>
              <w:rPr>
                <w:rFonts w:ascii="Times New Roman" w:hAnsi="Times New Roman"/>
              </w:rPr>
              <w:t>ROC-AUC</w:t>
            </w:r>
          </w:p>
        </w:tc>
        <w:tc>
          <w:tcPr>
            <w:tcW w:type="dxa" w:w="2880"/>
            <w:shd w:fill="F2F4F4"/>
          </w:tcPr>
          <w:p>
            <w:r>
              <w:rPr>
                <w:rFonts w:ascii="Times New Roman" w:hAnsi="Times New Roman"/>
              </w:rPr>
              <w:t>0.8449</w:t>
            </w:r>
          </w:p>
        </w:tc>
        <w:tc>
          <w:tcPr>
            <w:tcW w:type="dxa" w:w="2880"/>
            <w:shd w:fill="F2F4F4"/>
          </w:tcPr>
          <w:p>
            <w:r>
              <w:rPr>
                <w:rFonts w:ascii="Times New Roman" w:hAnsi="Times New Roman"/>
              </w:rPr>
              <w:t>± 0.0134</w:t>
            </w:r>
          </w:p>
        </w:tc>
      </w:tr>
    </w:tbl>
    <w:p>
      <w:pPr>
        <w:pStyle w:val="Heading1"/>
      </w:pPr>
      <w:r>
        <w:rPr>
          <w:rFonts w:ascii="Times New Roman" w:hAnsi="Times New Roman"/>
          <w:b/>
          <w:color w:val="2980B9"/>
        </w:rPr>
        <w:t>14. Evaluation Metrics</w:t>
      </w:r>
    </w:p>
    <w:p>
      <w:r>
        <w:t>Test set performance (1,409 samples): Accuracy = 0.8055, Precision = 0.6572, Recall = 0.5588, F1-Score = 0.6040, ROC-AUC = 0.8419.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15. Confusion Matrix</w:t>
      </w:r>
    </w:p>
    <w:p>
      <w:r>
        <w:t>Test set confusion matrix breakdown:</w:t>
        <w:br/>
        <w:t>• True Negatives (TN): 926 (Retained customers correctly predicted as Retained)</w:t>
        <w:br/>
        <w:t>• False Positives (FP): 109 (Retained customers incorrectly predicted as Churn)</w:t>
        <w:br/>
        <w:t>• False Negatives (FN): 165 (Churned customers incorrectly predicted as Retained)</w:t>
        <w:br/>
        <w:t>• True Positives (TP): 209 (Churned customers correctly predicted as Churn)</w:t>
      </w:r>
    </w:p>
    <w:p>
      <w:r>
        <w:t>Figure 15.1: Logistic Regression Confusion Matrix</w:t>
      </w:r>
    </w:p>
    <w:p>
      <w:r>
        <w:drawing>
          <wp:inline xmlns:a="http://schemas.openxmlformats.org/drawingml/2006/main" xmlns:pic="http://schemas.openxmlformats.org/drawingml/2006/picture">
            <wp:extent cx="4754880" cy="40148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014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16. ROC Curve and AUC</w:t>
      </w:r>
    </w:p>
    <w:p>
      <w:r>
        <w:t>The ROC-AUC score of 0.8419 demonstrates strong class separation capability.</w:t>
      </w:r>
    </w:p>
    <w:p>
      <w:r>
        <w:t>Figure 16.1: Receiver Operating Characteristic (ROC) Curve</w:t>
      </w:r>
    </w:p>
    <w:p>
      <w:r>
        <w:drawing>
          <wp:inline xmlns:a="http://schemas.openxmlformats.org/drawingml/2006/main" xmlns:pic="http://schemas.openxmlformats.org/drawingml/2006/picture">
            <wp:extent cx="5029200" cy="37506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5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17. Precision-Recall Analysis</w:t>
      </w:r>
    </w:p>
    <w:p>
      <w:r>
        <w:t>Average Precision score = 0.6338, outperforming the 0.2654 baseline.</w:t>
      </w:r>
    </w:p>
    <w:p>
      <w:r>
        <w:t>Figure 17.1: Precision-Recall Curve</w:t>
      </w:r>
    </w:p>
    <w:p>
      <w:r>
        <w:drawing>
          <wp:inline xmlns:a="http://schemas.openxmlformats.org/drawingml/2006/main" xmlns:pic="http://schemas.openxmlformats.org/drawingml/2006/picture">
            <wp:extent cx="5029200" cy="37506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sion_recall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5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18. Classification Threshold Analysis</w:t>
      </w:r>
    </w:p>
    <w:p>
      <w:r>
        <w:t>Lowering the classification threshold from 0.5 to 0.35 increases Recall (catching more churners) at the cost of lower Precision.</w:t>
      </w:r>
    </w:p>
    <w:p>
      <w:r>
        <w:t>Figure 18.1: Precision-Recall-F1 Threshold Trade-off Plot</w:t>
      </w:r>
    </w:p>
    <w:p>
      <w:r>
        <w:drawing>
          <wp:inline xmlns:a="http://schemas.openxmlformats.org/drawingml/2006/main" xmlns:pic="http://schemas.openxmlformats.org/drawingml/2006/picture">
            <wp:extent cx="5303520" cy="29159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5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19. Feature Interpretation</w:t>
      </w:r>
    </w:p>
    <w:p>
      <w:r>
        <w:t>Top negative coefficients (protective against churn): tenure (-1.2339), Two-year contract (-0.7627), DSL service (-0.6402). Top positive coefficients (churn risk factors): Fiber optic service (+0.6431), Month-to-month contract (+0.5873), TotalCharges (+0.5103).</w:t>
      </w:r>
    </w:p>
    <w:p>
      <w:r>
        <w:t>Figure 19.1: Top Logistic Regression Feature Coefficients</w:t>
      </w:r>
    </w:p>
    <w:p>
      <w:r>
        <w:drawing>
          <wp:inline xmlns:a="http://schemas.openxmlformats.org/drawingml/2006/main" xmlns:pic="http://schemas.openxmlformats.org/drawingml/2006/picture">
            <wp:extent cx="5303520" cy="31514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logistic_coeffici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51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20. Optional Model Comparison</w:t>
      </w:r>
    </w:p>
    <w:p>
      <w:r>
        <w:t>Table 2 compares Logistic Regression against Random Forest Classifier on the test set: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Model Name</w:t>
            </w:r>
          </w:p>
        </w:tc>
        <w:tc>
          <w:tcPr>
            <w:tcW w:type="dxa" w:w="144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Accuracy</w:t>
            </w:r>
          </w:p>
        </w:tc>
        <w:tc>
          <w:tcPr>
            <w:tcW w:type="dxa" w:w="144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44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44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440"/>
            <w:shd w:fill="2980B9"/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ROC-AUC</w:t>
            </w:r>
          </w:p>
        </w:tc>
      </w:tr>
      <w:tr>
        <w:tc>
          <w:tcPr>
            <w:tcW w:type="dxa" w:w="1440"/>
            <w:shd w:fill="F2F4F4"/>
          </w:tcPr>
          <w:p>
            <w:r>
              <w:rPr>
                <w:rFonts w:ascii="Times New Roman" w:hAnsi="Times New Roman"/>
              </w:rPr>
              <w:t>Logistic Regression</w:t>
            </w:r>
          </w:p>
        </w:tc>
        <w:tc>
          <w:tcPr>
            <w:tcW w:type="dxa" w:w="1440"/>
            <w:shd w:fill="F2F4F4"/>
          </w:tcPr>
          <w:p>
            <w:r>
              <w:rPr>
                <w:rFonts w:ascii="Times New Roman" w:hAnsi="Times New Roman"/>
              </w:rPr>
              <w:t>0.8055</w:t>
            </w:r>
          </w:p>
        </w:tc>
        <w:tc>
          <w:tcPr>
            <w:tcW w:type="dxa" w:w="1440"/>
            <w:shd w:fill="F2F4F4"/>
          </w:tcPr>
          <w:p>
            <w:r>
              <w:rPr>
                <w:rFonts w:ascii="Times New Roman" w:hAnsi="Times New Roman"/>
              </w:rPr>
              <w:t>0.6572</w:t>
            </w:r>
          </w:p>
        </w:tc>
        <w:tc>
          <w:tcPr>
            <w:tcW w:type="dxa" w:w="1440"/>
            <w:shd w:fill="F2F4F4"/>
          </w:tcPr>
          <w:p>
            <w:r>
              <w:rPr>
                <w:rFonts w:ascii="Times New Roman" w:hAnsi="Times New Roman"/>
              </w:rPr>
              <w:t>0.5588</w:t>
            </w:r>
          </w:p>
        </w:tc>
        <w:tc>
          <w:tcPr>
            <w:tcW w:type="dxa" w:w="1440"/>
            <w:shd w:fill="F2F4F4"/>
          </w:tcPr>
          <w:p>
            <w:r>
              <w:rPr>
                <w:rFonts w:ascii="Times New Roman" w:hAnsi="Times New Roman"/>
              </w:rPr>
              <w:t>0.6040</w:t>
            </w:r>
          </w:p>
        </w:tc>
        <w:tc>
          <w:tcPr>
            <w:tcW w:type="dxa" w:w="1440"/>
            <w:shd w:fill="F2F4F4"/>
          </w:tcPr>
          <w:p>
            <w:r>
              <w:rPr>
                <w:rFonts w:ascii="Times New Roman" w:hAnsi="Times New Roman"/>
              </w:rPr>
              <w:t>0.8419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rFonts w:ascii="Times New Roman" w:hAnsi="Times New Roman"/>
              </w:rPr>
              <w:t>Random Forest</w:t>
            </w:r>
          </w:p>
        </w:tc>
        <w:tc>
          <w:tcPr>
            <w:tcW w:type="dxa" w:w="1440"/>
            <w:shd w:fill="FFFFFF"/>
          </w:tcPr>
          <w:p>
            <w:r>
              <w:rPr>
                <w:rFonts w:ascii="Times New Roman" w:hAnsi="Times New Roman"/>
              </w:rPr>
              <w:t>0.7821</w:t>
            </w:r>
          </w:p>
        </w:tc>
        <w:tc>
          <w:tcPr>
            <w:tcW w:type="dxa" w:w="1440"/>
            <w:shd w:fill="FFFFFF"/>
          </w:tcPr>
          <w:p>
            <w:r>
              <w:rPr>
                <w:rFonts w:ascii="Times New Roman" w:hAnsi="Times New Roman"/>
              </w:rPr>
              <w:t>0.6159</w:t>
            </w:r>
          </w:p>
        </w:tc>
        <w:tc>
          <w:tcPr>
            <w:tcW w:type="dxa" w:w="1440"/>
            <w:shd w:fill="FFFFFF"/>
          </w:tcPr>
          <w:p>
            <w:r>
              <w:rPr>
                <w:rFonts w:ascii="Times New Roman" w:hAnsi="Times New Roman"/>
              </w:rPr>
              <w:t>0.4759</w:t>
            </w:r>
          </w:p>
        </w:tc>
        <w:tc>
          <w:tcPr>
            <w:tcW w:type="dxa" w:w="1440"/>
            <w:shd w:fill="FFFFFF"/>
          </w:tcPr>
          <w:p>
            <w:r>
              <w:rPr>
                <w:rFonts w:ascii="Times New Roman" w:hAnsi="Times New Roman"/>
              </w:rPr>
              <w:t>0.5370</w:t>
            </w:r>
          </w:p>
        </w:tc>
        <w:tc>
          <w:tcPr>
            <w:tcW w:type="dxa" w:w="1440"/>
            <w:shd w:fill="FFFFFF"/>
          </w:tcPr>
          <w:p>
            <w:r>
              <w:rPr>
                <w:rFonts w:ascii="Times New Roman" w:hAnsi="Times New Roman"/>
              </w:rPr>
              <w:t>0.8179</w:t>
            </w:r>
          </w:p>
        </w:tc>
      </w:tr>
    </w:tbl>
    <w:p>
      <w:r>
        <w:t>Figure 20.1: Model Comparison Bar Chart</w:t>
      </w:r>
    </w:p>
    <w:p>
      <w:r>
        <w:drawing>
          <wp:inline xmlns:a="http://schemas.openxmlformats.org/drawingml/2006/main" xmlns:pic="http://schemas.openxmlformats.org/drawingml/2006/picture">
            <wp:extent cx="5303520" cy="31532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53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21. Final Model Selection</w:t>
      </w:r>
    </w:p>
    <w:p>
      <w:r>
        <w:t>Logistic Regression is selected as the primary baseline model due to superior Recall (0.5588 vs 0.4759), higher F1-Score (0.6040 vs 0.5370), higher ROC-AUC (0.8419 vs 0.8179), and direct coefficient interpretability.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22. Business Interpretation</w:t>
      </w:r>
    </w:p>
    <w:p>
      <w:r>
        <w:t>Logistic Regression probabilities allow retention teams to score customer churn risk dynamically, enabling targeted intervention for high-risk accounts.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23. Strengths</w:t>
      </w:r>
    </w:p>
    <w:p>
      <w:r>
        <w:t>• 0% data leakage via Scikit-learn Pipeline architecture.</w:t>
        <w:br/>
        <w:t>• High interpretability via linear feature coefficients.</w:t>
        <w:br/>
        <w:t>• Robust cross-validation metrics.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24. Limitations</w:t>
      </w:r>
    </w:p>
    <w:p>
      <w:r>
        <w:t>• Moderate recall (~55.9%) under standard 0.5 probability threshold due to class imbalance.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25. Possible Improvements</w:t>
      </w:r>
    </w:p>
    <w:p>
      <w:r>
        <w:t>Future iterations may apply class weighting (`class_weight='balanced'`), hyperparameter tuning via GridSearchCV, SMOTE oversampling, or XGBoost.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26. Conclusion</w:t>
      </w:r>
    </w:p>
    <w:p>
      <w:r>
        <w:t>Week 4 supervised classification established an effective baseline churn model achieving 80.55% accuracy and 0.8419 ROC-AUC.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27. References</w:t>
      </w:r>
    </w:p>
    <w:p>
      <w:r>
        <w:t>1. Hosmer, D. W., Lemeshow, S., &amp; Sturdivant, R. X. (2013). Applied Logistic Regression.</w:t>
        <w:br/>
        <w:t>2. Pedregosa, F., et al. (2011). Scikit-learn: Machine Learning in Python.</w:t>
      </w:r>
    </w:p>
    <w:p>
      <w:pPr>
        <w:pStyle w:val="Heading1"/>
      </w:pPr>
      <w:r>
        <w:rPr>
          <w:rFonts w:ascii="Times New Roman" w:hAnsi="Times New Roman"/>
          <w:b/>
          <w:color w:val="2980B9"/>
        </w:rPr>
        <w:t>28. Appendix — Code Snippet</w:t>
      </w:r>
    </w:p>
    <w:p>
      <w:r>
        <w:t>```python</w:t>
        <w:br/>
        <w:t># Preprocessing Pipeline &amp; Model Training</w:t>
        <w:br/>
        <w:t>preprocessor = ColumnTransformer([</w:t>
        <w:br/>
        <w:t xml:space="preserve">    ('num', StandardScaler(), numerical_features),</w:t>
        <w:br/>
        <w:t xml:space="preserve">    ('cat', OneHotEncoder(handle_unknown='ignore'), categorical_features)</w:t>
        <w:br/>
        <w:t>])</w:t>
        <w:br/>
        <w:t>model = Pipeline([</w:t>
        <w:br/>
        <w:t xml:space="preserve">    ('preprocessor', preprocessor),</w:t>
        <w:br/>
        <w:t xml:space="preserve">    ('classifier', LogisticRegression(max_iter=1000, random_state=42))</w:t>
        <w:br/>
        <w:t>])</w:t>
        <w:br/>
        <w:t>model.fit(X_train, y_train)</w:t>
        <w:br/>
        <w:t>```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