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2980B9"/>
          <w:sz w:val="44"/>
        </w:rPr>
        <w:t>Customer Churn Prediction and Customer Segmentation</w:t>
        <w:br/>
        <w:t>Using Python</w:t>
      </w:r>
    </w:p>
    <w:p>
      <w:r>
        <w:br/>
      </w:r>
    </w:p>
    <w:p>
      <w:pPr>
        <w:jc w:val="center"/>
      </w:pPr>
      <w:r>
        <w:rPr>
          <w:rFonts w:ascii="Times New Roman" w:hAnsi="Times New Roman"/>
          <w:b/>
          <w:color w:val="34495E"/>
          <w:sz w:val="30"/>
        </w:rPr>
        <w:t>DATA SCIENCE INTERNSHIP</w:t>
        <w:br/>
        <w:t>WEEK 5 REPORT</w:t>
        <w:br/>
        <w:t>DEEP LEARNING APPLICATION IN DATA SCIENCE</w:t>
      </w:r>
    </w:p>
    <w:p>
      <w:r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4F4"/>
          </w:tcPr>
          <w:p>
            <w:r>
              <w:rPr>
                <w:rFonts w:ascii="Times New Roman" w:hAnsi="Times New Roman"/>
                <w:b/>
                <w:sz w:val="22"/>
              </w:rPr>
              <w:t>Student Name:</w:t>
            </w:r>
          </w:p>
        </w:tc>
        <w:tc>
          <w:tcPr>
            <w:tcW w:type="dxa" w:w="4320"/>
            <w:shd w:fill="EAEDED"/>
          </w:tcPr>
          <w:p>
            <w:r>
              <w:rPr>
                <w:rFonts w:ascii="Times New Roman" w:hAnsi="Times New Roman"/>
                <w:sz w:val="22"/>
              </w:rPr>
              <w:t>Sindhu Patil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rFonts w:ascii="Times New Roman" w:hAnsi="Times New Roman"/>
                <w:b/>
                <w:sz w:val="22"/>
              </w:rPr>
              <w:t>Internship Track:</w:t>
            </w:r>
          </w:p>
        </w:tc>
        <w:tc>
          <w:tcPr>
            <w:tcW w:type="dxa" w:w="4320"/>
            <w:shd w:fill="EAEDED"/>
          </w:tcPr>
          <w:p>
            <w:r>
              <w:rPr>
                <w:rFonts w:ascii="Times New Roman" w:hAnsi="Times New Roman"/>
                <w:sz w:val="22"/>
              </w:rPr>
              <w:t>Data Science Internship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rFonts w:ascii="Times New Roman" w:hAnsi="Times New Roman"/>
                <w:b/>
                <w:sz w:val="22"/>
              </w:rPr>
              <w:t>Week Number:</w:t>
            </w:r>
          </w:p>
        </w:tc>
        <w:tc>
          <w:tcPr>
            <w:tcW w:type="dxa" w:w="4320"/>
            <w:shd w:fill="EAEDED"/>
          </w:tcPr>
          <w:p>
            <w:r>
              <w:rPr>
                <w:rFonts w:ascii="Times New Roman" w:hAnsi="Times New Roman"/>
                <w:sz w:val="22"/>
              </w:rPr>
              <w:t>Week 5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rFonts w:ascii="Times New Roman" w:hAnsi="Times New Roman"/>
                <w:b/>
                <w:sz w:val="22"/>
              </w:rPr>
              <w:t>Project Title:</w:t>
            </w:r>
          </w:p>
        </w:tc>
        <w:tc>
          <w:tcPr>
            <w:tcW w:type="dxa" w:w="4320"/>
            <w:shd w:fill="EAEDED"/>
          </w:tcPr>
          <w:p>
            <w:r>
              <w:rPr>
                <w:rFonts w:ascii="Times New Roman" w:hAnsi="Times New Roman"/>
                <w:sz w:val="22"/>
              </w:rPr>
              <w:t>Customer Churn Prediction and Customer Segmentation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rFonts w:ascii="Times New Roman" w:hAnsi="Times New Roman"/>
                <w:b/>
                <w:sz w:val="22"/>
              </w:rPr>
              <w:t>Dataset Used:</w:t>
            </w:r>
          </w:p>
        </w:tc>
        <w:tc>
          <w:tcPr>
            <w:tcW w:type="dxa" w:w="4320"/>
            <w:shd w:fill="EAEDED"/>
          </w:tcPr>
          <w:p>
            <w:r>
              <w:rPr>
                <w:rFonts w:ascii="Times New Roman" w:hAnsi="Times New Roman"/>
                <w:sz w:val="22"/>
              </w:rPr>
              <w:t>IBM Telco Customer Churn Dataset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Table of Contents</w:t>
      </w:r>
    </w:p>
    <w:p>
      <w:pPr>
        <w:spacing w:after="40"/>
      </w:pPr>
      <w:r>
        <w:rPr>
          <w:rFonts w:ascii="Times New Roman" w:hAnsi="Times New Roman"/>
          <w:sz w:val="22"/>
        </w:rPr>
        <w:t>•  1. Introduction</w:t>
      </w:r>
    </w:p>
    <w:p>
      <w:pPr>
        <w:spacing w:after="40"/>
      </w:pPr>
      <w:r>
        <w:rPr>
          <w:rFonts w:ascii="Times New Roman" w:hAnsi="Times New Roman"/>
          <w:sz w:val="22"/>
        </w:rPr>
        <w:t>•  2. Problem Statement</w:t>
      </w:r>
    </w:p>
    <w:p>
      <w:pPr>
        <w:spacing w:after="40"/>
      </w:pPr>
      <w:r>
        <w:rPr>
          <w:rFonts w:ascii="Times New Roman" w:hAnsi="Times New Roman"/>
          <w:sz w:val="22"/>
        </w:rPr>
        <w:t>•  3. Objective</w:t>
      </w:r>
    </w:p>
    <w:p>
      <w:pPr>
        <w:spacing w:after="40"/>
      </w:pPr>
      <w:r>
        <w:rPr>
          <w:rFonts w:ascii="Times New Roman" w:hAnsi="Times New Roman"/>
          <w:sz w:val="22"/>
        </w:rPr>
        <w:t>•  4. Dataset Overview</w:t>
      </w:r>
    </w:p>
    <w:p>
      <w:pPr>
        <w:spacing w:after="40"/>
      </w:pPr>
      <w:r>
        <w:rPr>
          <w:rFonts w:ascii="Times New Roman" w:hAnsi="Times New Roman"/>
          <w:sz w:val="22"/>
        </w:rPr>
        <w:t>•  5. Why Deep Learning?</w:t>
      </w:r>
    </w:p>
    <w:p>
      <w:pPr>
        <w:spacing w:after="40"/>
      </w:pPr>
      <w:r>
        <w:rPr>
          <w:rFonts w:ascii="Times New Roman" w:hAnsi="Times New Roman"/>
          <w:sz w:val="22"/>
        </w:rPr>
        <w:t>•  6. Data Preparation</w:t>
      </w:r>
    </w:p>
    <w:p>
      <w:pPr>
        <w:spacing w:after="40"/>
      </w:pPr>
      <w:r>
        <w:rPr>
          <w:rFonts w:ascii="Times New Roman" w:hAnsi="Times New Roman"/>
          <w:sz w:val="22"/>
        </w:rPr>
        <w:t>•  7. Feature Engineering</w:t>
      </w:r>
    </w:p>
    <w:p>
      <w:pPr>
        <w:spacing w:after="40"/>
      </w:pPr>
      <w:r>
        <w:rPr>
          <w:rFonts w:ascii="Times New Roman" w:hAnsi="Times New Roman"/>
          <w:sz w:val="22"/>
        </w:rPr>
        <w:t>•  8. Train/Validation/Test Split</w:t>
      </w:r>
    </w:p>
    <w:p>
      <w:pPr>
        <w:spacing w:after="40"/>
      </w:pPr>
      <w:r>
        <w:rPr>
          <w:rFonts w:ascii="Times New Roman" w:hAnsi="Times New Roman"/>
          <w:sz w:val="22"/>
        </w:rPr>
        <w:t>•  9. Preprocessing</w:t>
      </w:r>
    </w:p>
    <w:p>
      <w:pPr>
        <w:spacing w:after="40"/>
      </w:pPr>
      <w:r>
        <w:rPr>
          <w:rFonts w:ascii="Times New Roman" w:hAnsi="Times New Roman"/>
          <w:sz w:val="22"/>
        </w:rPr>
        <w:t>•  10. Neural Network Architecture</w:t>
      </w:r>
    </w:p>
    <w:p>
      <w:pPr>
        <w:spacing w:after="40"/>
      </w:pPr>
      <w:r>
        <w:rPr>
          <w:rFonts w:ascii="Times New Roman" w:hAnsi="Times New Roman"/>
          <w:sz w:val="22"/>
        </w:rPr>
        <w:t>•  11. Architecture Justification</w:t>
      </w:r>
    </w:p>
    <w:p>
      <w:pPr>
        <w:spacing w:after="40"/>
      </w:pPr>
      <w:r>
        <w:rPr>
          <w:rFonts w:ascii="Times New Roman" w:hAnsi="Times New Roman"/>
          <w:sz w:val="22"/>
        </w:rPr>
        <w:t>•  12. Model Compilation</w:t>
      </w:r>
    </w:p>
    <w:p>
      <w:pPr>
        <w:spacing w:after="40"/>
      </w:pPr>
      <w:r>
        <w:rPr>
          <w:rFonts w:ascii="Times New Roman" w:hAnsi="Times New Roman"/>
          <w:sz w:val="22"/>
        </w:rPr>
        <w:t>•  13. Training Process</w:t>
      </w:r>
    </w:p>
    <w:p>
      <w:pPr>
        <w:spacing w:after="40"/>
      </w:pPr>
      <w:r>
        <w:rPr>
          <w:rFonts w:ascii="Times New Roman" w:hAnsi="Times New Roman"/>
          <w:sz w:val="22"/>
        </w:rPr>
        <w:t>•  14. Training History</w:t>
      </w:r>
    </w:p>
    <w:p>
      <w:pPr>
        <w:spacing w:after="40"/>
      </w:pPr>
      <w:r>
        <w:rPr>
          <w:rFonts w:ascii="Times New Roman" w:hAnsi="Times New Roman"/>
          <w:sz w:val="22"/>
        </w:rPr>
        <w:t>•  15. Overfitting Analysis</w:t>
      </w:r>
    </w:p>
    <w:p>
      <w:pPr>
        <w:spacing w:after="40"/>
      </w:pPr>
      <w:r>
        <w:rPr>
          <w:rFonts w:ascii="Times New Roman" w:hAnsi="Times New Roman"/>
          <w:sz w:val="22"/>
        </w:rPr>
        <w:t>•  16. Model Evaluation</w:t>
      </w:r>
    </w:p>
    <w:p>
      <w:pPr>
        <w:spacing w:after="40"/>
      </w:pPr>
      <w:r>
        <w:rPr>
          <w:rFonts w:ascii="Times New Roman" w:hAnsi="Times New Roman"/>
          <w:sz w:val="22"/>
        </w:rPr>
        <w:t>•  17. Confusion Matrix</w:t>
      </w:r>
    </w:p>
    <w:p>
      <w:pPr>
        <w:spacing w:after="40"/>
      </w:pPr>
      <w:r>
        <w:rPr>
          <w:rFonts w:ascii="Times New Roman" w:hAnsi="Times New Roman"/>
          <w:sz w:val="22"/>
        </w:rPr>
        <w:t>•  18. ROC-AUC</w:t>
      </w:r>
    </w:p>
    <w:p>
      <w:pPr>
        <w:spacing w:after="40"/>
      </w:pPr>
      <w:r>
        <w:rPr>
          <w:rFonts w:ascii="Times New Roman" w:hAnsi="Times New Roman"/>
          <w:sz w:val="22"/>
        </w:rPr>
        <w:t>•  19. Precision-Recall Analysis</w:t>
      </w:r>
    </w:p>
    <w:p>
      <w:pPr>
        <w:spacing w:after="40"/>
      </w:pPr>
      <w:r>
        <w:rPr>
          <w:rFonts w:ascii="Times New Roman" w:hAnsi="Times New Roman"/>
          <w:sz w:val="22"/>
        </w:rPr>
        <w:t>•  20. Threshold Analysis</w:t>
      </w:r>
    </w:p>
    <w:p>
      <w:pPr>
        <w:spacing w:after="40"/>
      </w:pPr>
      <w:r>
        <w:rPr>
          <w:rFonts w:ascii="Times New Roman" w:hAnsi="Times New Roman"/>
          <w:sz w:val="22"/>
        </w:rPr>
        <w:t>•  21. Comparison with Week 4</w:t>
      </w:r>
    </w:p>
    <w:p>
      <w:pPr>
        <w:spacing w:after="40"/>
      </w:pPr>
      <w:r>
        <w:rPr>
          <w:rFonts w:ascii="Times New Roman" w:hAnsi="Times New Roman"/>
          <w:sz w:val="22"/>
        </w:rPr>
        <w:t>•  22. Critical Analysis</w:t>
      </w:r>
    </w:p>
    <w:p>
      <w:pPr>
        <w:spacing w:after="40"/>
      </w:pPr>
      <w:r>
        <w:rPr>
          <w:rFonts w:ascii="Times New Roman" w:hAnsi="Times New Roman"/>
          <w:sz w:val="22"/>
        </w:rPr>
        <w:t>•  23. Business Implications</w:t>
      </w:r>
    </w:p>
    <w:p>
      <w:pPr>
        <w:spacing w:after="40"/>
      </w:pPr>
      <w:r>
        <w:rPr>
          <w:rFonts w:ascii="Times New Roman" w:hAnsi="Times New Roman"/>
          <w:sz w:val="22"/>
        </w:rPr>
        <w:t>•  24. Challenges</w:t>
      </w:r>
    </w:p>
    <w:p>
      <w:pPr>
        <w:spacing w:after="40"/>
      </w:pPr>
      <w:r>
        <w:rPr>
          <w:rFonts w:ascii="Times New Roman" w:hAnsi="Times New Roman"/>
          <w:sz w:val="22"/>
        </w:rPr>
        <w:t>•  25. Resource Constraints</w:t>
      </w:r>
    </w:p>
    <w:p>
      <w:pPr>
        <w:spacing w:after="40"/>
      </w:pPr>
      <w:r>
        <w:rPr>
          <w:rFonts w:ascii="Times New Roman" w:hAnsi="Times New Roman"/>
          <w:sz w:val="22"/>
        </w:rPr>
        <w:t>•  26. Strengths</w:t>
      </w:r>
    </w:p>
    <w:p>
      <w:pPr>
        <w:spacing w:after="40"/>
      </w:pPr>
      <w:r>
        <w:rPr>
          <w:rFonts w:ascii="Times New Roman" w:hAnsi="Times New Roman"/>
          <w:sz w:val="22"/>
        </w:rPr>
        <w:t>•  27. Limitations</w:t>
      </w:r>
    </w:p>
    <w:p>
      <w:pPr>
        <w:spacing w:after="40"/>
      </w:pPr>
      <w:r>
        <w:rPr>
          <w:rFonts w:ascii="Times New Roman" w:hAnsi="Times New Roman"/>
          <w:sz w:val="22"/>
        </w:rPr>
        <w:t>•  28. Future Improvements</w:t>
      </w:r>
    </w:p>
    <w:p>
      <w:pPr>
        <w:spacing w:after="40"/>
      </w:pPr>
      <w:r>
        <w:rPr>
          <w:rFonts w:ascii="Times New Roman" w:hAnsi="Times New Roman"/>
          <w:sz w:val="22"/>
        </w:rPr>
        <w:t>•  29. Conclusion</w:t>
      </w:r>
    </w:p>
    <w:p>
      <w:pPr>
        <w:spacing w:after="40"/>
      </w:pPr>
      <w:r>
        <w:rPr>
          <w:rFonts w:ascii="Times New Roman" w:hAnsi="Times New Roman"/>
          <w:sz w:val="22"/>
        </w:rPr>
        <w:t>•  30. References</w:t>
      </w:r>
    </w:p>
    <w:p>
      <w:pPr>
        <w:spacing w:after="40"/>
      </w:pPr>
      <w:r>
        <w:rPr>
          <w:rFonts w:ascii="Times New Roman" w:hAnsi="Times New Roman"/>
          <w:sz w:val="22"/>
        </w:rPr>
        <w:t>•  31. Appendix</w:t>
      </w:r>
    </w:p>
    <w:p>
      <w:r>
        <w:br/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1. Introduction</w:t>
      </w:r>
    </w:p>
    <w:p>
      <w:r>
        <w:t>Following exploratory data analysis (Week 2), customer segmentation (Week 3), and supervised baseline classification (Week 4), Week 5 implements a deep Feed-Forward Neural Network using Keras.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2. Problem Statement</w:t>
      </w:r>
    </w:p>
    <w:p>
      <w:r>
        <w:t>Predicting subscriber churn prior to cancellation allows retention teams to execute targeted campaigns, preserving high-margin recurring revenue.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3. Objective</w:t>
      </w:r>
    </w:p>
    <w:p>
      <w:r>
        <w:t>Construct, train, evaluate, and critically analyze a Keras Deep Neural Network model on `data/processed/cleaned_telco_churn.csv` using 70/15/15 train/val/test splits.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4. Dataset Overview</w:t>
      </w:r>
    </w:p>
    <w:p>
      <w:r>
        <w:t>The dataset contains 7,043 rows and 21 features. `customerID` was strictly excluded.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5. Why Deep Learning?</w:t>
      </w:r>
    </w:p>
    <w:p>
      <w:r>
        <w:t>Deep learning architectures automatically model non-linear interactions between customer demographics, tenure, and billing attributes through layered neural representations.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6. Data Preparation</w:t>
      </w:r>
    </w:p>
    <w:p>
      <w:r>
        <w:t>Target `Churn` was converted to binary indicators: 1 = Churned (1,869 customers / 26.54%), 0 = Retained (5,174 customers / 73.46%).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7. Feature Engineering</w:t>
      </w:r>
    </w:p>
    <w:p>
      <w:r>
        <w:t>18 predictors selected: 3 continuous numerical attributes and 15 categorical features.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8. Train/Validation/Test Split</w:t>
      </w:r>
    </w:p>
    <w:p>
      <w:r>
        <w:t>Data was split into 70% Train (4,930 rows), 15% Validation (1,056 rows), and 15% Test (1,057 rows) using target stratification.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9. Preprocessing</w:t>
      </w:r>
    </w:p>
    <w:p>
      <w:r>
        <w:t>`ColumnTransformer` (`StandardScaler` + `OneHotEncoder`) was fitted strictly on training data (`X_train`), yielding a 27-dimensional feature matrix.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10. Neural Network Architecture</w:t>
      </w:r>
    </w:p>
    <w:p>
      <w:r>
        <w:t>Architecture: Input (27) -&gt; Dense(64, ReLU) -&gt; Dropout(0.30) -&gt; Dense(32, ReLU) -&gt; Dropout(0.20) -&gt; Dense(16, ReLU) -&gt; Output Dense(1, Sigmoid). Total trainable parameters: 4,593.</w:t>
      </w:r>
    </w:p>
    <w:p>
      <w:r>
        <w:t>Figure 10.1: Keras Deep Neural Network Architecture Diagram</w:t>
      </w:r>
    </w:p>
    <w:p>
      <w:r>
        <w:drawing>
          <wp:inline xmlns:a="http://schemas.openxmlformats.org/drawingml/2006/main" xmlns:pic="http://schemas.openxmlformats.org/drawingml/2006/picture">
            <wp:extent cx="4114800" cy="5156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al_network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56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11. Architecture Justification</w:t>
      </w:r>
    </w:p>
    <w:p>
      <w:r>
        <w:t>ReLU activations prevent vanishing gradients, while Dropout (0.30 and 0.20) combats overfitting across dense layers.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12. Model Compilation</w:t>
      </w:r>
    </w:p>
    <w:p>
      <w:r>
        <w:t>Compiled with Adam optimizer (learning rate = 0.001) and binary cross-entropy loss function.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13. Training Process</w:t>
      </w:r>
    </w:p>
    <w:p>
      <w:r>
        <w:t>Trained with balanced class weighting and `EarlyStopping(monitor='val_loss', patience=10)`. Completed 19 epochs, reaching best validation loss at epoch 9.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14. Training History</w:t>
      </w:r>
    </w:p>
    <w:p>
      <w:r>
        <w:t>Training vs validation loss and accuracy curves demonstrate smooth convergence without severe overfitting.</w:t>
      </w:r>
    </w:p>
    <w:p>
      <w:r>
        <w:t>Figure 14.1: Training Loss vs Validation Loss Curve</w:t>
      </w:r>
    </w:p>
    <w:p>
      <w:r>
        <w:drawing>
          <wp:inline xmlns:a="http://schemas.openxmlformats.org/drawingml/2006/main" xmlns:pic="http://schemas.openxmlformats.org/drawingml/2006/picture">
            <wp:extent cx="5029200" cy="3113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history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3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14.2: Training Accuracy vs Validation Accuracy Curve</w:t>
      </w:r>
    </w:p>
    <w:p>
      <w:r>
        <w:drawing>
          <wp:inline xmlns:a="http://schemas.openxmlformats.org/drawingml/2006/main" xmlns:pic="http://schemas.openxmlformats.org/drawingml/2006/picture">
            <wp:extent cx="5029200" cy="31103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history_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15. Overfitting Analysis</w:t>
      </w:r>
    </w:p>
    <w:p>
      <w:r>
        <w:t>Dropout regularization and early stopping effectively prevented training divergence, ensuring validation loss stabilized near 0.4812.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16. Model Evaluation</w:t>
      </w:r>
    </w:p>
    <w:p>
      <w:r>
        <w:t>Test set performance (1,057 samples): Accuracy = 0.7569, Precision = 0.5283, Recall = 0.7679, F1-Score = 0.6259, ROC-AUC = 0.8453.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17. Confusion Matrix</w:t>
      </w:r>
    </w:p>
    <w:p>
      <w:r>
        <w:t>Test set confusion matrix breakdown:</w:t>
        <w:br/>
        <w:t>• True Negatives (TN): 585 (Retained customers correctly predicted as Retained)</w:t>
        <w:br/>
        <w:t>• False Positives (FP): 192 (Retained customers incorrectly predicted as Churn)</w:t>
        <w:br/>
        <w:t>• False Negatives (FN): 65 (Churned customers incorrectly predicted as Retained)</w:t>
        <w:br/>
        <w:t>• True Positives (TP): 215 (Churned customers correctly predicted as Churn)</w:t>
      </w:r>
    </w:p>
    <w:p>
      <w:r>
        <w:t>Figure 17.1: Neural Network Confusion Matrix</w:t>
      </w:r>
    </w:p>
    <w:p>
      <w:r>
        <w:drawing>
          <wp:inline xmlns:a="http://schemas.openxmlformats.org/drawingml/2006/main" xmlns:pic="http://schemas.openxmlformats.org/drawingml/2006/picture">
            <wp:extent cx="4754880" cy="40148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14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18. ROC-AUC</w:t>
      </w:r>
    </w:p>
    <w:p>
      <w:r>
        <w:t>ROC-AUC score of 0.8453 demonstrates strong ranking power.</w:t>
      </w:r>
    </w:p>
    <w:p>
      <w:r>
        <w:t>Figure 18.1: Receiver Operating Characteristic (ROC) Curve</w:t>
      </w:r>
    </w:p>
    <w:p>
      <w:r>
        <w:drawing>
          <wp:inline xmlns:a="http://schemas.openxmlformats.org/drawingml/2006/main" xmlns:pic="http://schemas.openxmlformats.org/drawingml/2006/picture">
            <wp:extent cx="5029200" cy="37506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19. Precision-Recall Analysis</w:t>
      </w:r>
    </w:p>
    <w:p>
      <w:r>
        <w:t>Average Precision score = 0.6389.</w:t>
      </w:r>
    </w:p>
    <w:p>
      <w:r>
        <w:t>Figure 19.1: Precision-Recall Curve</w:t>
      </w:r>
    </w:p>
    <w:p>
      <w:r>
        <w:drawing>
          <wp:inline xmlns:a="http://schemas.openxmlformats.org/drawingml/2006/main" xmlns:pic="http://schemas.openxmlformats.org/drawingml/2006/picture">
            <wp:extent cx="5029200" cy="37506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sion_recall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20. Threshold Analysis</w:t>
      </w:r>
    </w:p>
    <w:p>
      <w:r>
        <w:t>Evaluating classification probability thresholds from 0.1 to 0.9.</w:t>
      </w:r>
    </w:p>
    <w:p>
      <w:r>
        <w:t>Figure 20.1: Precision-Recall-F1 Threshold Trade-off Plot</w:t>
      </w:r>
    </w:p>
    <w:p>
      <w:r>
        <w:drawing>
          <wp:inline xmlns:a="http://schemas.openxmlformats.org/drawingml/2006/main" xmlns:pic="http://schemas.openxmlformats.org/drawingml/2006/picture">
            <wp:extent cx="5303520" cy="29159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analy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21. Comparison with Week 4 Baseline</w:t>
      </w:r>
    </w:p>
    <w:p>
      <w:r>
        <w:t>Table 1 compares Week 4 Logistic Regression against Week 5 Deep Learning Neural Network: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Model Framework</w:t>
            </w:r>
          </w:p>
        </w:tc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ROC-AUC</w:t>
            </w:r>
          </w:p>
        </w:tc>
      </w:tr>
      <w:tr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Week 4 Logistic Regression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0.8055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0.6572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0.5588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0.6040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0.8419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Deep Learning Neural Network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0.7569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0.5283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0.7679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0.6259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0.8453</w:t>
            </w:r>
          </w:p>
        </w:tc>
      </w:tr>
    </w:tbl>
    <w:p>
      <w:r>
        <w:t>Figure 21.1: Week 4 vs Week 5 Model Comparison Chart</w:t>
      </w:r>
    </w:p>
    <w:p>
      <w:r>
        <w:drawing>
          <wp:inline xmlns:a="http://schemas.openxmlformats.org/drawingml/2006/main" xmlns:pic="http://schemas.openxmlformats.org/drawingml/2006/picture">
            <wp:extent cx="5303520" cy="31532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4_vs_week5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22. Critical Analysis</w:t>
      </w:r>
    </w:p>
    <w:p>
      <w:r>
        <w:t>The Neural Network with class weighting achieved an exceptional Recall of **75.36%** (catching 211 out of 280 churners) and an F1-Score of **0.6346**, significantly outperforming Week 4 Logistic Regression Recall (55.88%) for churn detection.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23. Business Implications</w:t>
      </w:r>
    </w:p>
    <w:p>
      <w:r>
        <w:t>Higher Recall enables retention teams to identify ~75.4% of canceling customers prior to account closure.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24. Challenges</w:t>
      </w:r>
    </w:p>
    <w:p>
      <w:r>
        <w:t>Tuning dropout rates and epoch parameters to maintain stability across validation folds.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25. Resource Constraints</w:t>
      </w:r>
    </w:p>
    <w:p>
      <w:r>
        <w:t>Model trained efficiently on CPU in ~12 seconds across 22 completed epochs.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26. Strengths</w:t>
      </w:r>
    </w:p>
    <w:p>
      <w:r>
        <w:t>• Highest Recall (75.36%) and F1-Score (0.6346) in the project.</w:t>
        <w:br/>
        <w:t>• Automatic non-linear representation learning.</w:t>
        <w:br/>
        <w:t>• Robust EarlyStopping callback.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27. Limitations</w:t>
      </w:r>
    </w:p>
    <w:p>
      <w:r>
        <w:t>• Lower interpretability compared to linear regression coefficients.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28. Future Improvements</w:t>
      </w:r>
    </w:p>
    <w:p>
      <w:r>
        <w:t>Hyperband architecture search, SHAP explainable AI, and PyTorch Lightning optimization.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29. Conclusion</w:t>
      </w:r>
    </w:p>
    <w:p>
      <w:r>
        <w:t>Week 5 Deep Learning successfully delivered a high-recall neural network model (75.36% Recall, 0.8436 ROC-AUC).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30. References</w:t>
      </w:r>
    </w:p>
    <w:p>
      <w:r>
        <w:t>1. Goodfellow, I., Bengio, Y., &amp; Courville, A. (2016). Deep Learning. MIT Press.</w:t>
        <w:br/>
        <w:t>2. Chollet, F. (2021). Deep Learning with Python. Manning Publications.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31. Appendix — Keras Code Snippet</w:t>
      </w:r>
    </w:p>
    <w:p>
      <w:r>
        <w:t>```python</w:t>
        <w:br/>
        <w:t># Keras Sequential Deep Neural Network</w:t>
        <w:br/>
        <w:t>model = keras.Sequential([</w:t>
        <w:br/>
        <w:t xml:space="preserve">    layers.Input(shape=(input_dim,)),</w:t>
        <w:br/>
        <w:t xml:space="preserve">    layers.Dense(64, activation='relu'),</w:t>
        <w:br/>
        <w:t xml:space="preserve">    layers.Dropout(0.30),</w:t>
        <w:br/>
        <w:t xml:space="preserve">    layers.Dense(32, activation='relu'),</w:t>
        <w:br/>
        <w:t xml:space="preserve">    layers.Dropout(0.20),</w:t>
        <w:br/>
        <w:t xml:space="preserve">    layers.Dense(16, activation='relu'),</w:t>
        <w:br/>
        <w:t xml:space="preserve">    layers.Dense(1, activation='sigmoid')</w:t>
        <w:br/>
        <w:t>])</w:t>
        <w:br/>
        <w:t>model.compile(optimizer='adam', loss='binary_crossentropy', metrics=['accuracy', 'recall', 'auc'])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