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2980B9"/>
          <w:sz w:val="44"/>
        </w:rPr>
        <w:t>Customer Churn Prediction and Customer Segmentation</w:t>
        <w:br/>
        <w:t>Using Python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color w:val="34495E"/>
          <w:sz w:val="30"/>
        </w:rPr>
        <w:t>DATA SCIENCE INTERNSHIP</w:t>
        <w:br/>
        <w:t>WEEK 3 REPORT</w:t>
        <w:br/>
        <w:t>UNSUPERVISED LEARNING AND CLUSTERING ANALYSIS</w:t>
      </w:r>
    </w:p>
    <w:p>
      <w:r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Student Name: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Sindhu Patil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Internship Track: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Data Science Internship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Week Number: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Week 3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Project Title: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Customer Churn Prediction and Customer Segmentation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Dataset Used: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IBM Telco Customer Churn Dataset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Table of Contents</w:t>
      </w:r>
    </w:p>
    <w:p>
      <w:pPr>
        <w:spacing w:after="40"/>
      </w:pPr>
      <w:r>
        <w:rPr>
          <w:rFonts w:ascii="Times New Roman" w:hAnsi="Times New Roman"/>
          <w:sz w:val="22"/>
        </w:rPr>
        <w:t>•  1. Introduction</w:t>
      </w:r>
    </w:p>
    <w:p>
      <w:pPr>
        <w:spacing w:after="40"/>
      </w:pPr>
      <w:r>
        <w:rPr>
          <w:rFonts w:ascii="Times New Roman" w:hAnsi="Times New Roman"/>
          <w:sz w:val="22"/>
        </w:rPr>
        <w:t>•  2. Objective</w:t>
      </w:r>
    </w:p>
    <w:p>
      <w:pPr>
        <w:spacing w:after="40"/>
      </w:pPr>
      <w:r>
        <w:rPr>
          <w:rFonts w:ascii="Times New Roman" w:hAnsi="Times New Roman"/>
          <w:sz w:val="22"/>
        </w:rPr>
        <w:t>•  3. Dataset Overview</w:t>
      </w:r>
    </w:p>
    <w:p>
      <w:pPr>
        <w:spacing w:after="40"/>
      </w:pPr>
      <w:r>
        <w:rPr>
          <w:rFonts w:ascii="Times New Roman" w:hAnsi="Times New Roman"/>
          <w:sz w:val="22"/>
        </w:rPr>
        <w:t>•  4. Introduction to Unsupervised Learning</w:t>
      </w:r>
    </w:p>
    <w:p>
      <w:pPr>
        <w:spacing w:after="40"/>
      </w:pPr>
      <w:r>
        <w:rPr>
          <w:rFonts w:ascii="Times New Roman" w:hAnsi="Times New Roman"/>
          <w:sz w:val="22"/>
        </w:rPr>
        <w:t>•  5. Customer Segmentation Problem</w:t>
      </w:r>
    </w:p>
    <w:p>
      <w:pPr>
        <w:spacing w:after="40"/>
      </w:pPr>
      <w:r>
        <w:rPr>
          <w:rFonts w:ascii="Times New Roman" w:hAnsi="Times New Roman"/>
          <w:sz w:val="22"/>
        </w:rPr>
        <w:t>•  6. Feature Selection</w:t>
      </w:r>
    </w:p>
    <w:p>
      <w:pPr>
        <w:spacing w:after="40"/>
      </w:pPr>
      <w:r>
        <w:rPr>
          <w:rFonts w:ascii="Times New Roman" w:hAnsi="Times New Roman"/>
          <w:sz w:val="22"/>
        </w:rPr>
        <w:t>•  7. Data Preprocessing</w:t>
      </w:r>
    </w:p>
    <w:p>
      <w:pPr>
        <w:spacing w:after="40"/>
      </w:pPr>
      <w:r>
        <w:rPr>
          <w:rFonts w:ascii="Times New Roman" w:hAnsi="Times New Roman"/>
          <w:sz w:val="22"/>
        </w:rPr>
        <w:t>•  8. Feature Scaling</w:t>
      </w:r>
    </w:p>
    <w:p>
      <w:pPr>
        <w:spacing w:after="40"/>
      </w:pPr>
      <w:r>
        <w:rPr>
          <w:rFonts w:ascii="Times New Roman" w:hAnsi="Times New Roman"/>
          <w:sz w:val="22"/>
        </w:rPr>
        <w:t>•  9. K-Means Algorithm</w:t>
      </w:r>
    </w:p>
    <w:p>
      <w:pPr>
        <w:spacing w:after="40"/>
      </w:pPr>
      <w:r>
        <w:rPr>
          <w:rFonts w:ascii="Times New Roman" w:hAnsi="Times New Roman"/>
          <w:sz w:val="22"/>
        </w:rPr>
        <w:t>•  10. Determining Number of Clusters</w:t>
      </w:r>
    </w:p>
    <w:p>
      <w:pPr>
        <w:spacing w:after="40"/>
      </w:pPr>
      <w:r>
        <w:rPr>
          <w:rFonts w:ascii="Times New Roman" w:hAnsi="Times New Roman"/>
          <w:sz w:val="22"/>
        </w:rPr>
        <w:t>•  11. Elbow Method</w:t>
      </w:r>
    </w:p>
    <w:p>
      <w:pPr>
        <w:spacing w:after="40"/>
      </w:pPr>
      <w:r>
        <w:rPr>
          <w:rFonts w:ascii="Times New Roman" w:hAnsi="Times New Roman"/>
          <w:sz w:val="22"/>
        </w:rPr>
        <w:t>•  12. Silhouette Score</w:t>
      </w:r>
    </w:p>
    <w:p>
      <w:pPr>
        <w:spacing w:after="40"/>
      </w:pPr>
      <w:r>
        <w:rPr>
          <w:rFonts w:ascii="Times New Roman" w:hAnsi="Times New Roman"/>
          <w:sz w:val="22"/>
        </w:rPr>
        <w:t>•  13. Final K-Means Model</w:t>
      </w:r>
    </w:p>
    <w:p>
      <w:pPr>
        <w:spacing w:after="40"/>
      </w:pPr>
      <w:r>
        <w:rPr>
          <w:rFonts w:ascii="Times New Roman" w:hAnsi="Times New Roman"/>
          <w:sz w:val="22"/>
        </w:rPr>
        <w:t>•  14. Cluster Visualization</w:t>
      </w:r>
    </w:p>
    <w:p>
      <w:pPr>
        <w:spacing w:after="40"/>
      </w:pPr>
      <w:r>
        <w:rPr>
          <w:rFonts w:ascii="Times New Roman" w:hAnsi="Times New Roman"/>
          <w:sz w:val="22"/>
        </w:rPr>
        <w:t>•  15. PCA Analysis</w:t>
      </w:r>
    </w:p>
    <w:p>
      <w:pPr>
        <w:spacing w:after="40"/>
      </w:pPr>
      <w:r>
        <w:rPr>
          <w:rFonts w:ascii="Times New Roman" w:hAnsi="Times New Roman"/>
          <w:sz w:val="22"/>
        </w:rPr>
        <w:t>•  16. Cluster Profiling</w:t>
      </w:r>
    </w:p>
    <w:p>
      <w:pPr>
        <w:spacing w:after="40"/>
      </w:pPr>
      <w:r>
        <w:rPr>
          <w:rFonts w:ascii="Times New Roman" w:hAnsi="Times New Roman"/>
          <w:sz w:val="22"/>
        </w:rPr>
        <w:t>•  17. Cluster Characteristics</w:t>
      </w:r>
    </w:p>
    <w:p>
      <w:pPr>
        <w:spacing w:after="40"/>
      </w:pPr>
      <w:r>
        <w:rPr>
          <w:rFonts w:ascii="Times New Roman" w:hAnsi="Times New Roman"/>
          <w:sz w:val="22"/>
        </w:rPr>
        <w:t>•  18. Churn Analysis by Cluster</w:t>
      </w:r>
    </w:p>
    <w:p>
      <w:pPr>
        <w:spacing w:after="40"/>
      </w:pPr>
      <w:r>
        <w:rPr>
          <w:rFonts w:ascii="Times New Roman" w:hAnsi="Times New Roman"/>
          <w:sz w:val="22"/>
        </w:rPr>
        <w:t>•  19. Cluster Naming and Interpretation</w:t>
      </w:r>
    </w:p>
    <w:p>
      <w:pPr>
        <w:spacing w:after="40"/>
      </w:pPr>
      <w:r>
        <w:rPr>
          <w:rFonts w:ascii="Times New Roman" w:hAnsi="Times New Roman"/>
          <w:sz w:val="22"/>
        </w:rPr>
        <w:t>•  20. Business Implications</w:t>
      </w:r>
    </w:p>
    <w:p>
      <w:pPr>
        <w:spacing w:after="40"/>
      </w:pPr>
      <w:r>
        <w:rPr>
          <w:rFonts w:ascii="Times New Roman" w:hAnsi="Times New Roman"/>
          <w:sz w:val="22"/>
        </w:rPr>
        <w:t>•  21. Challenges Faced</w:t>
      </w:r>
    </w:p>
    <w:p>
      <w:pPr>
        <w:spacing w:after="40"/>
      </w:pPr>
      <w:r>
        <w:rPr>
          <w:rFonts w:ascii="Times New Roman" w:hAnsi="Times New Roman"/>
          <w:sz w:val="22"/>
        </w:rPr>
        <w:t>•  22. Limitations</w:t>
      </w:r>
    </w:p>
    <w:p>
      <w:pPr>
        <w:spacing w:after="40"/>
      </w:pPr>
      <w:r>
        <w:rPr>
          <w:rFonts w:ascii="Times New Roman" w:hAnsi="Times New Roman"/>
          <w:sz w:val="22"/>
        </w:rPr>
        <w:t>•  23. Future Improvements</w:t>
      </w:r>
    </w:p>
    <w:p>
      <w:pPr>
        <w:spacing w:after="40"/>
      </w:pPr>
      <w:r>
        <w:rPr>
          <w:rFonts w:ascii="Times New Roman" w:hAnsi="Times New Roman"/>
          <w:sz w:val="22"/>
        </w:rPr>
        <w:t>•  24. Conclusion</w:t>
      </w:r>
    </w:p>
    <w:p>
      <w:pPr>
        <w:spacing w:after="40"/>
      </w:pPr>
      <w:r>
        <w:rPr>
          <w:rFonts w:ascii="Times New Roman" w:hAnsi="Times New Roman"/>
          <w:sz w:val="22"/>
        </w:rPr>
        <w:t>•  25. References</w:t>
      </w:r>
    </w:p>
    <w:p>
      <w:pPr>
        <w:spacing w:after="40"/>
      </w:pPr>
      <w:r>
        <w:rPr>
          <w:rFonts w:ascii="Times New Roman" w:hAnsi="Times New Roman"/>
          <w:sz w:val="22"/>
        </w:rPr>
        <w:t>•  26. Appendix</w:t>
      </w:r>
    </w:p>
    <w:p>
      <w:r>
        <w:br/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1. Introduction</w:t>
      </w:r>
    </w:p>
    <w:p>
      <w:r>
        <w:t>Following data cleaning (Week 1) and exploratory data analysis (Week 2), Week 3 applies unsupervised machine learning algorithms to perform customer segmentation.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2. Objective</w:t>
      </w:r>
    </w:p>
    <w:p>
      <w:r>
        <w:t>The objective of Week 3 is to discover distinct behavioral customer segments using K-Means clustering, profile cohort attributes, analyze observed churn rates, and formulate targeted business strategies.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3. Dataset Overview</w:t>
      </w:r>
    </w:p>
    <w:p>
      <w:r>
        <w:t>The analysis utilizes `data/processed/cleaned_telco_churn.csv` (7,043 rows, 21 columns). `customerID` was dropped as an identifier, and `Churn` was excluded during cluster formation to avoid data leakage.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4. Introduction to Unsupervised Learning</w:t>
      </w:r>
    </w:p>
    <w:p>
      <w:r>
        <w:t>Unsupervised learning analyzes unlabeled datasets without target supervision. Algorithms discover geometric patterns, mathematical clusters, and inherent data groupings.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5. Customer Segmentation Problem</w:t>
      </w:r>
    </w:p>
    <w:p>
      <w:r>
        <w:t>Telecommunication providers serve diverse customer populations. Segmentation identifies homogenous groups (e.g., budget users vs premium loyalists) to optimize retention campaigns.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6. Feature Selection</w:t>
      </w:r>
    </w:p>
    <w:p>
      <w:r>
        <w:t>Selected 18 behavioral features: `tenure`, `MonthlyCharges`, `TotalCharges`, `SeniorCitizen`, `Partner`, `Dependents`, `PhoneService`, `MultipleLines`, `InternetService`, `OnlineSecurity`, `OnlineBackup`, `DeviceProtection`, `TechSupport`, `StreamingTV`, `StreamingMovies`, `Contract`, `PaperlessBilling`, `PaymentMethod`. Target `Churn` was strictly excluded.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7. Data Preprocessing</w:t>
      </w:r>
    </w:p>
    <w:p>
      <w:r>
        <w:t>Multi-class categorical features were One-Hot Encoded into 27 numeric binary columns.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8. Feature Scaling</w:t>
      </w:r>
    </w:p>
    <w:p>
      <w:r>
        <w:t>StandardScaler was applied to transform continuous attributes to zero mean and unit variance ($\mu=0, \sigma=1$). Scaling is essential for distance-based algorithms like K-Means.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9. K-Means Algorithm (Beginner-Friendly Explanation)</w:t>
      </w:r>
    </w:p>
    <w:p>
      <w:r>
        <w:t>K-Means is a centroid-based clustering algorithm that partitions $N$ observations into $K$ clusters:</w:t>
        <w:br/>
        <w:t>1. Initialization: Randomly selects $K$ initial cluster centroids in feature space.</w:t>
        <w:br/>
        <w:t>2. Assignment Step: Calculates the Euclidean distance between each data point $X_i$ and all centroids $\mu_k$. Assigns each point to the nearest centroid.</w:t>
        <w:br/>
        <w:t>3. Update Step: Re-computes centroid positions by taking the mean of all points assigned to that cluster.</w:t>
        <w:br/>
        <w:t>4. Convergence: Iterates assignment and update steps until centroid positions stabilize.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10. Determining Number of Clusters</w:t>
      </w:r>
    </w:p>
    <w:p>
      <w:r>
        <w:t>Tested cluster counts from $K=2$ through $K=10$. Table 1 presents empirical Inertia and Silhouette Scores: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Number of Clusters (K)</w:t>
            </w:r>
          </w:p>
        </w:tc>
        <w:tc>
          <w:tcPr>
            <w:tcW w:type="dxa" w:w="288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Inertia (WCSS)</w:t>
            </w:r>
          </w:p>
        </w:tc>
        <w:tc>
          <w:tcPr>
            <w:tcW w:type="dxa" w:w="288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Silhouette Score</w:t>
            </w:r>
          </w:p>
        </w:tc>
      </w:tr>
      <w:tr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138,761.84</w:t>
            </w:r>
          </w:p>
        </w:tc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0.3460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119,898.75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0.2290</w:t>
            </w:r>
          </w:p>
        </w:tc>
      </w:tr>
      <w:tr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105,053.98</w:t>
            </w:r>
          </w:p>
        </w:tc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0.2502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99,455.02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0.2081</w:t>
            </w:r>
          </w:p>
        </w:tc>
      </w:tr>
      <w:tr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94,716.24</w:t>
            </w:r>
          </w:p>
        </w:tc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0.2040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91,276.09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0.1487</w:t>
            </w:r>
          </w:p>
        </w:tc>
      </w:tr>
      <w:tr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88,407.79</w:t>
            </w:r>
          </w:p>
        </w:tc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0.1418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85,894.84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Times New Roman" w:hAnsi="Times New Roman"/>
              </w:rPr>
              <w:t>0.1447</w:t>
            </w:r>
          </w:p>
        </w:tc>
      </w:tr>
      <w:tr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84,059.77</w:t>
            </w:r>
          </w:p>
        </w:tc>
        <w:tc>
          <w:tcPr>
            <w:tcW w:type="dxa" w:w="2880"/>
            <w:shd w:fill="F2F4F4"/>
          </w:tcPr>
          <w:p>
            <w:r>
              <w:rPr>
                <w:rFonts w:ascii="Times New Roman" w:hAnsi="Times New Roman"/>
              </w:rPr>
              <w:t>0.1370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2980B9"/>
        </w:rPr>
        <w:t>11. Elbow Method</w:t>
      </w:r>
    </w:p>
    <w:p>
      <w:r>
        <w:t>Inertia measures within-cluster sum of squares. Figure 11.1 illustrates the Elbow curve leveling off at $K=3$.</w:t>
      </w:r>
    </w:p>
    <w:p>
      <w:r>
        <w:t>Figure 11.1: K-Means Elbow Curve (Inertia vs K)</w:t>
      </w:r>
    </w:p>
    <w:p>
      <w:r>
        <w:drawing>
          <wp:inline xmlns:a="http://schemas.openxmlformats.org/drawingml/2006/main" xmlns:pic="http://schemas.openxmlformats.org/drawingml/2006/picture">
            <wp:extent cx="5029200" cy="3114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bow_meth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12. Silhouette Score</w:t>
      </w:r>
    </w:p>
    <w:p>
      <w:r>
        <w:t>Silhouette score measures cluster cohesion vs separation. Figure 12.1 shows silhouette performance across $K$.</w:t>
      </w:r>
    </w:p>
    <w:p>
      <w:r>
        <w:t>Figure 12.1: Silhouette Score vs K</w:t>
      </w:r>
    </w:p>
    <w:p>
      <w:r>
        <w:drawing>
          <wp:inline xmlns:a="http://schemas.openxmlformats.org/drawingml/2006/main" xmlns:pic="http://schemas.openxmlformats.org/drawingml/2006/picture">
            <wp:extent cx="5029200" cy="3117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houette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13. Final K-Means Model</w:t>
      </w:r>
    </w:p>
    <w:p>
      <w:r>
        <w:t>Selected $K=3$ clusters based on Elbow reduction, silhouette balance, and distinct business interpretability.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14. Cluster Visualization</w:t>
      </w:r>
    </w:p>
    <w:p>
      <w:r>
        <w:t>Figure 14.1 displays customer distribution across the 3 final segments.</w:t>
      </w:r>
    </w:p>
    <w:p>
      <w:r>
        <w:drawing>
          <wp:inline xmlns:a="http://schemas.openxmlformats.org/drawingml/2006/main" xmlns:pic="http://schemas.openxmlformats.org/drawingml/2006/picture">
            <wp:extent cx="5029200" cy="3171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siz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1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15. PCA Analysis</w:t>
      </w:r>
    </w:p>
    <w:p>
      <w:r>
        <w:t>PCA reduced the 27-dimensional feature space to 2 principal components (explaining 57.89% of feature variance) strictly for 2D visual scatter plotting.</w:t>
      </w:r>
    </w:p>
    <w:p>
      <w:r>
        <w:t>Figure 15.1: 2D PCA Cluster Projection Scatter Plot</w:t>
      </w:r>
    </w:p>
    <w:p>
      <w:r>
        <w:drawing>
          <wp:inline xmlns:a="http://schemas.openxmlformats.org/drawingml/2006/main" xmlns:pic="http://schemas.openxmlformats.org/drawingml/2006/picture">
            <wp:extent cx="5303520" cy="3738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ca_2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16. Cluster Profiling</w:t>
      </w:r>
    </w:p>
    <w:p>
      <w:r>
        <w:t>Table 2 outlines numerical means, medians, and observed churn statistics for each cluster: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234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Segment Name</w:t>
            </w:r>
          </w:p>
        </w:tc>
        <w:tc>
          <w:tcPr>
            <w:tcW w:type="dxa" w:w="1234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Customers</w:t>
            </w:r>
          </w:p>
        </w:tc>
        <w:tc>
          <w:tcPr>
            <w:tcW w:type="dxa" w:w="1234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Share (%)</w:t>
            </w:r>
          </w:p>
        </w:tc>
        <w:tc>
          <w:tcPr>
            <w:tcW w:type="dxa" w:w="1234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Avg Tenure</w:t>
            </w:r>
          </w:p>
        </w:tc>
        <w:tc>
          <w:tcPr>
            <w:tcW w:type="dxa" w:w="1234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Avg Monthly Bill</w:t>
            </w:r>
          </w:p>
        </w:tc>
        <w:tc>
          <w:tcPr>
            <w:tcW w:type="dxa" w:w="1234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Churn Rate (%)</w:t>
            </w:r>
          </w:p>
        </w:tc>
      </w:tr>
      <w:tr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High-Value Loyal Customers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2,362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33.54%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55.1 mos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$89.62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15.37%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234"/>
            <w:shd w:fill="FFFFFF"/>
          </w:tcPr>
          <w:p>
            <w:r>
              <w:rPr>
                <w:rFonts w:ascii="Times New Roman" w:hAnsi="Times New Roman"/>
              </w:rPr>
              <w:t>New High-Charge At-Risk Customers</w:t>
            </w:r>
          </w:p>
        </w:tc>
        <w:tc>
          <w:tcPr>
            <w:tcW w:type="dxa" w:w="1234"/>
            <w:shd w:fill="FFFFFF"/>
          </w:tcPr>
          <w:p>
            <w:r>
              <w:rPr>
                <w:rFonts w:ascii="Times New Roman" w:hAnsi="Times New Roman"/>
              </w:rPr>
              <w:t>3,155</w:t>
            </w:r>
          </w:p>
        </w:tc>
        <w:tc>
          <w:tcPr>
            <w:tcW w:type="dxa" w:w="1234"/>
            <w:shd w:fill="FFFFFF"/>
          </w:tcPr>
          <w:p>
            <w:r>
              <w:rPr>
                <w:rFonts w:ascii="Times New Roman" w:hAnsi="Times New Roman"/>
              </w:rPr>
              <w:t>44.80%</w:t>
            </w:r>
          </w:p>
        </w:tc>
        <w:tc>
          <w:tcPr>
            <w:tcW w:type="dxa" w:w="1234"/>
            <w:shd w:fill="FFFFFF"/>
          </w:tcPr>
          <w:p>
            <w:r>
              <w:rPr>
                <w:rFonts w:ascii="Times New Roman" w:hAnsi="Times New Roman"/>
              </w:rPr>
              <w:t>16.3 mos</w:t>
            </w:r>
          </w:p>
        </w:tc>
        <w:tc>
          <w:tcPr>
            <w:tcW w:type="dxa" w:w="1234"/>
            <w:shd w:fill="FFFFFF"/>
          </w:tcPr>
          <w:p>
            <w:r>
              <w:rPr>
                <w:rFonts w:ascii="Times New Roman" w:hAnsi="Times New Roman"/>
              </w:rPr>
              <w:t>$67.28</w:t>
            </w:r>
          </w:p>
        </w:tc>
        <w:tc>
          <w:tcPr>
            <w:tcW w:type="dxa" w:w="1234"/>
            <w:shd w:fill="FFFFFF"/>
          </w:tcPr>
          <w:p>
            <w:r>
              <w:rPr>
                <w:rFonts w:ascii="Times New Roman" w:hAnsi="Times New Roman"/>
              </w:rPr>
              <w:t>44.15%</w:t>
            </w:r>
          </w:p>
        </w:tc>
      </w:tr>
      <w:tr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Long-Term Budget Customers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1,526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21.67%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30.5 mos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$21.08</w:t>
            </w:r>
          </w:p>
        </w:tc>
        <w:tc>
          <w:tcPr>
            <w:tcW w:type="dxa" w:w="1234"/>
            <w:shd w:fill="F2F4F4"/>
          </w:tcPr>
          <w:p>
            <w:r>
              <w:rPr>
                <w:rFonts w:ascii="Times New Roman" w:hAnsi="Times New Roman"/>
              </w:rPr>
              <w:t>7.40%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2980B9"/>
        </w:rPr>
        <w:t>17. Cluster Characteristics</w:t>
      </w:r>
    </w:p>
    <w:p>
      <w:r>
        <w:t>• Cluster 0 (33.18%): Long tenure (56.41 mos), high spend ($89.68/mo), 41.66% Two-Year contracts.</w:t>
        <w:br/>
        <w:t>• Cluster 1 (45.15%): Low tenure (14.13 mos), moderate high spend ($67.99/mo), 87.61% Month-to-Month contracts.</w:t>
        <w:br/>
        <w:t>• Cluster 2 (21.67%): Moderate tenure (32.22 mos), low spend ($21.08/mo), 100% No Internet Service.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18. Churn Analysis by Cluster</w:t>
      </w:r>
    </w:p>
    <w:p>
      <w:r>
        <w:t>Analyzing target Churn separately across segments reveals that Cluster 1 (New High-Charge At-Risk Customers) experiences a **43.19% churn rate**, accounting for 1,397 of the total 1,869 churners.</w:t>
      </w:r>
    </w:p>
    <w:p>
      <w:r>
        <w:drawing>
          <wp:inline xmlns:a="http://schemas.openxmlformats.org/drawingml/2006/main" xmlns:pic="http://schemas.openxmlformats.org/drawingml/2006/picture">
            <wp:extent cx="5029200" cy="31748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rate_by_clu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4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19. Cluster Naming and Interpretation</w:t>
      </w:r>
    </w:p>
    <w:p>
      <w:r>
        <w:t>Clusters were assigned evidence-backed descriptive names:</w:t>
        <w:br/>
        <w:t>1. Cluster 0: High-Value Loyal Customers</w:t>
        <w:br/>
        <w:t>2. Cluster 1: New High-Charge At-Risk Customers</w:t>
        <w:br/>
        <w:t>3. Cluster 2: Long-Term Budget Customers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20. Business Implications</w:t>
      </w:r>
    </w:p>
    <w:p>
      <w:r>
        <w:t>• Cluster 1 Action Plan: Implement 0–12 month onboarding check-ins, bundle free TechSupport, and offer contract conversion discounts.</w:t>
        <w:br/>
        <w:t>• Cluster 0 Action Plan: Reward with VIP loyalty programs and priority support to preserve high-margin revenue.</w:t>
        <w:br/>
        <w:t>• Cluster 2 Action Plan: Offer low-cost digital add-ons without disturbing low baseline pricing.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21. Challenges Faced</w:t>
      </w:r>
    </w:p>
    <w:p>
      <w:r>
        <w:t>• Selecting optimal $K$ amidst gradual Elbow reduction.</w:t>
        <w:br/>
        <w:t>• Preventing data leakage by excluding target `Churn` during cluster fitting.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22. Limitations</w:t>
      </w:r>
    </w:p>
    <w:p>
      <w:r>
        <w:t>• K-Means assumes spherical cluster geometry.</w:t>
        <w:br/>
        <w:t>• PCA 2D scatter visualization compresses high-dimensional variance.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23. Future Improvements</w:t>
      </w:r>
    </w:p>
    <w:p>
      <w:r>
        <w:t>Future research may evaluate Hierarchical Agglomerative Clustering, DBSCAN density clustering, and Gaussian Mixture Models.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24. Conclusion</w:t>
      </w:r>
    </w:p>
    <w:p>
      <w:r>
        <w:t>Week 3 customer segmentation successfully isolated 3 distinct customer cohorts, establishing Cluster 1 (43.19% churn rate) as the primary target for retention intervention.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25. References</w:t>
      </w:r>
    </w:p>
    <w:p>
      <w:r>
        <w:t>1. MacQueen, J. (1967). Some methods for classification and analysis of multivariate observations.</w:t>
        <w:br/>
        <w:t>2. Rousseeuw, P. J. (1987). Silhouettes: a graphical aid to the interpretation and validation of cluster analysis.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26. Appendix — Key Code Snippet</w:t>
      </w:r>
    </w:p>
    <w:p>
      <w:r>
        <w:t>```python</w:t>
        <w:br/>
        <w:t># K-Means Training &amp; Profiling</w:t>
        <w:br/>
        <w:t>kmeans = KMeans(n_clusters=3, random_state=42, n_init=10)</w:t>
        <w:br/>
        <w:t>labels = kmeans.fit_predict(X_scaled)</w:t>
        <w:br/>
        <w:t>summary, df_clustered, cluster_map = profile_clusters(df, labels)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