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2980B9"/>
          <w:sz w:val="44"/>
        </w:rPr>
        <w:t>Customer Churn Prediction and Customer Segmentation</w:t>
        <w:br/>
        <w:t>Using Python</w:t>
      </w:r>
    </w:p>
    <w:p>
      <w:r>
        <w:br/>
      </w:r>
    </w:p>
    <w:p>
      <w:pPr>
        <w:jc w:val="center"/>
      </w:pPr>
      <w:r>
        <w:rPr>
          <w:rFonts w:ascii="Times New Roman" w:hAnsi="Times New Roman"/>
          <w:b/>
          <w:color w:val="34495E"/>
          <w:sz w:val="30"/>
        </w:rPr>
        <w:t>DATA SCIENCE INTERNSHIP</w:t>
        <w:br/>
        <w:t>WEEK 2 REPORT</w:t>
        <w:br/>
        <w:t>EXPLORATORY DATA ANALYSIS AND VISUALIZATION</w:t>
      </w:r>
    </w:p>
    <w:p>
      <w:r>
        <w:br/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Student Name: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Sindhu Patil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Internship Track: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Data Science Internship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Week Number: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Week 2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Technologies Used: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Python, Pandas, NumPy, Matplotlib, Seaborn, docx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Table of Contents</w:t>
      </w:r>
    </w:p>
    <w:p>
      <w:pPr>
        <w:spacing w:after="40"/>
      </w:pPr>
      <w:r>
        <w:rPr>
          <w:rFonts w:ascii="Times New Roman" w:hAnsi="Times New Roman"/>
          <w:sz w:val="22"/>
        </w:rPr>
        <w:t>•  1. Introduction</w:t>
      </w:r>
    </w:p>
    <w:p>
      <w:pPr>
        <w:spacing w:after="40"/>
      </w:pPr>
      <w:r>
        <w:rPr>
          <w:rFonts w:ascii="Times New Roman" w:hAnsi="Times New Roman"/>
          <w:sz w:val="22"/>
        </w:rPr>
        <w:t>•  2. Objective</w:t>
      </w:r>
    </w:p>
    <w:p>
      <w:pPr>
        <w:spacing w:after="40"/>
      </w:pPr>
      <w:r>
        <w:rPr>
          <w:rFonts w:ascii="Times New Roman" w:hAnsi="Times New Roman"/>
          <w:sz w:val="22"/>
        </w:rPr>
        <w:t>•  3. Dataset Overview</w:t>
      </w:r>
    </w:p>
    <w:p>
      <w:pPr>
        <w:spacing w:after="40"/>
      </w:pPr>
      <w:r>
        <w:rPr>
          <w:rFonts w:ascii="Times New Roman" w:hAnsi="Times New Roman"/>
          <w:sz w:val="22"/>
        </w:rPr>
        <w:t>•  4. Tools and Technologies</w:t>
      </w:r>
    </w:p>
    <w:p>
      <w:pPr>
        <w:spacing w:after="40"/>
      </w:pPr>
      <w:r>
        <w:rPr>
          <w:rFonts w:ascii="Times New Roman" w:hAnsi="Times New Roman"/>
          <w:sz w:val="22"/>
        </w:rPr>
        <w:t>•  5. Data Preparation</w:t>
      </w:r>
    </w:p>
    <w:p>
      <w:pPr>
        <w:spacing w:after="40"/>
      </w:pPr>
      <w:r>
        <w:rPr>
          <w:rFonts w:ascii="Times New Roman" w:hAnsi="Times New Roman"/>
          <w:sz w:val="22"/>
        </w:rPr>
        <w:t>•  6. Descriptive Statistics</w:t>
      </w:r>
    </w:p>
    <w:p>
      <w:pPr>
        <w:spacing w:after="40"/>
      </w:pPr>
      <w:r>
        <w:rPr>
          <w:rFonts w:ascii="Times New Roman" w:hAnsi="Times New Roman"/>
          <w:sz w:val="22"/>
        </w:rPr>
        <w:t>•  7. Univariate Analysis</w:t>
      </w:r>
    </w:p>
    <w:p>
      <w:pPr>
        <w:spacing w:after="40"/>
      </w:pPr>
      <w:r>
        <w:rPr>
          <w:rFonts w:ascii="Times New Roman" w:hAnsi="Times New Roman"/>
          <w:sz w:val="22"/>
        </w:rPr>
        <w:t>•  8. Bivariate Analysis</w:t>
      </w:r>
    </w:p>
    <w:p>
      <w:pPr>
        <w:spacing w:after="40"/>
      </w:pPr>
      <w:r>
        <w:rPr>
          <w:rFonts w:ascii="Times New Roman" w:hAnsi="Times New Roman"/>
          <w:sz w:val="22"/>
        </w:rPr>
        <w:t>•  9. Multivariate Analysis</w:t>
      </w:r>
    </w:p>
    <w:p>
      <w:pPr>
        <w:spacing w:after="40"/>
      </w:pPr>
      <w:r>
        <w:rPr>
          <w:rFonts w:ascii="Times New Roman" w:hAnsi="Times New Roman"/>
          <w:sz w:val="22"/>
        </w:rPr>
        <w:t>•  10. Churn Analysis</w:t>
      </w:r>
    </w:p>
    <w:p>
      <w:pPr>
        <w:spacing w:after="40"/>
      </w:pPr>
      <w:r>
        <w:rPr>
          <w:rFonts w:ascii="Times New Roman" w:hAnsi="Times New Roman"/>
          <w:sz w:val="22"/>
        </w:rPr>
        <w:t>•  11. Correlation Analysis</w:t>
      </w:r>
    </w:p>
    <w:p>
      <w:pPr>
        <w:spacing w:after="40"/>
      </w:pPr>
      <w:r>
        <w:rPr>
          <w:rFonts w:ascii="Times New Roman" w:hAnsi="Times New Roman"/>
          <w:sz w:val="22"/>
        </w:rPr>
        <w:t>•  12. Key Findings</w:t>
      </w:r>
    </w:p>
    <w:p>
      <w:pPr>
        <w:spacing w:after="40"/>
      </w:pPr>
      <w:r>
        <w:rPr>
          <w:rFonts w:ascii="Times New Roman" w:hAnsi="Times New Roman"/>
          <w:sz w:val="22"/>
        </w:rPr>
        <w:t>•  13. Business Insights</w:t>
      </w:r>
    </w:p>
    <w:p>
      <w:pPr>
        <w:spacing w:after="40"/>
      </w:pPr>
      <w:r>
        <w:rPr>
          <w:rFonts w:ascii="Times New Roman" w:hAnsi="Times New Roman"/>
          <w:sz w:val="22"/>
        </w:rPr>
        <w:t>•  14. Challenges Faced</w:t>
      </w:r>
    </w:p>
    <w:p>
      <w:pPr>
        <w:spacing w:after="40"/>
      </w:pPr>
      <w:r>
        <w:rPr>
          <w:rFonts w:ascii="Times New Roman" w:hAnsi="Times New Roman"/>
          <w:sz w:val="22"/>
        </w:rPr>
        <w:t>•  15. Limitations</w:t>
      </w:r>
    </w:p>
    <w:p>
      <w:pPr>
        <w:spacing w:after="40"/>
      </w:pPr>
      <w:r>
        <w:rPr>
          <w:rFonts w:ascii="Times New Roman" w:hAnsi="Times New Roman"/>
          <w:sz w:val="22"/>
        </w:rPr>
        <w:t>•  16. Impact on Future Modeling</w:t>
      </w:r>
    </w:p>
    <w:p>
      <w:pPr>
        <w:spacing w:after="40"/>
      </w:pPr>
      <w:r>
        <w:rPr>
          <w:rFonts w:ascii="Times New Roman" w:hAnsi="Times New Roman"/>
          <w:sz w:val="22"/>
        </w:rPr>
        <w:t>•  17. Conclusion</w:t>
      </w:r>
    </w:p>
    <w:p>
      <w:pPr>
        <w:spacing w:after="40"/>
      </w:pPr>
      <w:r>
        <w:rPr>
          <w:rFonts w:ascii="Times New Roman" w:hAnsi="Times New Roman"/>
          <w:sz w:val="22"/>
        </w:rPr>
        <w:t>•  18. References</w:t>
      </w:r>
    </w:p>
    <w:p>
      <w:pPr>
        <w:spacing w:after="40"/>
      </w:pPr>
      <w:r>
        <w:rPr>
          <w:rFonts w:ascii="Times New Roman" w:hAnsi="Times New Roman"/>
          <w:sz w:val="22"/>
        </w:rPr>
        <w:t>•  19. Submission Description</w:t>
      </w:r>
    </w:p>
    <w:p>
      <w:r>
        <w:br/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1. Introduction</w:t>
      </w:r>
    </w:p>
    <w:p>
      <w:r>
        <w:t>Exploratory Data Analysis (EDA) represents a pivotal milestone in data science workflows. Following Week 1 data cleaning, Week 2 investigates patterns, trends, customer behaviors, and statistical anomalies within the IBM Telco Customer Churn dataset.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2. Objective</w:t>
      </w:r>
    </w:p>
    <w:p>
      <w:r>
        <w:t>The objective of Week 2 is to perform rigorous data analysis to identify primary demographic, contractual, and service-related churn drivers, supporting subsequent machine learning model development.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3. Dataset Overview</w:t>
      </w:r>
    </w:p>
    <w:p>
      <w:r>
        <w:t>The dataset used is `data/processed/cleaned_telco_churn.csv`, consisting of 7,043 customer records and 21 features. It contains zero missing values and zero duplicate rows.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4. Tools and Technologies</w:t>
      </w:r>
    </w:p>
    <w:p>
      <w:r>
        <w:t>• Python 3.14</w:t>
        <w:br/>
        <w:t>• Pandas &amp; NumPy (Data manipulation &amp; aggregations)</w:t>
        <w:br/>
        <w:t>• Matplotlib &amp; Seaborn (Statistical visualization)</w:t>
        <w:br/>
        <w:t>• python-docx (Executive report formatting)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5. Data Preparation</w:t>
      </w:r>
    </w:p>
    <w:p>
      <w:r>
        <w:t>Dataset integrity was verified by confirming 0 null values across all 7,043 rows. `tenure` was binned into 5 analytical cohorts: 0–12 mos, 13–24 mos, 25–48 mos, 49–60 mos, and 61–72 mos.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6. Descriptive Statistics</w:t>
      </w:r>
    </w:p>
    <w:p>
      <w:r>
        <w:t>Table 1 summarizes descriptive statistics for continuous numerical attributes: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Std</w:t>
            </w:r>
          </w:p>
        </w:tc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Min</w:t>
            </w:r>
          </w:p>
        </w:tc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Q1 (25%)</w:t>
            </w:r>
          </w:p>
        </w:tc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Q3 (75%)</w:t>
            </w:r>
          </w:p>
        </w:tc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Max</w:t>
            </w:r>
          </w:p>
        </w:tc>
        <w:tc>
          <w:tcPr>
            <w:tcW w:type="dxa" w:w="96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IQR</w:t>
            </w:r>
          </w:p>
        </w:tc>
      </w:tr>
      <w:tr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tenure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32.37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24.56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0.00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9.00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29.00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55.00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72.00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46.00</w:t>
            </w:r>
          </w:p>
        </w:tc>
      </w:tr>
      <w:tr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MonthlyCharges</w:t>
            </w:r>
          </w:p>
        </w:tc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64.76</w:t>
            </w:r>
          </w:p>
        </w:tc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30.09</w:t>
            </w:r>
          </w:p>
        </w:tc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18.25</w:t>
            </w:r>
          </w:p>
        </w:tc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35.50</w:t>
            </w:r>
          </w:p>
        </w:tc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70.35</w:t>
            </w:r>
          </w:p>
        </w:tc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89.85</w:t>
            </w:r>
          </w:p>
        </w:tc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118.75</w:t>
            </w:r>
          </w:p>
        </w:tc>
        <w:tc>
          <w:tcPr>
            <w:tcW w:type="dxa" w:w="960"/>
            <w:shd w:fill="FFFFFF"/>
          </w:tcPr>
          <w:p>
            <w:r>
              <w:rPr>
                <w:rFonts w:ascii="Times New Roman" w:hAnsi="Times New Roman"/>
              </w:rPr>
              <w:t>54.35</w:t>
            </w:r>
          </w:p>
        </w:tc>
      </w:tr>
      <w:tr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TotalCharges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2281.92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2265.27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18.80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402.23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1397.47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3786.60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8684.80</w:t>
            </w:r>
          </w:p>
        </w:tc>
        <w:tc>
          <w:tcPr>
            <w:tcW w:type="dxa" w:w="960"/>
            <w:shd w:fill="F2F4F4"/>
          </w:tcPr>
          <w:p>
            <w:r>
              <w:rPr>
                <w:rFonts w:ascii="Times New Roman" w:hAnsi="Times New Roman"/>
              </w:rPr>
              <w:t>3384.38</w:t>
            </w:r>
          </w:p>
        </w:tc>
      </w:tr>
    </w:tbl>
    <w:p>
      <w:r>
        <w:t>Interpretation: The mean tenure is 32.37 months, with a median of 29.0 months. MonthlyCharges range from $18.25 to $118.75 (mean $64.76). TotalCharges shows right-skewness (median $1,397.47 vs mean $2,281.92).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7. Univariate Analysis</w:t>
      </w:r>
    </w:p>
    <w:p>
      <w:r>
        <w:t>Univariate analysis evaluates single feature distributions. Tenure exhibits a bimodal distribution with peaks at early tenure (&lt;12 months) and high tenure (&gt;60 months).</w:t>
      </w:r>
    </w:p>
    <w:p>
      <w:r>
        <w:t>Figure 7.1: Tenure Distribution by Churn Status</w:t>
      </w:r>
    </w:p>
    <w:p>
      <w:r>
        <w:drawing>
          <wp:inline xmlns:a="http://schemas.openxmlformats.org/drawingml/2006/main" xmlns:pic="http://schemas.openxmlformats.org/drawingml/2006/picture">
            <wp:extent cx="5303520" cy="2623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nure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3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8. Bivariate Analysis</w:t>
      </w:r>
    </w:p>
    <w:p>
      <w:r>
        <w:t>Bivariate analysis examines relationships between predictors and target `Churn`.</w:t>
      </w:r>
    </w:p>
    <w:p>
      <w:r>
        <w:t>Figure 8.1: Customer Churn Distribution by Contract Type</w:t>
      </w:r>
    </w:p>
    <w:p>
      <w:r>
        <w:drawing>
          <wp:inline xmlns:a="http://schemas.openxmlformats.org/drawingml/2006/main" xmlns:pic="http://schemas.openxmlformats.org/drawingml/2006/picture">
            <wp:extent cx="5303520" cy="29159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n_by_contr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8.2: Customer Churn by Internet Service Type</w:t>
      </w:r>
    </w:p>
    <w:p>
      <w:r>
        <w:drawing>
          <wp:inline xmlns:a="http://schemas.openxmlformats.org/drawingml/2006/main" xmlns:pic="http://schemas.openxmlformats.org/drawingml/2006/picture">
            <wp:extent cx="5303520" cy="29159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n_by_internet_serv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9. Multivariate Analysis</w:t>
      </w:r>
    </w:p>
    <w:p>
      <w:r>
        <w:t>Multivariate analysis explores interaction effects between Contract, MonthlyCharges, and Churn.</w:t>
      </w:r>
    </w:p>
    <w:p>
      <w:r>
        <w:t>Figure 9.1: Monthly Charges by Contract Type and Churn Status</w:t>
      </w:r>
    </w:p>
    <w:p>
      <w:r>
        <w:drawing>
          <wp:inline xmlns:a="http://schemas.openxmlformats.org/drawingml/2006/main" xmlns:pic="http://schemas.openxmlformats.org/drawingml/2006/picture">
            <wp:extent cx="5303520" cy="3156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variate_contract_charg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5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10. Churn Analysis</w:t>
      </w:r>
    </w:p>
    <w:p>
      <w:r>
        <w:t>Overall target distribution: 5,174 retained customers (73.46%) vs 1,869 churned customers (26.54%). Table 2 outlines actual churn rates across key customer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728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Subgroup</w:t>
            </w:r>
          </w:p>
        </w:tc>
        <w:tc>
          <w:tcPr>
            <w:tcW w:type="dxa" w:w="1728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Total Customers</w:t>
            </w:r>
          </w:p>
        </w:tc>
        <w:tc>
          <w:tcPr>
            <w:tcW w:type="dxa" w:w="1728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Churned Count</w:t>
            </w:r>
          </w:p>
        </w:tc>
        <w:tc>
          <w:tcPr>
            <w:tcW w:type="dxa" w:w="1728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Churn Rate (%)</w:t>
            </w:r>
          </w:p>
        </w:tc>
      </w:tr>
      <w:tr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Contract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Month-to-Month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3,875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1,655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42.71%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Contract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Two Year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1,695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48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2.83%</w:t>
            </w:r>
          </w:p>
        </w:tc>
      </w:tr>
      <w:tr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Internet Service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Fiber Optic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3,096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1,297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41.89%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Payment Method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Electronic Check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2,365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1,071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45.29%</w:t>
            </w:r>
          </w:p>
        </w:tc>
      </w:tr>
      <w:tr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Tenure Cohort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0–12 Months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2,186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1,037</w:t>
            </w:r>
          </w:p>
        </w:tc>
        <w:tc>
          <w:tcPr>
            <w:tcW w:type="dxa" w:w="1728"/>
            <w:shd w:fill="F2F4F4"/>
          </w:tcPr>
          <w:p>
            <w:r>
              <w:rPr>
                <w:rFonts w:ascii="Times New Roman" w:hAnsi="Times New Roman"/>
              </w:rPr>
              <w:t>47.44%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Tenure Cohort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61–72 Months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1,407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93</w:t>
            </w:r>
          </w:p>
        </w:tc>
        <w:tc>
          <w:tcPr>
            <w:tcW w:type="dxa" w:w="1728"/>
            <w:shd w:fill="FFFFFF"/>
          </w:tcPr>
          <w:p>
            <w:r>
              <w:rPr>
                <w:rFonts w:ascii="Times New Roman" w:hAnsi="Times New Roman"/>
              </w:rPr>
              <w:t>6.61%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color w:val="2980B9"/>
        </w:rPr>
        <w:t>11. Correlation Analysis</w:t>
      </w:r>
    </w:p>
    <w:p>
      <w:r>
        <w:t>Numerical features exhibit key linear correlations with Churn (0/1): tenure (r = -0.352), MonthlyCharges (r = +0.193), TotalCharges (r = -0.199).</w:t>
      </w:r>
    </w:p>
    <w:p>
      <w:r>
        <w:t>Figure 11.1: Correlation Heatmap Matrix</w:t>
      </w:r>
    </w:p>
    <w:p>
      <w:r>
        <w:drawing>
          <wp:inline xmlns:a="http://schemas.openxmlformats.org/drawingml/2006/main" xmlns:pic="http://schemas.openxmlformats.org/drawingml/2006/picture">
            <wp:extent cx="4754880" cy="42538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5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12. Key Findings</w:t>
      </w:r>
    </w:p>
    <w:p>
      <w:r>
        <w:t>1. Target Class Imbalance: 26.54% overall churn rate.</w:t>
        <w:br/>
        <w:t>2. Contract Risk: Month-to-Month subscribers churn at 42.71% vs 2.83% for 2-Year plans.</w:t>
        <w:br/>
        <w:t>3. Internet Service Risk: Fiber Optic subscribers churn at 41.89% vs 18.96% for DSL.</w:t>
        <w:br/>
        <w:t>4. Payment Method Risk: Electronic Check users churn at 45.29%.</w:t>
        <w:br/>
        <w:t>5. Tenure Risk: 0–12 Month subscribers churn at 47.44% vs 6.61% for 61–72 Months.</w:t>
        <w:br/>
        <w:t>6. Security Services: Lack of Online Security increases churn to 41.77%.</w:t>
        <w:br/>
        <w:t>7. Tech Support: Lack of Tech Support increases churn to 41.64%.</w:t>
        <w:br/>
        <w:t>8. Demographics: Senior citizens churn at 41.68% vs 23.61% for non-seniors.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13. Business Insights</w:t>
      </w:r>
    </w:p>
    <w:p>
      <w:r>
        <w:t>• DATA FINDING: Month-to-Month contracts exhibit 42.71% churn.</w:t>
        <w:br/>
        <w:t xml:space="preserve">  - BUSINESS RECOMMENDATION: Introduce a 15% discount for 1-year contract renewals.</w:t>
        <w:br/>
        <w:t>• DATA FINDING: Fiber Optic users churn at 41.89% with high monthly bills ($91.50 avg).</w:t>
        <w:br/>
        <w:t xml:space="preserve">  - BUSINESS RECOMMENDATION: Bundle free Online Security and Tech Support for Fiber optic tiers.</w:t>
        <w:br/>
        <w:t>• DATA FINDING: Electronic Check users exhibit 45.29% churn.</w:t>
        <w:br/>
        <w:t xml:space="preserve">  - BUSINESS RECOMMENDATION: Provide a $5/month bill credit for switching to Auto Credit Card / ACH.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14. Challenges Faced</w:t>
      </w:r>
    </w:p>
    <w:p>
      <w:r>
        <w:t>• Target Class Imbalance (~2.77:1 ratio) requiring careful metric selection.</w:t>
        <w:br/>
        <w:t>• Pandas 3.0 StringDtype migration for categorical crosstab aggregations.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15. Limitations</w:t>
      </w:r>
    </w:p>
    <w:p>
      <w:r>
        <w:t>• Historical cross-sectional snapshot lacks real-time time-series telemetry.</w:t>
        <w:br/>
        <w:t>• Observational EDA proves correlation, not direct causality.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16. Impact on Future Modeling</w:t>
      </w:r>
    </w:p>
    <w:p>
      <w:r>
        <w:t>EDA confirms Contract, Tenure, InternetService, MonthlyCharges, and PaymentMethod as top predictive features for Week 4 machine learning.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17. Conclusion</w:t>
      </w:r>
    </w:p>
    <w:p>
      <w:r>
        <w:t>Week 2 EDA successfully isolated primary risk factors: short contract terms, high monthly fees, fiber optic service without support add-ons, and electronic check payment methods.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18. References</w:t>
      </w:r>
    </w:p>
    <w:p>
      <w:r>
        <w:t>1. IBM Telco Customer Churn Public Dataset.</w:t>
        <w:br/>
        <w:t>2. McKinney, W. (2010). Data Structures for Statistical Computing in Python.</w:t>
        <w:br/>
        <w:t>3. Waskom, M. L. (2021). Seaborn: statistical data visualization.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19. Submission Description</w:t>
      </w:r>
    </w:p>
    <w:p>
      <w:r>
        <w:t>This Week 2 submission for the Data Science Internship program delivers a comprehensive, data-backed Exploratory Data Analysis (EDA) and visualization pipeline built upon the sanitized IBM Telco Customer Churn dataset (`data/processed/cleaned_telco_churn.csv`). Executed by Sindhu Patil, the analysis encompasses structural dataset audits, descriptive statistics calculations (mean, median, standard deviation, interquartile range), univariate distribution plots, bivariate churn cross-tabulations, multivariate factor interactions, and numerical correlation matrix heatmaps. The analysis evaluated 7,043 customer records, establishing an overall target churn rate of 26.54% (1,869 churners vs 5,174 retained customers). Bivariate analysis isolated major churn drivers: Month-to-Month contracts (42.71% churn rate), Fiber Optic internet service (41.89% churn rate), Electronic Check payment methods (45.29% churn rate), and initial tenure subscribers under 12 months (47.44% churn rate). All visual figures were programmatically generated and exported to `outputs/figures/week2/` at 300 DPI resolution. The deliverables include an 18-section executable Jupyter Notebook (`notebooks/week2_eda.ipynb`), modular visualization source code (`src/visualization.py`), updated GitHub project documentation (`README.md`), and this formal Word executive report (`reports/week2_report.docx`). These empirical findings directly inform feature selection and strategy formulation for upcoming clustering and classification weeks.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