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10"/>
        <w:gridCol w:w="3585"/>
        <w:gridCol w:w="1425"/>
        <w:tblGridChange w:id="0">
          <w:tblGrid>
            <w:gridCol w:w="1920"/>
            <w:gridCol w:w="2010"/>
            <w:gridCol w:w="358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meeting.bin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lawyer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Case.bin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lawyer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userAccounts.txt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Character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budget.bin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TARRIFF.TXT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Character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TARRIFF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UserAccounts.txt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Character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Password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complain.bin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complain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budget.bin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FinanceOfficer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complain.bin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FinanceOfficer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employeesalary.bin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FinanceOfficer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info.bin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Objects of FinanceOfficer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vOhBKWajPsOMFLJ9/0XK1JvreQ==">CgMxLjA4AHIhMVQ3c0hUenNpQXI5dV9OV0cxWFc2V0lZdVZEYkY4Qld0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