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000000"/>
          <w:sz w:val="30"/>
        </w:rPr>
        <w:t>BANGLADESH UNIVERSITY OF ENGINEERING AND TECHNOLOGY</w:t>
      </w:r>
    </w:p>
    <w:p>
      <w:pPr>
        <w:spacing w:before="0" w:after="280"/>
        <w:jc w:val="center"/>
      </w:pPr>
      <w:r>
        <w:rPr>
          <w:rFonts w:ascii="Times New Roman" w:hAnsi="Times New Roman"/>
          <w:b/>
          <w:i w:val="0"/>
          <w:color w:val="000000"/>
          <w:sz w:val="26"/>
        </w:rPr>
        <w:t>DEPARTMENT OF ELECTRICAL AND ELECTRONIC ENGINEERING</w:t>
      </w:r>
    </w:p>
    <w:p>
      <w:pPr>
        <w:spacing w:before="120" w:after="40"/>
        <w:jc w:val="center"/>
      </w:pPr>
      <w:r>
        <w:rPr>
          <w:rFonts w:ascii="Times New Roman" w:hAnsi="Times New Roman"/>
          <w:b/>
          <w:i w:val="0"/>
          <w:color w:val="000000"/>
          <w:sz w:val="36"/>
        </w:rPr>
        <w:t>EEE 306: Power System I Laboratory</w:t>
      </w:r>
    </w:p>
    <w:p>
      <w:pPr>
        <w:spacing w:before="0" w:after="280"/>
        <w:jc w:val="center"/>
      </w:pPr>
      <w:r>
        <w:rPr>
          <w:rFonts w:ascii="Times New Roman" w:hAnsi="Times New Roman"/>
          <w:b w:val="0"/>
          <w:i/>
          <w:color w:val="000000"/>
          <w:sz w:val="26"/>
        </w:rPr>
        <w:t>(January 2026 Term)</w:t>
      </w:r>
    </w:p>
    <w:p>
      <w:pPr>
        <w:spacing w:before="160" w:after="80"/>
        <w:jc w:val="center"/>
      </w:pPr>
      <w:r>
        <w:rPr>
          <w:rFonts w:ascii="Times New Roman" w:hAnsi="Times New Roman"/>
          <w:b/>
          <w:i w:val="0"/>
          <w:color w:val="000000"/>
          <w:sz w:val="44"/>
        </w:rPr>
        <w:t>FINAL PROJECT REPORT</w:t>
      </w:r>
    </w:p>
    <w:p>
      <w:pPr>
        <w:spacing w:before="0" w:after="320"/>
        <w:jc w:val="center"/>
      </w:pPr>
      <w:r>
        <w:rPr>
          <w:rFonts w:ascii="Times New Roman" w:hAnsi="Times New Roman"/>
          <w:b/>
          <w:i w:val="0"/>
          <w:color w:val="000000"/>
          <w:sz w:val="30"/>
        </w:rPr>
        <w:t>Section: C-1    |    Group: 03</w:t>
      </w:r>
    </w:p>
    <w:p>
      <w:pPr>
        <w:spacing w:before="200" w:after="400"/>
        <w:jc w:val="center"/>
      </w:pPr>
      <w:r>
        <w:rPr>
          <w:rFonts w:ascii="Times New Roman" w:hAnsi="Times New Roman"/>
          <w:b/>
          <w:i w:val="0"/>
          <w:color w:val="000000"/>
          <w:sz w:val="36"/>
        </w:rPr>
        <w:t>Fault Analysis and Protection Coordination of</w:t>
        <w:br/>
        <w:t>Ashuganj South 450 MW Combined Cycle Power Plant</w:t>
      </w:r>
    </w:p>
    <w:p>
      <w:pPr>
        <w:spacing w:before="200" w:after="40"/>
      </w:pPr>
      <w:r>
        <w:rPr>
          <w:rFonts w:ascii="Times New Roman" w:hAnsi="Times New Roman"/>
          <w:b/>
          <w:i w:val="0"/>
          <w:color w:val="000000"/>
          <w:sz w:val="26"/>
        </w:rPr>
        <w:t>Course Instructors:</w:t>
      </w:r>
    </w:p>
    <w:p>
      <w:pPr>
        <w:spacing w:before="0" w:after="40"/>
      </w:pPr>
      <w:r>
        <w:rPr>
          <w:rFonts w:ascii="Times New Roman" w:hAnsi="Times New Roman"/>
          <w:b/>
          <w:i w:val="0"/>
          <w:color w:val="000000"/>
          <w:sz w:val="22"/>
        </w:rPr>
        <w:t>1. Md. Kamrul Hasan</w:t>
      </w:r>
      <w:r>
        <w:rPr>
          <w:rFonts w:ascii="Times New Roman" w:hAnsi="Times New Roman"/>
          <w:b w:val="0"/>
          <w:i w:val="0"/>
          <w:color w:val="000000"/>
          <w:sz w:val="22"/>
        </w:rPr>
        <w:t>, Lecturer, Department of EEE, BUET</w:t>
      </w:r>
    </w:p>
    <w:p>
      <w:pPr>
        <w:spacing w:before="0" w:after="80"/>
      </w:pPr>
      <w:r>
        <w:rPr>
          <w:rFonts w:ascii="Times New Roman" w:hAnsi="Times New Roman"/>
          <w:b/>
          <w:i w:val="0"/>
          <w:color w:val="000000"/>
          <w:sz w:val="22"/>
        </w:rPr>
        <w:t>2. Md. Mahadi Jaman</w:t>
      </w:r>
      <w:r>
        <w:rPr>
          <w:rFonts w:ascii="Times New Roman" w:hAnsi="Times New Roman"/>
          <w:b w:val="0"/>
          <w:i w:val="0"/>
          <w:color w:val="000000"/>
          <w:sz w:val="22"/>
        </w:rPr>
        <w:t>, Part-Time Lecturer, Department of EEE, BUET</w:t>
      </w:r>
    </w:p>
    <w:p>
      <w:pPr>
        <w:spacing w:before="80" w:after="280"/>
      </w:pPr>
      <w:r>
        <w:rPr>
          <w:rFonts w:ascii="Times New Roman" w:hAnsi="Times New Roman"/>
          <w:b/>
          <w:i w:val="0"/>
          <w:color w:val="000000"/>
          <w:sz w:val="22"/>
        </w:rPr>
        <w:t>Signature of Instructor:   ___________________________________________________</w:t>
      </w:r>
    </w:p>
    <w:p>
      <w:pPr>
        <w:spacing w:before="160" w:after="40"/>
      </w:pPr>
      <w:r>
        <w:rPr>
          <w:rFonts w:ascii="Times New Roman" w:hAnsi="Times New Roman"/>
          <w:b/>
          <w:i w:val="0"/>
          <w:color w:val="000000"/>
          <w:sz w:val="26"/>
        </w:rPr>
        <w:t>Academic Honesty Statement:</w:t>
      </w:r>
    </w:p>
    <w:p>
      <w:pPr>
        <w:spacing w:before="0" w:after="120"/>
        <w:jc w:val="both"/>
      </w:pPr>
      <w:r>
        <w:rPr>
          <w:rFonts w:ascii="Times New Roman" w:hAnsi="Times New Roman"/>
          <w:b w:val="0"/>
          <w:i/>
          <w:color w:val="000000"/>
          <w:sz w:val="19"/>
        </w:rPr>
        <w:t>IMPORTANT: Please carefully read and sign the Academic Honesty Statement below. We hereby certify that the work presented in this project report is our own work conducted for the EEE 306 course. All sources, simulation tools, literature references, and manufacturer data sheets used have been duly cited.</w:t>
      </w:r>
    </w:p>
    <w:tbl>
      <w:tblPr>
        <w:tblW w:type="auto" w:w="0"/>
        <w:jc w:val="center"/>
        <w:tblLook w:firstColumn="1" w:firstRow="1" w:lastColumn="0" w:lastRow="0" w:noHBand="0" w:noVBand="1" w:val="04A0"/>
      </w:tblPr>
      <w:tblGrid>
        <w:gridCol w:w="2228"/>
        <w:gridCol w:w="2228"/>
        <w:gridCol w:w="2228"/>
        <w:gridCol w:w="2228"/>
      </w:tblGrid>
      <w:tr>
        <w:tc>
          <w:tcPr>
            <w:tcW w:type="dxa" w:w="2228"/>
            <w:shd w:fill="E2E8F0"/>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sz w:val="19"/>
              </w:rPr>
              <w:t>Student ID</w:t>
            </w:r>
          </w:p>
        </w:tc>
        <w:tc>
          <w:tcPr>
            <w:tcW w:type="dxa" w:w="2228"/>
            <w:shd w:fill="E2E8F0"/>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sz w:val="19"/>
              </w:rPr>
              <w:t>Student Name</w:t>
            </w:r>
          </w:p>
        </w:tc>
        <w:tc>
          <w:tcPr>
            <w:tcW w:type="dxa" w:w="2228"/>
            <w:shd w:fill="E2E8F0"/>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sz w:val="19"/>
              </w:rPr>
              <w:t>Project Focus / Role</w:t>
            </w:r>
          </w:p>
        </w:tc>
        <w:tc>
          <w:tcPr>
            <w:tcW w:type="dxa" w:w="2228"/>
            <w:shd w:fill="E2E8F0"/>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sz w:val="19"/>
              </w:rPr>
              <w:t>Signature</w:t>
            </w:r>
          </w:p>
        </w:tc>
      </w:tr>
      <w:tr>
        <w:tc>
          <w:tcPr>
            <w:tcW w:type="dxa" w:w="2228"/>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sz w:val="18"/>
              </w:rPr>
              <w:t>2206136</w:t>
            </w:r>
          </w:p>
        </w:tc>
        <w:tc>
          <w:tcPr>
            <w:tcW w:type="dxa" w:w="2228"/>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sz w:val="18"/>
              </w:rPr>
              <w:t>Sasshata Talukder</w:t>
            </w:r>
          </w:p>
        </w:tc>
        <w:tc>
          <w:tcPr>
            <w:tcW w:type="dxa" w:w="2228"/>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sz w:val="18"/>
              </w:rPr>
              <w:t>Power Flow &amp; Protection Coordination</w:t>
            </w:r>
          </w:p>
        </w:tc>
        <w:tc>
          <w:tcPr>
            <w:tcW w:type="dxa" w:w="2228"/>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sz w:val="18"/>
              </w:rPr>
              <w:t>________________</w:t>
            </w:r>
          </w:p>
        </w:tc>
      </w:tr>
      <w:tr>
        <w:tc>
          <w:tcPr>
            <w:tcW w:type="dxa" w:w="2228"/>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sz w:val="18"/>
              </w:rPr>
              <w:t>2206147</w:t>
            </w:r>
          </w:p>
        </w:tc>
        <w:tc>
          <w:tcPr>
            <w:tcW w:type="dxa" w:w="2228"/>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sz w:val="18"/>
              </w:rPr>
              <w:t>S. M. Sindid Islam Mahodi</w:t>
            </w:r>
          </w:p>
        </w:tc>
        <w:tc>
          <w:tcPr>
            <w:tcW w:type="dxa" w:w="2228"/>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sz w:val="18"/>
              </w:rPr>
              <w:t>Fault Analysis &amp; Symmetrical Components</w:t>
            </w:r>
          </w:p>
        </w:tc>
        <w:tc>
          <w:tcPr>
            <w:tcW w:type="dxa" w:w="2228"/>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sz w:val="18"/>
              </w:rPr>
              <w:t>________________</w:t>
            </w:r>
          </w:p>
        </w:tc>
      </w:tr>
      <w:tr>
        <w:tc>
          <w:tcPr>
            <w:tcW w:type="dxa" w:w="2228"/>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sz w:val="18"/>
              </w:rPr>
              <w:t>2206152</w:t>
            </w:r>
          </w:p>
        </w:tc>
        <w:tc>
          <w:tcPr>
            <w:tcW w:type="dxa" w:w="2228"/>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sz w:val="18"/>
              </w:rPr>
              <w:t>Rajib Khan</w:t>
            </w:r>
          </w:p>
        </w:tc>
        <w:tc>
          <w:tcPr>
            <w:tcW w:type="dxa" w:w="2228"/>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sz w:val="18"/>
              </w:rPr>
              <w:t>Network Modeling &amp; Data Verification</w:t>
            </w:r>
          </w:p>
        </w:tc>
        <w:tc>
          <w:tcPr>
            <w:tcW w:type="dxa" w:w="2228"/>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sz w:val="18"/>
              </w:rPr>
              <w:t>________________</w:t>
            </w:r>
          </w:p>
        </w:tc>
      </w:tr>
      <w:tr>
        <w:tc>
          <w:tcPr>
            <w:tcW w:type="dxa" w:w="2228"/>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sz w:val="18"/>
              </w:rPr>
              <w:t>2206153</w:t>
            </w:r>
          </w:p>
        </w:tc>
        <w:tc>
          <w:tcPr>
            <w:tcW w:type="dxa" w:w="2228"/>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sz w:val="18"/>
              </w:rPr>
              <w:t>Iftekhar-E-Islam</w:t>
            </w:r>
          </w:p>
        </w:tc>
        <w:tc>
          <w:tcPr>
            <w:tcW w:type="dxa" w:w="2228"/>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sz w:val="18"/>
              </w:rPr>
              <w:t>Simulink Dynamic Model &amp; Relay Logic</w:t>
            </w:r>
          </w:p>
        </w:tc>
        <w:tc>
          <w:tcPr>
            <w:tcW w:type="dxa" w:w="2228"/>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sz w:val="18"/>
              </w:rPr>
              <w:t>________________</w:t>
            </w:r>
          </w:p>
        </w:tc>
      </w:tr>
      <w:tr>
        <w:tc>
          <w:tcPr>
            <w:tcW w:type="dxa" w:w="2228"/>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sz w:val="18"/>
              </w:rPr>
              <w:t>2206155</w:t>
            </w:r>
          </w:p>
        </w:tc>
        <w:tc>
          <w:tcPr>
            <w:tcW w:type="dxa" w:w="2228"/>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sz w:val="18"/>
              </w:rPr>
              <w:t>Abu Mohammed Ibn Julker Nahin</w:t>
            </w:r>
          </w:p>
        </w:tc>
        <w:tc>
          <w:tcPr>
            <w:tcW w:type="dxa" w:w="2228"/>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sz w:val="18"/>
              </w:rPr>
              <w:t>Breaker Duty &amp; Station DC System</w:t>
            </w:r>
          </w:p>
        </w:tc>
        <w:tc>
          <w:tcPr>
            <w:tcW w:type="dxa" w:w="2228"/>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sz w:val="18"/>
              </w:rPr>
              <w:t>________________</w:t>
            </w:r>
          </w:p>
        </w:tc>
      </w:tr>
    </w:tbl>
    <w:p>
      <w:r>
        <w:br w:type="page"/>
      </w:r>
    </w:p>
    <w:p>
      <w:pPr>
        <w:pStyle w:val="Heading1"/>
        <w:spacing w:before="240" w:after="280"/>
        <w:jc w:val="center"/>
      </w:pPr>
      <w:r>
        <w:rPr>
          <w:rFonts w:ascii="Times New Roman" w:hAnsi="Times New Roman"/>
          <w:b/>
          <w:i w:val="0"/>
          <w:color w:val="000000"/>
          <w:sz w:val="36"/>
        </w:rPr>
        <w:t>Abstract</w:t>
      </w:r>
    </w:p>
    <w:tbl>
      <w:tblPr>
        <w:tblW w:type="auto" w:w="0"/>
        <w:jc w:val="center"/>
        <w:tblLook w:firstColumn="1" w:firstRow="1" w:lastColumn="0" w:lastRow="0" w:noHBand="0" w:noVBand="1" w:val="04A0"/>
      </w:tblPr>
      <w:tblGrid>
        <w:gridCol w:w="8914"/>
      </w:tblGrid>
      <w:tr>
        <w:tc>
          <w:tcPr>
            <w:tcW w:type="dxa" w:w="9792"/>
            <w:tcBorders>
              <w:top w:val="single" w:sz="8" w:space="0" w:color="94A3B8"/>
              <w:left w:val="single" w:sz="8" w:space="0" w:color="94A3B8"/>
              <w:bottom w:val="single" w:sz="8" w:space="0" w:color="94A3B8"/>
              <w:right w:val="single" w:sz="8" w:space="0" w:color="94A3B8"/>
            </w:tcBorders>
            <w:shd w:fill="F8FAFC"/>
          </w:tcPr>
          <w:p>
            <w:pPr>
              <w:spacing w:line="276" w:lineRule="auto" w:before="160" w:after="160"/>
              <w:jc w:val="both"/>
            </w:pPr>
            <w:r>
              <w:rPr>
                <w:rFonts w:ascii="Times New Roman" w:hAnsi="Times New Roman"/>
                <w:b w:val="0"/>
                <w:i w:val="0"/>
                <w:color w:val="000000"/>
                <w:sz w:val="22"/>
              </w:rPr>
              <w:t>This report presents a protection coordination and fault analysis of the Ashuganj South 450 MW Combined Cycle Power Plant in Brahmanbaria, Bangladesh. The studied system includes a 360 MW, 458 MVA Siemens generator, a 515 MVA, 22/230 kV step-up transformer, a 230 kV GIS switchyard, auxiliary transformers, and the connection to the national grid. The study was carried out through power-flow analysis, short-circuit analysis, protection coordination, breaker duty assessment, and dynamic simulation. Four types of faults, namely three-phase, single-line-to-ground, line-to-line, and double-line-to-ground faults, were analyzed at different locations. The results showed that the three-phase fault produces the highest fault current, reaching 126.21 kA at the 22 kV generator terminal and 50.53 kA at the 230 kV busbar. The protection coordination study showed no coordination failures, while the dynamic simulation showed that a 230 kV busbar fault was cleared in approximately 87 ms. The power-flow study also showed that the step-up transformer operates at 105.87% of its ONAN rating but only 72.98% of its ODAF rating. An apparent 109.60% loading of the 25 MVA auxiliary transformer was found to be caused by circulating power between two parallel auxiliary transformers rather than an actual overload. The generator neutral grounding limits the earth-fault current to only 7.272 A, indicating the need for dedicated neutral current measurement and earth-fault protection. Overall, the study evaluates the power flow, fault levels, protection coordination, breaker performance, and important operating conditions of the plant. The results are based on simulation and analysis, so the relay settings presented are study values and not actual commissioned plant settings.</w:t>
            </w:r>
          </w:p>
        </w:tc>
      </w:tr>
    </w:tbl>
    <w:p>
      <w:r>
        <w:br w:type="page"/>
      </w:r>
    </w:p>
    <w:p>
      <w:pPr>
        <w:pStyle w:val="Heading1"/>
        <w:spacing w:before="240" w:after="200"/>
      </w:pPr>
      <w:r>
        <w:rPr>
          <w:rFonts w:ascii="Times New Roman" w:hAnsi="Times New Roman"/>
          <w:b/>
          <w:i w:val="0"/>
          <w:color w:val="000000"/>
          <w:sz w:val="36"/>
        </w:rPr>
        <w:t>Table of Contents</w:t>
      </w:r>
    </w:p>
    <w:p>
      <w:r>
        <w:fldChar w:fldCharType="begin"/>
      </w:r>
      <w:r>
        <w:instrText xml:space="preserve"> TOC \o "1-2" \h \z \u </w:instrText>
      </w:r>
      <w:r>
        <w:fldChar w:fldCharType="separate"/>
      </w:r>
      <w:r>
        <w:t>Updating Table of Contents...</w:t>
      </w:r>
      <w:r>
        <w:fldChar w:fldCharType="end"/>
      </w:r>
    </w:p>
    <w:p>
      <w:r>
        <w:br w:type="page"/>
      </w:r>
    </w:p>
    <w:p>
      <w:pPr>
        <w:pStyle w:val="Heading1"/>
        <w:spacing w:before="240" w:after="200"/>
      </w:pPr>
      <w:r>
        <w:rPr>
          <w:rFonts w:ascii="Times New Roman" w:hAnsi="Times New Roman"/>
          <w:b/>
          <w:i w:val="0"/>
          <w:color w:val="000000"/>
          <w:sz w:val="36"/>
        </w:rPr>
        <w:t>List of Figures</w:t>
      </w:r>
    </w:p>
    <w:p>
      <w:r>
        <w:fldChar w:fldCharType="begin"/>
      </w:r>
      <w:r>
        <w:instrText xml:space="preserve"> TOC \t "Caption,1" \h \z </w:instrText>
      </w:r>
      <w:r>
        <w:fldChar w:fldCharType="separate"/>
      </w:r>
      <w:r>
        <w:t>Updating List of Figures...</w:t>
      </w:r>
      <w:r>
        <w:fldChar w:fldCharType="end"/>
      </w:r>
    </w:p>
    <w:sectPr w:rsidR="00FC693F" w:rsidRPr="0006063C" w:rsidSect="00034616">
      <w:pgSz w:w="11909" w:h="16834"/>
      <w:pgMar w:top="1440" w:right="1440" w:bottom="1440" w:left="155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