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стратегический-аудит-и-roadmap-развития"/>
    <w:p>
      <w:pPr>
        <w:pStyle w:val="Heading1"/>
      </w:pPr>
      <w:r>
        <w:t xml:space="preserve">Стратегический аудит и roadmap развития</w:t>
      </w:r>
    </w:p>
    <w:bookmarkStart w:id="20" w:name="sinedis-sp.-z-o.o.-польша"/>
    <w:p>
      <w:pPr>
        <w:pStyle w:val="Heading2"/>
      </w:pPr>
      <w:r>
        <w:t xml:space="preserve">SINEDIS Sp. z o.o. (Польша)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бщая-характеристика-компании"/>
    <w:p>
      <w:pPr>
        <w:pStyle w:val="Heading1"/>
      </w:pPr>
      <w:r>
        <w:t xml:space="preserve">1. Общая характеристика компании</w:t>
      </w:r>
    </w:p>
    <w:p>
      <w:pPr>
        <w:pStyle w:val="FirstParagraph"/>
      </w:pPr>
      <w:r>
        <w:t xml:space="preserve">SINEDIS Sp. z o.o. — польская страховая структура с фокусом на:</w:t>
      </w:r>
    </w:p>
    <w:p>
      <w:pPr>
        <w:pStyle w:val="Compact"/>
        <w:numPr>
          <w:ilvl w:val="0"/>
          <w:numId w:val="1001"/>
        </w:numPr>
      </w:pPr>
      <w:r>
        <w:t xml:space="preserve">международных грузоперевозчиках;</w:t>
      </w:r>
    </w:p>
    <w:p>
      <w:pPr>
        <w:pStyle w:val="Compact"/>
        <w:numPr>
          <w:ilvl w:val="0"/>
          <w:numId w:val="1001"/>
        </w:numPr>
      </w:pPr>
      <w:r>
        <w:t xml:space="preserve">трансграничном страховании;</w:t>
      </w:r>
    </w:p>
    <w:p>
      <w:pPr>
        <w:pStyle w:val="Compact"/>
        <w:numPr>
          <w:ilvl w:val="0"/>
          <w:numId w:val="1001"/>
        </w:numPr>
      </w:pPr>
      <w:r>
        <w:t xml:space="preserve">польском пограничном страховании;</w:t>
      </w:r>
    </w:p>
    <w:p>
      <w:pPr>
        <w:pStyle w:val="Compact"/>
        <w:numPr>
          <w:ilvl w:val="0"/>
          <w:numId w:val="1001"/>
        </w:numPr>
      </w:pPr>
      <w:r>
        <w:t xml:space="preserve">генерации и передаче лидов;</w:t>
      </w:r>
    </w:p>
    <w:p>
      <w:pPr>
        <w:pStyle w:val="Compact"/>
        <w:numPr>
          <w:ilvl w:val="0"/>
          <w:numId w:val="1001"/>
        </w:numPr>
      </w:pPr>
      <w:r>
        <w:t xml:space="preserve">перспективе построения собственного страхового брокера в Польше.</w:t>
      </w:r>
    </w:p>
    <w:p>
      <w:pPr>
        <w:pStyle w:val="FirstParagraph"/>
      </w:pPr>
      <w:r>
        <w:t xml:space="preserve">На текущем этапе компания фактически представляет собой:</w:t>
      </w:r>
    </w:p>
    <w:p>
      <w:pPr>
        <w:pStyle w:val="Compact"/>
        <w:numPr>
          <w:ilvl w:val="0"/>
          <w:numId w:val="1002"/>
        </w:numPr>
      </w:pPr>
      <w:r>
        <w:t xml:space="preserve">lean insurance operation;</w:t>
      </w:r>
    </w:p>
    <w:p>
      <w:pPr>
        <w:pStyle w:val="Compact"/>
        <w:numPr>
          <w:ilvl w:val="0"/>
          <w:numId w:val="1002"/>
        </w:numPr>
      </w:pPr>
      <w:r>
        <w:t xml:space="preserve">B2B-страховой сервис;</w:t>
      </w:r>
    </w:p>
    <w:p>
      <w:pPr>
        <w:pStyle w:val="Compact"/>
        <w:numPr>
          <w:ilvl w:val="0"/>
          <w:numId w:val="1002"/>
        </w:numPr>
      </w:pPr>
      <w:r>
        <w:t xml:space="preserve">координационный центр;</w:t>
      </w:r>
    </w:p>
    <w:p>
      <w:pPr>
        <w:pStyle w:val="Compact"/>
        <w:numPr>
          <w:ilvl w:val="0"/>
          <w:numId w:val="1002"/>
        </w:numPr>
      </w:pPr>
      <w:r>
        <w:t xml:space="preserve">инфраструктурную модель вокруг международной логистики.</w:t>
      </w:r>
    </w:p>
    <w:p>
      <w:pPr>
        <w:pStyle w:val="FirstParagraph"/>
      </w:pPr>
      <w:r>
        <w:t xml:space="preserve">Компания пока не является полноценным самостоятельным брокером с собственной операционной инфраструктурой.</w:t>
      </w:r>
    </w:p>
    <w:p>
      <w:pPr>
        <w:pStyle w:val="BodyText"/>
      </w:pPr>
      <w:r>
        <w:t xml:space="preserve">Текущая деятельность:</w:t>
      </w:r>
    </w:p>
    <w:p>
      <w:pPr>
        <w:pStyle w:val="Compact"/>
        <w:numPr>
          <w:ilvl w:val="0"/>
          <w:numId w:val="1003"/>
        </w:numPr>
      </w:pPr>
      <w:r>
        <w:t xml:space="preserve">продажа лидов польскому брокеру;</w:t>
      </w:r>
    </w:p>
    <w:p>
      <w:pPr>
        <w:pStyle w:val="Compact"/>
        <w:numPr>
          <w:ilvl w:val="0"/>
          <w:numId w:val="1003"/>
        </w:numPr>
      </w:pPr>
      <w:r>
        <w:t xml:space="preserve">продажа лидов латвийскому брокеру;</w:t>
      </w:r>
    </w:p>
    <w:p>
      <w:pPr>
        <w:pStyle w:val="Compact"/>
        <w:numPr>
          <w:ilvl w:val="0"/>
          <w:numId w:val="1003"/>
        </w:numPr>
      </w:pPr>
      <w:r>
        <w:t xml:space="preserve">продажа польского пограничного страхования;</w:t>
      </w:r>
    </w:p>
    <w:p>
      <w:pPr>
        <w:pStyle w:val="Compact"/>
        <w:numPr>
          <w:ilvl w:val="0"/>
          <w:numId w:val="1003"/>
        </w:numPr>
      </w:pPr>
      <w:r>
        <w:t xml:space="preserve">сопровождение существующих клиентов.</w:t>
      </w:r>
    </w:p>
    <w:p>
      <w:pPr>
        <w:pStyle w:val="FirstParagraph"/>
      </w:pPr>
      <w:r>
        <w:t xml:space="preserve">План:</w:t>
      </w:r>
    </w:p>
    <w:p>
      <w:pPr>
        <w:pStyle w:val="Compact"/>
        <w:numPr>
          <w:ilvl w:val="0"/>
          <w:numId w:val="1004"/>
        </w:numPr>
      </w:pPr>
      <w:r>
        <w:t xml:space="preserve">отказаться от модели работы через латвийского брокера;</w:t>
      </w:r>
    </w:p>
    <w:p>
      <w:pPr>
        <w:pStyle w:val="Compact"/>
        <w:numPr>
          <w:ilvl w:val="0"/>
          <w:numId w:val="1004"/>
        </w:numPr>
      </w:pPr>
      <w:r>
        <w:t xml:space="preserve">перейти на работу через собственного агента в Латвии;</w:t>
      </w:r>
    </w:p>
    <w:p>
      <w:pPr>
        <w:pStyle w:val="Compact"/>
        <w:numPr>
          <w:ilvl w:val="0"/>
          <w:numId w:val="1004"/>
        </w:numPr>
      </w:pPr>
      <w:r>
        <w:t xml:space="preserve">развивать собственную польскую брокерскую структуру.</w:t>
      </w:r>
    </w:p>
    <w:p>
      <w:r>
        <w:pict>
          <v:rect style="width:0;height:1.5pt" o:hralign="center" o:hrstd="t" o:hr="t"/>
        </w:pict>
      </w:r>
    </w:p>
    <w:bookmarkEnd w:id="22"/>
    <w:bookmarkStart w:id="25" w:name="финансовая-модель-и-текущее-состояние"/>
    <w:p>
      <w:pPr>
        <w:pStyle w:val="Heading1"/>
      </w:pPr>
      <w:r>
        <w:t xml:space="preserve">2. Финансовая модель и текущее состояние</w:t>
      </w:r>
    </w:p>
    <w:p>
      <w:pPr>
        <w:pStyle w:val="FirstParagraph"/>
      </w:pPr>
      <w:r>
        <w:t xml:space="preserve">Текущая прибыль компании:</w:t>
      </w:r>
    </w:p>
    <w:p>
      <w:pPr>
        <w:pStyle w:val="Compact"/>
        <w:numPr>
          <w:ilvl w:val="0"/>
          <w:numId w:val="1005"/>
        </w:numPr>
      </w:pPr>
      <w:r>
        <w:t xml:space="preserve">примерно 10 000–15 000 долларов в год.</w:t>
      </w:r>
    </w:p>
    <w:p>
      <w:pPr>
        <w:pStyle w:val="FirstParagraph"/>
      </w:pPr>
      <w:r>
        <w:t xml:space="preserve">Текущие целевые показатели:</w:t>
      </w:r>
    </w:p>
    <w:bookmarkStart w:id="23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50 000 долларов чистой прибыли в год.</w:t>
      </w:r>
    </w:p>
    <w:bookmarkEnd w:id="23"/>
    <w:bookmarkStart w:id="24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100 000 – 200 000 долларов чистой прибыли в год.</w:t>
      </w:r>
    </w:p>
    <w:p>
      <w:pPr>
        <w:pStyle w:val="BodyText"/>
      </w:pPr>
      <w:r>
        <w:t xml:space="preserve">Для достижения подобных показателей компании необходимо перейти:</w:t>
      </w:r>
    </w:p>
    <w:p>
      <w:pPr>
        <w:pStyle w:val="BodyText"/>
      </w:pPr>
      <w:r>
        <w:t xml:space="preserve">от:</w:t>
      </w:r>
    </w:p>
    <w:p>
      <w:pPr>
        <w:pStyle w:val="Compact"/>
        <w:numPr>
          <w:ilvl w:val="0"/>
          <w:numId w:val="1006"/>
        </w:numPr>
      </w:pPr>
      <w:r>
        <w:t xml:space="preserve">модели ручной координации;</w:t>
      </w:r>
    </w:p>
    <w:p>
      <w:pPr>
        <w:pStyle w:val="Compact"/>
        <w:numPr>
          <w:ilvl w:val="0"/>
          <w:numId w:val="1006"/>
        </w:numPr>
      </w:pPr>
      <w:r>
        <w:t xml:space="preserve">модели lead-transfer;</w:t>
      </w:r>
    </w:p>
    <w:p>
      <w:pPr>
        <w:pStyle w:val="Compact"/>
        <w:numPr>
          <w:ilvl w:val="0"/>
          <w:numId w:val="1006"/>
        </w:numPr>
      </w:pPr>
      <w:r>
        <w:t xml:space="preserve">зависимости от внешних брокеров;</w:t>
      </w:r>
    </w:p>
    <w:p>
      <w:pPr>
        <w:pStyle w:val="FirstParagraph"/>
      </w:pPr>
      <w:r>
        <w:t xml:space="preserve">к:</w:t>
      </w:r>
    </w:p>
    <w:p>
      <w:pPr>
        <w:pStyle w:val="Compact"/>
        <w:numPr>
          <w:ilvl w:val="0"/>
          <w:numId w:val="1007"/>
        </w:numPr>
      </w:pPr>
      <w:r>
        <w:t xml:space="preserve">собственной брокерской инфраструктуре;</w:t>
      </w:r>
    </w:p>
    <w:p>
      <w:pPr>
        <w:pStyle w:val="Compact"/>
        <w:numPr>
          <w:ilvl w:val="0"/>
          <w:numId w:val="1007"/>
        </w:numPr>
      </w:pPr>
      <w:r>
        <w:t xml:space="preserve">системной B2B-модели;</w:t>
      </w:r>
    </w:p>
    <w:p>
      <w:pPr>
        <w:pStyle w:val="Compact"/>
        <w:numPr>
          <w:ilvl w:val="0"/>
          <w:numId w:val="1007"/>
        </w:numPr>
      </w:pPr>
      <w:r>
        <w:t xml:space="preserve">локальному присутствию на польском рынке.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текущая-бизнес-модель"/>
    <w:p>
      <w:pPr>
        <w:pStyle w:val="Heading1"/>
      </w:pPr>
      <w:r>
        <w:t xml:space="preserve">3. Текущая бизнес-модель</w:t>
      </w:r>
    </w:p>
    <w:bookmarkStart w:id="26" w:name="что-компания-реально-делает"/>
    <w:p>
      <w:pPr>
        <w:pStyle w:val="Heading2"/>
      </w:pPr>
      <w:r>
        <w:t xml:space="preserve">Что компания реально делает</w:t>
      </w:r>
    </w:p>
    <w:p>
      <w:pPr>
        <w:pStyle w:val="FirstParagraph"/>
      </w:pPr>
      <w:r>
        <w:t xml:space="preserve">Компания:</w:t>
      </w:r>
    </w:p>
    <w:p>
      <w:pPr>
        <w:pStyle w:val="Compact"/>
        <w:numPr>
          <w:ilvl w:val="0"/>
          <w:numId w:val="1008"/>
        </w:numPr>
      </w:pPr>
      <w:r>
        <w:t xml:space="preserve">продаёт лиды польскому брокеру;</w:t>
      </w:r>
    </w:p>
    <w:p>
      <w:pPr>
        <w:pStyle w:val="Compact"/>
        <w:numPr>
          <w:ilvl w:val="0"/>
          <w:numId w:val="1008"/>
        </w:numPr>
      </w:pPr>
      <w:r>
        <w:t xml:space="preserve">продаёт лиды латвийскому брокеру;</w:t>
      </w:r>
    </w:p>
    <w:p>
      <w:pPr>
        <w:pStyle w:val="Compact"/>
        <w:numPr>
          <w:ilvl w:val="0"/>
          <w:numId w:val="1008"/>
        </w:numPr>
      </w:pPr>
      <w:r>
        <w:t xml:space="preserve">продаёт польское пограничное страхование;</w:t>
      </w:r>
    </w:p>
    <w:p>
      <w:pPr>
        <w:pStyle w:val="Compact"/>
        <w:numPr>
          <w:ilvl w:val="0"/>
          <w:numId w:val="1008"/>
        </w:numPr>
      </w:pPr>
      <w:r>
        <w:t xml:space="preserve">сопровождает международных перевозчиков.</w:t>
      </w:r>
    </w:p>
    <w:p>
      <w:r>
        <w:pict>
          <v:rect style="width:0;height:1.5pt" o:hralign="center" o:hrstd="t" o:hr="t"/>
        </w:pict>
      </w:r>
    </w:p>
    <w:bookmarkEnd w:id="26"/>
    <w:bookmarkStart w:id="27" w:name="как-компания-зарабатывает"/>
    <w:p>
      <w:pPr>
        <w:pStyle w:val="Heading2"/>
      </w:pPr>
      <w:r>
        <w:t xml:space="preserve">Как компания зарабатывает</w:t>
      </w:r>
    </w:p>
    <w:p>
      <w:pPr>
        <w:pStyle w:val="FirstParagraph"/>
      </w:pPr>
      <w:r>
        <w:t xml:space="preserve">Основная выручка формируется:</w:t>
      </w:r>
    </w:p>
    <w:p>
      <w:pPr>
        <w:pStyle w:val="Compact"/>
        <w:numPr>
          <w:ilvl w:val="0"/>
          <w:numId w:val="1009"/>
        </w:numPr>
      </w:pPr>
      <w:r>
        <w:t xml:space="preserve">через клиентов учредителя;</w:t>
      </w:r>
    </w:p>
    <w:p>
      <w:pPr>
        <w:pStyle w:val="Compact"/>
        <w:numPr>
          <w:ilvl w:val="0"/>
          <w:numId w:val="1009"/>
        </w:numPr>
      </w:pPr>
      <w:r>
        <w:t xml:space="preserve">через работу Анацко С.;</w:t>
      </w:r>
    </w:p>
    <w:p>
      <w:pPr>
        <w:pStyle w:val="Compact"/>
        <w:numPr>
          <w:ilvl w:val="0"/>
          <w:numId w:val="1009"/>
        </w:numPr>
      </w:pPr>
      <w:r>
        <w:t xml:space="preserve">через партнёрскую модель;</w:t>
      </w:r>
    </w:p>
    <w:p>
      <w:pPr>
        <w:pStyle w:val="Compact"/>
        <w:numPr>
          <w:ilvl w:val="0"/>
          <w:numId w:val="1009"/>
        </w:numPr>
      </w:pPr>
      <w:r>
        <w:t xml:space="preserve">через продажу лидов.</w:t>
      </w:r>
    </w:p>
    <w:p>
      <w:r>
        <w:pict>
          <v:rect style="width:0;height:1.5pt" o:hralign="center" o:hrstd="t" o:hr="t"/>
        </w:pict>
      </w:r>
    </w:p>
    <w:bookmarkEnd w:id="27"/>
    <w:bookmarkStart w:id="28" w:name="кто-приносит-деньги"/>
    <w:p>
      <w:pPr>
        <w:pStyle w:val="Heading2"/>
      </w:pPr>
      <w:r>
        <w:t xml:space="preserve">Кто приносит деньги</w:t>
      </w:r>
    </w:p>
    <w:p>
      <w:pPr>
        <w:pStyle w:val="FirstParagraph"/>
      </w:pPr>
      <w:r>
        <w:t xml:space="preserve">Основной revenue engine:</w:t>
      </w:r>
    </w:p>
    <w:p>
      <w:pPr>
        <w:pStyle w:val="Compact"/>
        <w:numPr>
          <w:ilvl w:val="0"/>
          <w:numId w:val="1010"/>
        </w:numPr>
      </w:pPr>
      <w:r>
        <w:t xml:space="preserve">Анацко С.;</w:t>
      </w:r>
    </w:p>
    <w:p>
      <w:pPr>
        <w:pStyle w:val="Compact"/>
        <w:numPr>
          <w:ilvl w:val="0"/>
          <w:numId w:val="1010"/>
        </w:numPr>
      </w:pPr>
      <w:r>
        <w:t xml:space="preserve">существующая клиентская база.</w:t>
      </w:r>
    </w:p>
    <w:p>
      <w:r>
        <w:pict>
          <v:rect style="width:0;height:1.5pt" o:hralign="center" o:hrstd="t" o:hr="t"/>
        </w:pict>
      </w:r>
    </w:p>
    <w:bookmarkEnd w:id="28"/>
    <w:bookmarkStart w:id="29" w:name="кто-выполняет-работу"/>
    <w:p>
      <w:pPr>
        <w:pStyle w:val="Heading2"/>
      </w:pPr>
      <w:r>
        <w:t xml:space="preserve">Кто выполняет работу</w:t>
      </w:r>
    </w:p>
    <w:p>
      <w:pPr>
        <w:pStyle w:val="FirstParagraph"/>
      </w:pPr>
      <w:r>
        <w:t xml:space="preserve">Практически все процессы выполняет:</w:t>
      </w:r>
    </w:p>
    <w:p>
      <w:pPr>
        <w:pStyle w:val="Compact"/>
        <w:numPr>
          <w:ilvl w:val="0"/>
          <w:numId w:val="1011"/>
        </w:numPr>
      </w:pPr>
      <w:r>
        <w:t xml:space="preserve">Анацко С.</w:t>
      </w:r>
    </w:p>
    <w:p>
      <w:pPr>
        <w:pStyle w:val="FirstParagraph"/>
      </w:pPr>
      <w:r>
        <w:t xml:space="preserve">Включая:</w:t>
      </w:r>
    </w:p>
    <w:p>
      <w:pPr>
        <w:pStyle w:val="Compact"/>
        <w:numPr>
          <w:ilvl w:val="0"/>
          <w:numId w:val="1012"/>
        </w:numPr>
      </w:pPr>
      <w:r>
        <w:t xml:space="preserve">IT;</w:t>
      </w:r>
    </w:p>
    <w:p>
      <w:pPr>
        <w:pStyle w:val="Compact"/>
        <w:numPr>
          <w:ilvl w:val="0"/>
          <w:numId w:val="1012"/>
        </w:numPr>
      </w:pPr>
      <w:r>
        <w:t xml:space="preserve">координацию;</w:t>
      </w:r>
    </w:p>
    <w:p>
      <w:pPr>
        <w:pStyle w:val="Compact"/>
        <w:numPr>
          <w:ilvl w:val="0"/>
          <w:numId w:val="1012"/>
        </w:numPr>
      </w:pPr>
      <w:r>
        <w:t xml:space="preserve">коммуникацию;</w:t>
      </w:r>
    </w:p>
    <w:p>
      <w:pPr>
        <w:pStyle w:val="Compact"/>
        <w:numPr>
          <w:ilvl w:val="0"/>
          <w:numId w:val="1012"/>
        </w:numPr>
      </w:pPr>
      <w:r>
        <w:t xml:space="preserve">взаимодействие со страховыми;</w:t>
      </w:r>
    </w:p>
    <w:p>
      <w:pPr>
        <w:pStyle w:val="Compact"/>
        <w:numPr>
          <w:ilvl w:val="0"/>
          <w:numId w:val="1012"/>
        </w:numPr>
      </w:pPr>
      <w:r>
        <w:t xml:space="preserve">сопровождение клиентов;</w:t>
      </w:r>
    </w:p>
    <w:p>
      <w:pPr>
        <w:pStyle w:val="Compact"/>
        <w:numPr>
          <w:ilvl w:val="0"/>
          <w:numId w:val="1012"/>
        </w:numPr>
      </w:pPr>
      <w:r>
        <w:t xml:space="preserve">финансовую координацию;</w:t>
      </w:r>
    </w:p>
    <w:p>
      <w:pPr>
        <w:pStyle w:val="Compact"/>
        <w:numPr>
          <w:ilvl w:val="0"/>
          <w:numId w:val="1012"/>
        </w:numPr>
      </w:pPr>
      <w:r>
        <w:t xml:space="preserve">выпуск полисов;</w:t>
      </w:r>
    </w:p>
    <w:p>
      <w:pPr>
        <w:pStyle w:val="Compact"/>
        <w:numPr>
          <w:ilvl w:val="0"/>
          <w:numId w:val="1012"/>
        </w:numPr>
      </w:pPr>
      <w:r>
        <w:t xml:space="preserve">операционную деятельность.</w:t>
      </w:r>
    </w:p>
    <w:p>
      <w:r>
        <w:pict>
          <v:rect style="width:0;height:1.5pt" o:hralign="center" o:hrstd="t" o:hr="t"/>
        </w:pict>
      </w:r>
    </w:p>
    <w:bookmarkEnd w:id="29"/>
    <w:bookmarkStart w:id="30" w:name="основные-проблемы"/>
    <w:p>
      <w:pPr>
        <w:pStyle w:val="Heading2"/>
      </w:pPr>
      <w:r>
        <w:t xml:space="preserve">Основные проблемы</w:t>
      </w:r>
    </w:p>
    <w:p>
      <w:pPr>
        <w:pStyle w:val="Compact"/>
        <w:numPr>
          <w:ilvl w:val="0"/>
          <w:numId w:val="1013"/>
        </w:numPr>
      </w:pPr>
      <w:r>
        <w:t xml:space="preserve">критическая зависимость от одного человека;</w:t>
      </w:r>
    </w:p>
    <w:p>
      <w:pPr>
        <w:pStyle w:val="Compact"/>
        <w:numPr>
          <w:ilvl w:val="0"/>
          <w:numId w:val="1013"/>
        </w:numPr>
      </w:pPr>
      <w:r>
        <w:t xml:space="preserve">отсутствие лидогенерации;</w:t>
      </w:r>
    </w:p>
    <w:p>
      <w:pPr>
        <w:pStyle w:val="Compact"/>
        <w:numPr>
          <w:ilvl w:val="0"/>
          <w:numId w:val="1013"/>
        </w:numPr>
      </w:pPr>
      <w:r>
        <w:t xml:space="preserve">отсутствие активных продаж;</w:t>
      </w:r>
    </w:p>
    <w:p>
      <w:pPr>
        <w:pStyle w:val="Compact"/>
        <w:numPr>
          <w:ilvl w:val="0"/>
          <w:numId w:val="1013"/>
        </w:numPr>
      </w:pPr>
      <w:r>
        <w:t xml:space="preserve">отсутствие локального польского sales;</w:t>
      </w:r>
    </w:p>
    <w:p>
      <w:pPr>
        <w:pStyle w:val="Compact"/>
        <w:numPr>
          <w:ilvl w:val="0"/>
          <w:numId w:val="1013"/>
        </w:numPr>
      </w:pPr>
      <w:r>
        <w:t xml:space="preserve">отсутствие локального страхового специалиста;</w:t>
      </w:r>
    </w:p>
    <w:p>
      <w:pPr>
        <w:pStyle w:val="Compact"/>
        <w:numPr>
          <w:ilvl w:val="0"/>
          <w:numId w:val="1013"/>
        </w:numPr>
      </w:pPr>
      <w:r>
        <w:t xml:space="preserve">отсутствие собственной брокерской инфраструктуры;</w:t>
      </w:r>
    </w:p>
    <w:p>
      <w:pPr>
        <w:pStyle w:val="Compact"/>
        <w:numPr>
          <w:ilvl w:val="0"/>
          <w:numId w:val="1013"/>
        </w:numPr>
      </w:pPr>
      <w:r>
        <w:t xml:space="preserve">зависимость от внешних брокеров;</w:t>
      </w:r>
    </w:p>
    <w:p>
      <w:pPr>
        <w:pStyle w:val="Compact"/>
        <w:numPr>
          <w:ilvl w:val="0"/>
          <w:numId w:val="1013"/>
        </w:numPr>
      </w:pPr>
      <w:r>
        <w:t xml:space="preserve">отсутствие польскоязычной операционной модели;</w:t>
      </w:r>
    </w:p>
    <w:p>
      <w:pPr>
        <w:pStyle w:val="Compact"/>
        <w:numPr>
          <w:ilvl w:val="0"/>
          <w:numId w:val="1013"/>
        </w:numPr>
      </w:pPr>
      <w:r>
        <w:t xml:space="preserve">слабое локальное присутствие.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карта-процессов"/>
    <w:p>
      <w:pPr>
        <w:pStyle w:val="Heading1"/>
      </w:pPr>
      <w:r>
        <w:t xml:space="preserve">4. Карта процессов</w:t>
      </w:r>
    </w:p>
    <w:bookmarkStart w:id="41" w:name="текущий-процесс"/>
    <w:p>
      <w:pPr>
        <w:pStyle w:val="Heading2"/>
      </w:pPr>
      <w:r>
        <w:t xml:space="preserve">Текущий процесс</w:t>
      </w:r>
    </w:p>
    <w:bookmarkStart w:id="32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Фактически:</w:t>
      </w:r>
    </w:p>
    <w:p>
      <w:pPr>
        <w:pStyle w:val="Compact"/>
        <w:numPr>
          <w:ilvl w:val="0"/>
          <w:numId w:val="1014"/>
        </w:numPr>
      </w:pPr>
      <w:r>
        <w:t xml:space="preserve">системная лидогенерация отсутствует.</w:t>
      </w:r>
    </w:p>
    <w:p>
      <w:r>
        <w:pict>
          <v:rect style="width:0;height:1.5pt" o:hralign="center" o:hrstd="t" o:hr="t"/>
        </w:pict>
      </w:r>
    </w:p>
    <w:bookmarkEnd w:id="32"/>
    <w:bookmarkStart w:id="33" w:name="расчёт"/>
    <w:p>
      <w:pPr>
        <w:pStyle w:val="Heading3"/>
      </w:pPr>
      <w:r>
        <w:t xml:space="preserve">Расчёт</w:t>
      </w:r>
    </w:p>
    <w:p>
      <w:pPr>
        <w:pStyle w:val="FirstParagraph"/>
      </w:pPr>
      <w:r>
        <w:t xml:space="preserve">Расчёт выполняется:</w:t>
      </w:r>
    </w:p>
    <w:p>
      <w:pPr>
        <w:pStyle w:val="Compact"/>
        <w:numPr>
          <w:ilvl w:val="0"/>
          <w:numId w:val="1015"/>
        </w:numPr>
      </w:pPr>
      <w:r>
        <w:t xml:space="preserve">через внешних брокеров.</w:t>
      </w:r>
    </w:p>
    <w:p>
      <w:pPr>
        <w:pStyle w:val="FirstParagraph"/>
      </w:pPr>
      <w:r>
        <w:t xml:space="preserve">Срок:</w:t>
      </w:r>
    </w:p>
    <w:p>
      <w:pPr>
        <w:pStyle w:val="Compact"/>
        <w:numPr>
          <w:ilvl w:val="0"/>
          <w:numId w:val="1016"/>
        </w:numPr>
      </w:pPr>
      <w:r>
        <w:t xml:space="preserve">от 2 до 7 дней.</w:t>
      </w:r>
    </w:p>
    <w:p>
      <w:pPr>
        <w:pStyle w:val="FirstParagraph"/>
      </w:pPr>
      <w:r>
        <w:t xml:space="preserve">Это критически долго для страхового рынка.</w:t>
      </w:r>
    </w:p>
    <w:p>
      <w:r>
        <w:pict>
          <v:rect style="width:0;height:1.5pt" o:hralign="center" o:hrstd="t" o:hr="t"/>
        </w:pict>
      </w:r>
    </w:p>
    <w:bookmarkEnd w:id="33"/>
    <w:bookmarkStart w:id="34" w:name="согласование"/>
    <w:p>
      <w:pPr>
        <w:pStyle w:val="Heading3"/>
      </w:pPr>
      <w:r>
        <w:t xml:space="preserve">Согласование</w:t>
      </w:r>
    </w:p>
    <w:p>
      <w:pPr>
        <w:pStyle w:val="FirstParagraph"/>
      </w:pPr>
      <w:r>
        <w:t xml:space="preserve">Клиент принимает решение:</w:t>
      </w:r>
    </w:p>
    <w:p>
      <w:pPr>
        <w:pStyle w:val="Compact"/>
        <w:numPr>
          <w:ilvl w:val="0"/>
          <w:numId w:val="1017"/>
        </w:numPr>
      </w:pPr>
      <w:r>
        <w:t xml:space="preserve">в течение 3–15 дней.</w:t>
      </w:r>
    </w:p>
    <w:p>
      <w:r>
        <w:pict>
          <v:rect style="width:0;height:1.5pt" o:hralign="center" o:hrstd="t" o:hr="t"/>
        </w:pict>
      </w:r>
    </w:p>
    <w:bookmarkEnd w:id="34"/>
    <w:bookmarkStart w:id="35" w:name="оплата"/>
    <w:p>
      <w:pPr>
        <w:pStyle w:val="Heading3"/>
      </w:pPr>
      <w:r>
        <w:t xml:space="preserve">Оплата</w:t>
      </w:r>
    </w:p>
    <w:p>
      <w:pPr>
        <w:pStyle w:val="FirstParagraph"/>
      </w:pPr>
      <w:r>
        <w:t xml:space="preserve">Оплата:</w:t>
      </w:r>
    </w:p>
    <w:p>
      <w:pPr>
        <w:pStyle w:val="Compact"/>
        <w:numPr>
          <w:ilvl w:val="0"/>
          <w:numId w:val="1018"/>
        </w:numPr>
      </w:pPr>
      <w:r>
        <w:t xml:space="preserve">напрямую на счёт страховой компании.</w:t>
      </w:r>
    </w:p>
    <w:p>
      <w:r>
        <w:pict>
          <v:rect style="width:0;height:1.5pt" o:hralign="center" o:hrstd="t" o:hr="t"/>
        </w:pict>
      </w:r>
    </w:p>
    <w:bookmarkEnd w:id="35"/>
    <w:bookmarkStart w:id="36" w:name="выпуск"/>
    <w:p>
      <w:pPr>
        <w:pStyle w:val="Heading3"/>
      </w:pPr>
      <w:r>
        <w:t xml:space="preserve">Выпуск</w:t>
      </w:r>
    </w:p>
    <w:p>
      <w:pPr>
        <w:pStyle w:val="FirstParagraph"/>
      </w:pPr>
      <w:r>
        <w:t xml:space="preserve">Полис выпускается:</w:t>
      </w:r>
    </w:p>
    <w:p>
      <w:pPr>
        <w:pStyle w:val="Compact"/>
        <w:numPr>
          <w:ilvl w:val="0"/>
          <w:numId w:val="1019"/>
        </w:numPr>
      </w:pPr>
      <w:r>
        <w:t xml:space="preserve">когда брокер свободен.</w:t>
      </w:r>
    </w:p>
    <w:p>
      <w:pPr>
        <w:pStyle w:val="FirstParagraph"/>
      </w:pPr>
      <w:r>
        <w:t xml:space="preserve">Компания не контролирует SLA выпуска.</w:t>
      </w:r>
    </w:p>
    <w:p>
      <w:r>
        <w:pict>
          <v:rect style="width:0;height:1.5pt" o:hralign="center" o:hrstd="t" o:hr="t"/>
        </w:pict>
      </w:r>
    </w:p>
    <w:bookmarkEnd w:id="36"/>
    <w:bookmarkStart w:id="37" w:name="сопровождение"/>
    <w:p>
      <w:pPr>
        <w:pStyle w:val="Heading3"/>
      </w:pPr>
      <w:r>
        <w:t xml:space="preserve">Сопровождение</w:t>
      </w:r>
    </w:p>
    <w:p>
      <w:pPr>
        <w:pStyle w:val="FirstParagraph"/>
      </w:pPr>
      <w:r>
        <w:t xml:space="preserve">Поддержка:</w:t>
      </w:r>
    </w:p>
    <w:p>
      <w:pPr>
        <w:pStyle w:val="Compact"/>
        <w:numPr>
          <w:ilvl w:val="0"/>
          <w:numId w:val="1020"/>
        </w:numPr>
      </w:pPr>
      <w:r>
        <w:t xml:space="preserve">реактивная;</w:t>
      </w:r>
    </w:p>
    <w:p>
      <w:pPr>
        <w:pStyle w:val="Compact"/>
        <w:numPr>
          <w:ilvl w:val="0"/>
          <w:numId w:val="1020"/>
        </w:numPr>
      </w:pPr>
      <w:r>
        <w:t xml:space="preserve">по запросу клиента.</w:t>
      </w:r>
    </w:p>
    <w:p>
      <w:r>
        <w:pict>
          <v:rect style="width:0;height:1.5pt" o:hralign="center" o:hrstd="t" o:hr="t"/>
        </w:pict>
      </w:r>
    </w:p>
    <w:bookmarkEnd w:id="37"/>
    <w:bookmarkStart w:id="38" w:name="renewals"/>
    <w:p>
      <w:pPr>
        <w:pStyle w:val="Heading3"/>
      </w:pPr>
      <w:r>
        <w:t xml:space="preserve">Renewals</w:t>
      </w:r>
    </w:p>
    <w:p>
      <w:pPr>
        <w:pStyle w:val="FirstParagraph"/>
      </w:pPr>
      <w:r>
        <w:t xml:space="preserve">Частично реализованы:</w:t>
      </w:r>
    </w:p>
    <w:p>
      <w:pPr>
        <w:pStyle w:val="Compact"/>
        <w:numPr>
          <w:ilvl w:val="0"/>
          <w:numId w:val="1021"/>
        </w:numPr>
      </w:pPr>
      <w:r>
        <w:t xml:space="preserve">через Bitrix24.</w:t>
      </w:r>
    </w:p>
    <w:p>
      <w:r>
        <w:pict>
          <v:rect style="width:0;height:1.5pt" o:hralign="center" o:hrstd="t" o:hr="t"/>
        </w:pict>
      </w:r>
    </w:p>
    <w:bookmarkEnd w:id="38"/>
    <w:bookmarkStart w:id="39" w:name="убытки"/>
    <w:p>
      <w:pPr>
        <w:pStyle w:val="Heading3"/>
      </w:pPr>
      <w:r>
        <w:t xml:space="preserve">Убытки</w:t>
      </w:r>
    </w:p>
    <w:p>
      <w:pPr>
        <w:pStyle w:val="FirstParagraph"/>
      </w:pPr>
      <w:r>
        <w:t xml:space="preserve">Обслуживаются:</w:t>
      </w:r>
    </w:p>
    <w:p>
      <w:pPr>
        <w:pStyle w:val="Compact"/>
        <w:numPr>
          <w:ilvl w:val="0"/>
          <w:numId w:val="1022"/>
        </w:numPr>
      </w:pPr>
      <w:r>
        <w:t xml:space="preserve">через польского брокера.</w:t>
      </w:r>
    </w:p>
    <w:p>
      <w:r>
        <w:pict>
          <v:rect style="width:0;height:1.5pt" o:hralign="center" o:hrstd="t" o:hr="t"/>
        </w:pict>
      </w:r>
    </w:p>
    <w:bookmarkEnd w:id="39"/>
    <w:bookmarkStart w:id="40" w:name="документооборот"/>
    <w:p>
      <w:pPr>
        <w:pStyle w:val="Heading3"/>
      </w:pPr>
      <w:r>
        <w:t xml:space="preserve">Документооборот</w:t>
      </w:r>
    </w:p>
    <w:p>
      <w:pPr>
        <w:pStyle w:val="Compact"/>
        <w:numPr>
          <w:ilvl w:val="0"/>
          <w:numId w:val="1023"/>
        </w:numPr>
      </w:pPr>
      <w:r>
        <w:t xml:space="preserve">электронный.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главные-операционные-проблемы"/>
    <w:p>
      <w:pPr>
        <w:pStyle w:val="Heading1"/>
      </w:pPr>
      <w:r>
        <w:t xml:space="preserve">5. Главные операционные проблемы</w:t>
      </w:r>
    </w:p>
    <w:bookmarkStart w:id="43" w:name="X9eedc10c979e84dca8c74532812dfad1af51d5c"/>
    <w:p>
      <w:pPr>
        <w:pStyle w:val="Heading2"/>
      </w:pPr>
      <w:r>
        <w:t xml:space="preserve">1. Критическая зависимость от одного человека</w:t>
      </w:r>
    </w:p>
    <w:p>
      <w:pPr>
        <w:pStyle w:val="FirstParagraph"/>
      </w:pPr>
      <w:r>
        <w:t xml:space="preserve">Главный системный риск.</w:t>
      </w:r>
    </w:p>
    <w:p>
      <w:pPr>
        <w:pStyle w:val="BodyText"/>
      </w:pPr>
      <w:r>
        <w:t xml:space="preserve">Практически вся компания завязана на:</w:t>
      </w:r>
    </w:p>
    <w:p>
      <w:pPr>
        <w:pStyle w:val="Compact"/>
        <w:numPr>
          <w:ilvl w:val="0"/>
          <w:numId w:val="1024"/>
        </w:numPr>
      </w:pPr>
      <w:r>
        <w:t xml:space="preserve">Анацко С.</w:t>
      </w:r>
    </w:p>
    <w:p>
      <w:pPr>
        <w:pStyle w:val="FirstParagraph"/>
      </w:pPr>
      <w:r>
        <w:t xml:space="preserve">Это означает:</w:t>
      </w:r>
    </w:p>
    <w:p>
      <w:pPr>
        <w:pStyle w:val="Compact"/>
        <w:numPr>
          <w:ilvl w:val="0"/>
          <w:numId w:val="1025"/>
        </w:numPr>
      </w:pPr>
      <w:r>
        <w:t xml:space="preserve">отсутствие масштабируемости;</w:t>
      </w:r>
    </w:p>
    <w:p>
      <w:pPr>
        <w:pStyle w:val="Compact"/>
        <w:numPr>
          <w:ilvl w:val="0"/>
          <w:numId w:val="1025"/>
        </w:numPr>
      </w:pPr>
      <w:r>
        <w:t xml:space="preserve">высокий operational risk;</w:t>
      </w:r>
    </w:p>
    <w:p>
      <w:pPr>
        <w:pStyle w:val="Compact"/>
        <w:numPr>
          <w:ilvl w:val="0"/>
          <w:numId w:val="1025"/>
        </w:numPr>
      </w:pPr>
      <w:r>
        <w:t xml:space="preserve">отсутствие redundancy;</w:t>
      </w:r>
    </w:p>
    <w:p>
      <w:pPr>
        <w:pStyle w:val="Compact"/>
        <w:numPr>
          <w:ilvl w:val="0"/>
          <w:numId w:val="1025"/>
        </w:numPr>
      </w:pPr>
      <w:r>
        <w:t xml:space="preserve">высокий риск выгорания.</w:t>
      </w:r>
    </w:p>
    <w:p>
      <w:r>
        <w:pict>
          <v:rect style="width:0;height:1.5pt" o:hralign="center" o:hrstd="t" o:hr="t"/>
        </w:pict>
      </w:r>
    </w:p>
    <w:bookmarkEnd w:id="43"/>
    <w:bookmarkStart w:id="44" w:name="X245ab21f1d5d63679dd2c7e54960cbbde15fa95"/>
    <w:p>
      <w:pPr>
        <w:pStyle w:val="Heading2"/>
      </w:pPr>
      <w:r>
        <w:t xml:space="preserve">2. Отсутствие собственной операционной инфраструктуры</w:t>
      </w:r>
    </w:p>
    <w:p>
      <w:pPr>
        <w:pStyle w:val="FirstParagraph"/>
      </w:pPr>
      <w:r>
        <w:t xml:space="preserve">Компания зависит:</w:t>
      </w:r>
    </w:p>
    <w:p>
      <w:pPr>
        <w:pStyle w:val="Compact"/>
        <w:numPr>
          <w:ilvl w:val="0"/>
          <w:numId w:val="1026"/>
        </w:numPr>
      </w:pPr>
      <w:r>
        <w:t xml:space="preserve">от внешних брокеров;</w:t>
      </w:r>
    </w:p>
    <w:p>
      <w:pPr>
        <w:pStyle w:val="Compact"/>
        <w:numPr>
          <w:ilvl w:val="0"/>
          <w:numId w:val="1026"/>
        </w:numPr>
      </w:pPr>
      <w:r>
        <w:t xml:space="preserve">от их скорости;</w:t>
      </w:r>
    </w:p>
    <w:p>
      <w:pPr>
        <w:pStyle w:val="Compact"/>
        <w:numPr>
          <w:ilvl w:val="0"/>
          <w:numId w:val="1026"/>
        </w:numPr>
      </w:pPr>
      <w:r>
        <w:t xml:space="preserve">от их SLA;</w:t>
      </w:r>
    </w:p>
    <w:p>
      <w:pPr>
        <w:pStyle w:val="Compact"/>
        <w:numPr>
          <w:ilvl w:val="0"/>
          <w:numId w:val="1026"/>
        </w:numPr>
      </w:pPr>
      <w:r>
        <w:t xml:space="preserve">от их приоритетов.</w:t>
      </w:r>
    </w:p>
    <w:p>
      <w:r>
        <w:pict>
          <v:rect style="width:0;height:1.5pt" o:hralign="center" o:hrstd="t" o:hr="t"/>
        </w:pict>
      </w:r>
    </w:p>
    <w:bookmarkEnd w:id="44"/>
    <w:bookmarkStart w:id="45" w:name="отсутствие-продаж"/>
    <w:p>
      <w:pPr>
        <w:pStyle w:val="Heading2"/>
      </w:pPr>
      <w:r>
        <w:t xml:space="preserve">3. Отсутствие продаж</w:t>
      </w:r>
    </w:p>
    <w:p>
      <w:pPr>
        <w:pStyle w:val="FirstParagraph"/>
      </w:pPr>
      <w:r>
        <w:t xml:space="preserve">Нет:</w:t>
      </w:r>
    </w:p>
    <w:p>
      <w:pPr>
        <w:pStyle w:val="Compact"/>
        <w:numPr>
          <w:ilvl w:val="0"/>
          <w:numId w:val="1027"/>
        </w:numPr>
      </w:pPr>
      <w:r>
        <w:t xml:space="preserve">B2B sales;</w:t>
      </w:r>
    </w:p>
    <w:p>
      <w:pPr>
        <w:pStyle w:val="Compact"/>
        <w:numPr>
          <w:ilvl w:val="0"/>
          <w:numId w:val="1027"/>
        </w:numPr>
      </w:pPr>
      <w:r>
        <w:t xml:space="preserve">офлайн-продаж;</w:t>
      </w:r>
    </w:p>
    <w:p>
      <w:pPr>
        <w:pStyle w:val="Compact"/>
        <w:numPr>
          <w:ilvl w:val="0"/>
          <w:numId w:val="1027"/>
        </w:numPr>
      </w:pPr>
      <w:r>
        <w:t xml:space="preserve">лидогенерации;</w:t>
      </w:r>
    </w:p>
    <w:p>
      <w:pPr>
        <w:pStyle w:val="Compact"/>
        <w:numPr>
          <w:ilvl w:val="0"/>
          <w:numId w:val="1027"/>
        </w:numPr>
      </w:pPr>
      <w:r>
        <w:t xml:space="preserve">локального networking.</w:t>
      </w:r>
    </w:p>
    <w:p>
      <w:r>
        <w:pict>
          <v:rect style="width:0;height:1.5pt" o:hralign="center" o:hrstd="t" o:hr="t"/>
        </w:pict>
      </w:r>
    </w:p>
    <w:bookmarkEnd w:id="45"/>
    <w:bookmarkStart w:id="46" w:name="X5ac90a5e6d7543d3671163a495260b345229ed1"/>
    <w:p>
      <w:pPr>
        <w:pStyle w:val="Heading2"/>
      </w:pPr>
      <w:r>
        <w:t xml:space="preserve">4. Отсутствие локального польского присутствия</w:t>
      </w:r>
    </w:p>
    <w:p>
      <w:pPr>
        <w:pStyle w:val="FirstParagraph"/>
      </w:pPr>
      <w:r>
        <w:t xml:space="preserve">Главная проблема польского рынка:</w:t>
      </w:r>
    </w:p>
    <w:p>
      <w:pPr>
        <w:pStyle w:val="Compact"/>
        <w:numPr>
          <w:ilvl w:val="0"/>
          <w:numId w:val="1028"/>
        </w:numPr>
      </w:pPr>
      <w:r>
        <w:t xml:space="preserve">язык;</w:t>
      </w:r>
    </w:p>
    <w:p>
      <w:pPr>
        <w:pStyle w:val="Compact"/>
        <w:numPr>
          <w:ilvl w:val="0"/>
          <w:numId w:val="1028"/>
        </w:numPr>
      </w:pPr>
      <w:r>
        <w:t xml:space="preserve">коммуникация;</w:t>
      </w:r>
    </w:p>
    <w:p>
      <w:pPr>
        <w:pStyle w:val="Compact"/>
        <w:numPr>
          <w:ilvl w:val="0"/>
          <w:numId w:val="1028"/>
        </w:numPr>
      </w:pPr>
      <w:r>
        <w:t xml:space="preserve">доверие;</w:t>
      </w:r>
    </w:p>
    <w:p>
      <w:pPr>
        <w:pStyle w:val="Compact"/>
        <w:numPr>
          <w:ilvl w:val="0"/>
          <w:numId w:val="1028"/>
        </w:numPr>
      </w:pPr>
      <w:r>
        <w:t xml:space="preserve">локальные отношения.</w:t>
      </w:r>
    </w:p>
    <w:p>
      <w:pPr>
        <w:pStyle w:val="FirstParagraph"/>
      </w:pPr>
      <w:r>
        <w:t xml:space="preserve">Компания пока:</w:t>
      </w:r>
    </w:p>
    <w:p>
      <w:pPr>
        <w:pStyle w:val="Compact"/>
        <w:numPr>
          <w:ilvl w:val="0"/>
          <w:numId w:val="1029"/>
        </w:numPr>
      </w:pPr>
      <w:r>
        <w:t xml:space="preserve">не интегрирована в польскую страховую среду.</w:t>
      </w:r>
    </w:p>
    <w:p>
      <w:r>
        <w:pict>
          <v:rect style="width:0;height:1.5pt" o:hralign="center" o:hrstd="t" o:hr="t"/>
        </w:pict>
      </w:r>
    </w:p>
    <w:bookmarkEnd w:id="46"/>
    <w:bookmarkStart w:id="47" w:name="медленные-процессы"/>
    <w:p>
      <w:pPr>
        <w:pStyle w:val="Heading2"/>
      </w:pPr>
      <w:r>
        <w:t xml:space="preserve">5. Медленные процессы</w:t>
      </w:r>
    </w:p>
    <w:p>
      <w:pPr>
        <w:pStyle w:val="FirstParagraph"/>
      </w:pPr>
      <w:r>
        <w:t xml:space="preserve">Сроки:</w:t>
      </w:r>
    </w:p>
    <w:p>
      <w:pPr>
        <w:pStyle w:val="Compact"/>
        <w:numPr>
          <w:ilvl w:val="0"/>
          <w:numId w:val="1030"/>
        </w:numPr>
      </w:pPr>
      <w:r>
        <w:t xml:space="preserve">расчёта;</w:t>
      </w:r>
    </w:p>
    <w:p>
      <w:pPr>
        <w:pStyle w:val="Compact"/>
        <w:numPr>
          <w:ilvl w:val="0"/>
          <w:numId w:val="1030"/>
        </w:numPr>
      </w:pPr>
      <w:r>
        <w:t xml:space="preserve">согласования;</w:t>
      </w:r>
    </w:p>
    <w:p>
      <w:pPr>
        <w:pStyle w:val="Compact"/>
        <w:numPr>
          <w:ilvl w:val="0"/>
          <w:numId w:val="1030"/>
        </w:numPr>
      </w:pPr>
      <w:r>
        <w:t xml:space="preserve">выпуска</w:t>
      </w:r>
    </w:p>
    <w:p>
      <w:pPr>
        <w:pStyle w:val="FirstParagraph"/>
      </w:pPr>
      <w:r>
        <w:t xml:space="preserve">слишком большие.</w:t>
      </w:r>
    </w:p>
    <w:p>
      <w:pPr>
        <w:pStyle w:val="BodyText"/>
      </w:pPr>
      <w:r>
        <w:t xml:space="preserve">Это ограничивает продажи.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организационная-структура"/>
    <w:p>
      <w:pPr>
        <w:pStyle w:val="Heading1"/>
      </w:pPr>
      <w:r>
        <w:t xml:space="preserve">6. Организационная структура</w:t>
      </w:r>
    </w:p>
    <w:bookmarkStart w:id="52" w:name="текущая-структура"/>
    <w:p>
      <w:pPr>
        <w:pStyle w:val="Heading2"/>
      </w:pPr>
      <w:r>
        <w:t xml:space="preserve">Текущая структура</w:t>
      </w:r>
    </w:p>
    <w:bookmarkStart w:id="49" w:name="учредитель-директор"/>
    <w:p>
      <w:pPr>
        <w:pStyle w:val="Heading3"/>
      </w:pPr>
      <w:r>
        <w:t xml:space="preserve">Учредитель / директор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1"/>
        </w:numPr>
      </w:pPr>
      <w:r>
        <w:t xml:space="preserve">стратегическое видение;</w:t>
      </w:r>
    </w:p>
    <w:p>
      <w:pPr>
        <w:pStyle w:val="Compact"/>
        <w:numPr>
          <w:ilvl w:val="0"/>
          <w:numId w:val="1031"/>
        </w:numPr>
      </w:pPr>
      <w:r>
        <w:t xml:space="preserve">развитие.</w:t>
      </w:r>
    </w:p>
    <w:p>
      <w:r>
        <w:pict>
          <v:rect style="width:0;height:1.5pt" o:hralign="center" o:hrstd="t" o:hr="t"/>
        </w:pict>
      </w:r>
    </w:p>
    <w:bookmarkEnd w:id="49"/>
    <w:bookmarkStart w:id="50" w:name="анацко-с."/>
    <w:p>
      <w:pPr>
        <w:pStyle w:val="Heading3"/>
      </w:pPr>
      <w:r>
        <w:t xml:space="preserve">Анацко С.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2"/>
        </w:numPr>
      </w:pPr>
      <w:r>
        <w:t xml:space="preserve">IT;</w:t>
      </w:r>
    </w:p>
    <w:p>
      <w:pPr>
        <w:pStyle w:val="Compact"/>
        <w:numPr>
          <w:ilvl w:val="0"/>
          <w:numId w:val="1032"/>
        </w:numPr>
      </w:pPr>
      <w:r>
        <w:t xml:space="preserve">координация;</w:t>
      </w:r>
    </w:p>
    <w:p>
      <w:pPr>
        <w:pStyle w:val="Compact"/>
        <w:numPr>
          <w:ilvl w:val="0"/>
          <w:numId w:val="1032"/>
        </w:numPr>
      </w:pPr>
      <w:r>
        <w:t xml:space="preserve">выпуск;</w:t>
      </w:r>
    </w:p>
    <w:p>
      <w:pPr>
        <w:pStyle w:val="Compact"/>
        <w:numPr>
          <w:ilvl w:val="0"/>
          <w:numId w:val="1032"/>
        </w:numPr>
      </w:pPr>
      <w:r>
        <w:t xml:space="preserve">взаимодействие со страховыми;</w:t>
      </w:r>
    </w:p>
    <w:p>
      <w:pPr>
        <w:pStyle w:val="Compact"/>
        <w:numPr>
          <w:ilvl w:val="0"/>
          <w:numId w:val="1032"/>
        </w:numPr>
      </w:pPr>
      <w:r>
        <w:t xml:space="preserve">коммуникация;</w:t>
      </w:r>
    </w:p>
    <w:p>
      <w:pPr>
        <w:pStyle w:val="Compact"/>
        <w:numPr>
          <w:ilvl w:val="0"/>
          <w:numId w:val="1032"/>
        </w:numPr>
      </w:pPr>
      <w:r>
        <w:t xml:space="preserve">операционная деятельность;</w:t>
      </w:r>
    </w:p>
    <w:p>
      <w:pPr>
        <w:pStyle w:val="Compact"/>
        <w:numPr>
          <w:ilvl w:val="0"/>
          <w:numId w:val="1032"/>
        </w:numPr>
      </w:pPr>
      <w:r>
        <w:t xml:space="preserve">финансовая координация.</w:t>
      </w:r>
    </w:p>
    <w:p>
      <w:pPr>
        <w:pStyle w:val="FirstParagraph"/>
      </w:pPr>
      <w:r>
        <w:t xml:space="preserve">Фактически роль:</w:t>
      </w:r>
    </w:p>
    <w:p>
      <w:pPr>
        <w:pStyle w:val="Compact"/>
        <w:numPr>
          <w:ilvl w:val="0"/>
          <w:numId w:val="1033"/>
        </w:numPr>
      </w:pPr>
      <w:r>
        <w:t xml:space="preserve">COO + operations + IT + sales support.</w:t>
      </w:r>
    </w:p>
    <w:p>
      <w:r>
        <w:pict>
          <v:rect style="width:0;height:1.5pt" o:hralign="center" o:hrstd="t" o:hr="t"/>
        </w:pict>
      </w:r>
    </w:p>
    <w:bookmarkEnd w:id="50"/>
    <w:bookmarkStart w:id="51" w:name="бухгалтер"/>
    <w:p>
      <w:pPr>
        <w:pStyle w:val="Heading3"/>
      </w:pPr>
      <w:r>
        <w:t xml:space="preserve">Бухгалтер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4"/>
        </w:numPr>
      </w:pPr>
      <w:r>
        <w:t xml:space="preserve">бухгалтерия;</w:t>
      </w:r>
    </w:p>
    <w:p>
      <w:pPr>
        <w:pStyle w:val="Compact"/>
        <w:numPr>
          <w:ilvl w:val="0"/>
          <w:numId w:val="1034"/>
        </w:numPr>
      </w:pPr>
      <w:r>
        <w:t xml:space="preserve">отчётность.</w:t>
      </w:r>
    </w:p>
    <w:p>
      <w:pPr>
        <w:pStyle w:val="FirstParagraph"/>
      </w:pPr>
      <w:r>
        <w:t xml:space="preserve">Формат:</w:t>
      </w:r>
    </w:p>
    <w:p>
      <w:pPr>
        <w:pStyle w:val="Compact"/>
        <w:numPr>
          <w:ilvl w:val="0"/>
          <w:numId w:val="1035"/>
        </w:numPr>
      </w:pPr>
      <w:r>
        <w:t xml:space="preserve">аутсорс.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планируемый-штат"/>
    <w:p>
      <w:pPr>
        <w:pStyle w:val="Heading1"/>
      </w:pPr>
      <w:r>
        <w:t xml:space="preserve">7. Планируемый штат</w:t>
      </w:r>
    </w:p>
    <w:bookmarkStart w:id="54" w:name="планируемые-роли"/>
    <w:p>
      <w:pPr>
        <w:pStyle w:val="Heading2"/>
      </w:pPr>
      <w:r>
        <w:t xml:space="preserve">Планируемые роли</w:t>
      </w:r>
    </w:p>
    <w:p>
      <w:pPr>
        <w:pStyle w:val="Compact"/>
        <w:numPr>
          <w:ilvl w:val="0"/>
          <w:numId w:val="1036"/>
        </w:numPr>
      </w:pPr>
      <w:r>
        <w:t xml:space="preserve">2 оператора в РБ;</w:t>
      </w:r>
    </w:p>
    <w:p>
      <w:pPr>
        <w:pStyle w:val="Compact"/>
        <w:numPr>
          <w:ilvl w:val="0"/>
          <w:numId w:val="1036"/>
        </w:numPr>
      </w:pPr>
      <w:r>
        <w:t xml:space="preserve">B2B sales / partner manager;</w:t>
      </w:r>
    </w:p>
    <w:p>
      <w:pPr>
        <w:pStyle w:val="Compact"/>
        <w:numPr>
          <w:ilvl w:val="0"/>
          <w:numId w:val="1036"/>
        </w:numPr>
      </w:pPr>
      <w:r>
        <w:t xml:space="preserve">специалист по работе со страховыми;</w:t>
      </w:r>
    </w:p>
    <w:p>
      <w:pPr>
        <w:pStyle w:val="Compact"/>
        <w:numPr>
          <w:ilvl w:val="0"/>
          <w:numId w:val="1036"/>
        </w:numPr>
      </w:pPr>
      <w:r>
        <w:t xml:space="preserve">бухгалтер;</w:t>
      </w:r>
    </w:p>
    <w:p>
      <w:pPr>
        <w:pStyle w:val="Compact"/>
        <w:numPr>
          <w:ilvl w:val="0"/>
          <w:numId w:val="1036"/>
        </w:numPr>
      </w:pPr>
      <w:r>
        <w:t xml:space="preserve">директор / учредитель;</w:t>
      </w:r>
    </w:p>
    <w:p>
      <w:pPr>
        <w:pStyle w:val="Compact"/>
        <w:numPr>
          <w:ilvl w:val="0"/>
          <w:numId w:val="1036"/>
        </w:numPr>
      </w:pPr>
      <w:r>
        <w:t xml:space="preserve">IT на аутсорсе.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оценка-найма"/>
    <w:p>
      <w:pPr>
        <w:pStyle w:val="Heading1"/>
      </w:pPr>
      <w:r>
        <w:t xml:space="preserve">8. Оценка найма</w:t>
      </w:r>
    </w:p>
    <w:bookmarkStart w:id="59" w:name="что-нужно-нанимать-первым"/>
    <w:p>
      <w:pPr>
        <w:pStyle w:val="Heading2"/>
      </w:pPr>
      <w:r>
        <w:t xml:space="preserve">Что нужно нанимать первым</w:t>
      </w:r>
    </w:p>
    <w:bookmarkStart w:id="56" w:name="b2b-sales-partner-manager"/>
    <w:p>
      <w:pPr>
        <w:pStyle w:val="Heading3"/>
      </w:pPr>
      <w:r>
        <w:t xml:space="preserve">1. B2B Sales / Partner Manager</w:t>
      </w:r>
    </w:p>
    <w:p>
      <w:pPr>
        <w:pStyle w:val="FirstParagraph"/>
      </w:pPr>
      <w:r>
        <w:t xml:space="preserve">Ключевая роль.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37"/>
        </w:numPr>
      </w:pPr>
      <w:r>
        <w:t xml:space="preserve">поиск перевозчиков;</w:t>
      </w:r>
    </w:p>
    <w:p>
      <w:pPr>
        <w:pStyle w:val="Compact"/>
        <w:numPr>
          <w:ilvl w:val="0"/>
          <w:numId w:val="1037"/>
        </w:numPr>
      </w:pPr>
      <w:r>
        <w:t xml:space="preserve">личные встречи;</w:t>
      </w:r>
    </w:p>
    <w:p>
      <w:pPr>
        <w:pStyle w:val="Compact"/>
        <w:numPr>
          <w:ilvl w:val="0"/>
          <w:numId w:val="1037"/>
        </w:numPr>
      </w:pPr>
      <w:r>
        <w:t xml:space="preserve">поиск партнёров;</w:t>
      </w:r>
    </w:p>
    <w:p>
      <w:pPr>
        <w:pStyle w:val="Compact"/>
        <w:numPr>
          <w:ilvl w:val="0"/>
          <w:numId w:val="1037"/>
        </w:numPr>
      </w:pPr>
      <w:r>
        <w:t xml:space="preserve">развитие B2B;</w:t>
      </w:r>
    </w:p>
    <w:p>
      <w:pPr>
        <w:pStyle w:val="Compact"/>
        <w:numPr>
          <w:ilvl w:val="0"/>
          <w:numId w:val="1037"/>
        </w:numPr>
      </w:pPr>
      <w:r>
        <w:t xml:space="preserve">networking в Польше.</w:t>
      </w:r>
    </w:p>
    <w:p>
      <w:pPr>
        <w:pStyle w:val="FirstParagraph"/>
      </w:pPr>
      <w:r>
        <w:t xml:space="preserve">Это сейчас главный bottleneck компании.</w:t>
      </w:r>
    </w:p>
    <w:p>
      <w:r>
        <w:pict>
          <v:rect style="width:0;height:1.5pt" o:hralign="center" o:hrstd="t" o:hr="t"/>
        </w:pict>
      </w:r>
    </w:p>
    <w:bookmarkEnd w:id="56"/>
    <w:bookmarkStart w:id="57" w:name="операторы"/>
    <w:p>
      <w:pPr>
        <w:pStyle w:val="Heading3"/>
      </w:pPr>
      <w:r>
        <w:t xml:space="preserve">2. Операторы</w:t>
      </w:r>
    </w:p>
    <w:p>
      <w:pPr>
        <w:pStyle w:val="FirstParagraph"/>
      </w:pPr>
      <w:r>
        <w:t xml:space="preserve">Цели:</w:t>
      </w:r>
    </w:p>
    <w:p>
      <w:pPr>
        <w:pStyle w:val="Compact"/>
        <w:numPr>
          <w:ilvl w:val="0"/>
          <w:numId w:val="1038"/>
        </w:numPr>
      </w:pPr>
      <w:r>
        <w:t xml:space="preserve">обработка лидов;</w:t>
      </w:r>
    </w:p>
    <w:p>
      <w:pPr>
        <w:pStyle w:val="Compact"/>
        <w:numPr>
          <w:ilvl w:val="0"/>
          <w:numId w:val="1038"/>
        </w:numPr>
      </w:pPr>
      <w:r>
        <w:t xml:space="preserve">скорость коммуникации;</w:t>
      </w:r>
    </w:p>
    <w:p>
      <w:pPr>
        <w:pStyle w:val="Compact"/>
        <w:numPr>
          <w:ilvl w:val="0"/>
          <w:numId w:val="1038"/>
        </w:numPr>
      </w:pPr>
      <w:r>
        <w:t xml:space="preserve">SLA;</w:t>
      </w:r>
    </w:p>
    <w:p>
      <w:pPr>
        <w:pStyle w:val="Compact"/>
        <w:numPr>
          <w:ilvl w:val="0"/>
          <w:numId w:val="1038"/>
        </w:numPr>
      </w:pPr>
      <w:r>
        <w:t xml:space="preserve">выпуск;</w:t>
      </w:r>
    </w:p>
    <w:p>
      <w:pPr>
        <w:pStyle w:val="Compact"/>
        <w:numPr>
          <w:ilvl w:val="0"/>
          <w:numId w:val="1038"/>
        </w:numPr>
      </w:pPr>
      <w:r>
        <w:t xml:space="preserve">сопровождение.</w:t>
      </w:r>
    </w:p>
    <w:p>
      <w:r>
        <w:pict>
          <v:rect style="width:0;height:1.5pt" o:hralign="center" o:hrstd="t" o:hr="t"/>
        </w:pict>
      </w:r>
    </w:p>
    <w:bookmarkEnd w:id="57"/>
    <w:bookmarkStart w:id="58" w:name="Xbf78a4e33a2fb49d3c13f6de1942dfc6eaf6ea6"/>
    <w:p>
      <w:pPr>
        <w:pStyle w:val="Heading3"/>
      </w:pPr>
      <w:r>
        <w:t xml:space="preserve">3. Специалист по взаимодействию со страховыми</w:t>
      </w:r>
    </w:p>
    <w:p>
      <w:pPr>
        <w:pStyle w:val="FirstParagraph"/>
      </w:pPr>
      <w:r>
        <w:t xml:space="preserve">Позже.</w:t>
      </w:r>
    </w:p>
    <w:p>
      <w:pPr>
        <w:pStyle w:val="BodyText"/>
      </w:pPr>
      <w:r>
        <w:t xml:space="preserve">Но:</w:t>
      </w:r>
    </w:p>
    <w:p>
      <w:pPr>
        <w:pStyle w:val="Compact"/>
        <w:numPr>
          <w:ilvl w:val="0"/>
          <w:numId w:val="1039"/>
        </w:numPr>
      </w:pPr>
      <w:r>
        <w:t xml:space="preserve">критически важен для перехода к собственной брокерской модели.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что-пока-рано-нанимать"/>
    <w:p>
      <w:pPr>
        <w:pStyle w:val="Heading2"/>
      </w:pPr>
      <w:r>
        <w:t xml:space="preserve">Что пока рано нанимать</w:t>
      </w:r>
    </w:p>
    <w:bookmarkStart w:id="60" w:name="управленец"/>
    <w:p>
      <w:pPr>
        <w:pStyle w:val="Heading3"/>
      </w:pPr>
      <w:r>
        <w:t xml:space="preserve">Управленец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40"/>
        </w:numPr>
      </w:pPr>
      <w:r>
        <w:t xml:space="preserve">пока отсутствует масштаб;</w:t>
      </w:r>
    </w:p>
    <w:p>
      <w:pPr>
        <w:pStyle w:val="Compact"/>
        <w:numPr>
          <w:ilvl w:val="0"/>
          <w:numId w:val="1040"/>
        </w:numPr>
      </w:pPr>
      <w:r>
        <w:t xml:space="preserve">нет большого штата;</w:t>
      </w:r>
    </w:p>
    <w:p>
      <w:pPr>
        <w:pStyle w:val="Compact"/>
        <w:numPr>
          <w:ilvl w:val="0"/>
          <w:numId w:val="1040"/>
        </w:numPr>
      </w:pPr>
      <w:r>
        <w:t xml:space="preserve">нет сложной структуры.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41"/>
        </w:numPr>
      </w:pPr>
      <w:r>
        <w:t xml:space="preserve">overhead без revenue.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стратегия-развития"/>
    <w:p>
      <w:pPr>
        <w:pStyle w:val="Heading1"/>
      </w:pPr>
      <w:r>
        <w:t xml:space="preserve">9. Стратегия развития</w:t>
      </w:r>
    </w:p>
    <w:bookmarkStart w:id="63" w:name="основная-стратегия"/>
    <w:p>
      <w:pPr>
        <w:pStyle w:val="Heading2"/>
      </w:pPr>
      <w:r>
        <w:t xml:space="preserve">Основная стратегия</w:t>
      </w:r>
    </w:p>
    <w:p>
      <w:pPr>
        <w:pStyle w:val="FirstParagraph"/>
      </w:pPr>
      <w:r>
        <w:t xml:space="preserve">SINEDIS не должна оставаться:</w:t>
      </w:r>
    </w:p>
    <w:p>
      <w:pPr>
        <w:pStyle w:val="Compact"/>
        <w:numPr>
          <w:ilvl w:val="0"/>
          <w:numId w:val="1042"/>
        </w:numPr>
      </w:pPr>
      <w:r>
        <w:t xml:space="preserve">lead-generation компанией;</w:t>
      </w:r>
    </w:p>
    <w:p>
      <w:pPr>
        <w:pStyle w:val="Compact"/>
        <w:numPr>
          <w:ilvl w:val="0"/>
          <w:numId w:val="1042"/>
        </w:numPr>
      </w:pPr>
      <w:r>
        <w:t xml:space="preserve">посредником между клиентом и чужими брокерами.</w:t>
      </w:r>
    </w:p>
    <w:p>
      <w:pPr>
        <w:pStyle w:val="FirstParagraph"/>
      </w:pPr>
      <w:r>
        <w:t xml:space="preserve">Компания должна развиваться как:</w:t>
      </w:r>
    </w:p>
    <w:p>
      <w:pPr>
        <w:pStyle w:val="Compact"/>
        <w:numPr>
          <w:ilvl w:val="0"/>
          <w:numId w:val="1043"/>
        </w:numPr>
      </w:pPr>
      <w:r>
        <w:t xml:space="preserve">собственный специализированный страховой брокер;</w:t>
      </w:r>
    </w:p>
    <w:p>
      <w:pPr>
        <w:pStyle w:val="Compact"/>
        <w:numPr>
          <w:ilvl w:val="0"/>
          <w:numId w:val="1043"/>
        </w:numPr>
      </w:pPr>
      <w:r>
        <w:t xml:space="preserve">B2B-платформа для международной логистики;</w:t>
      </w:r>
    </w:p>
    <w:p>
      <w:pPr>
        <w:pStyle w:val="Compact"/>
        <w:numPr>
          <w:ilvl w:val="0"/>
          <w:numId w:val="1043"/>
        </w:numPr>
      </w:pPr>
      <w:r>
        <w:t xml:space="preserve">cross-border insurance ecosystem.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целевые-направления"/>
    <w:p>
      <w:pPr>
        <w:pStyle w:val="Heading1"/>
      </w:pPr>
      <w:r>
        <w:t xml:space="preserve">10. Целевые направления</w:t>
      </w:r>
    </w:p>
    <w:bookmarkStart w:id="66" w:name="что-развивать"/>
    <w:p>
      <w:pPr>
        <w:pStyle w:val="Heading2"/>
      </w:pPr>
      <w:r>
        <w:t xml:space="preserve">Что развивать</w:t>
      </w:r>
    </w:p>
    <w:bookmarkStart w:id="65" w:name="основное-ядро"/>
    <w:p>
      <w:pPr>
        <w:pStyle w:val="Heading3"/>
      </w:pPr>
      <w:r>
        <w:t xml:space="preserve">Основное ядро</w:t>
      </w:r>
    </w:p>
    <w:p>
      <w:pPr>
        <w:pStyle w:val="Compact"/>
        <w:numPr>
          <w:ilvl w:val="0"/>
          <w:numId w:val="1044"/>
        </w:numPr>
      </w:pPr>
      <w:r>
        <w:t xml:space="preserve">OC;</w:t>
      </w:r>
    </w:p>
    <w:p>
      <w:pPr>
        <w:pStyle w:val="Compact"/>
        <w:numPr>
          <w:ilvl w:val="0"/>
          <w:numId w:val="1044"/>
        </w:numPr>
      </w:pPr>
      <w:r>
        <w:t xml:space="preserve">AC;</w:t>
      </w:r>
    </w:p>
    <w:p>
      <w:pPr>
        <w:pStyle w:val="Compact"/>
        <w:numPr>
          <w:ilvl w:val="0"/>
          <w:numId w:val="1044"/>
        </w:numPr>
      </w:pPr>
      <w:r>
        <w:t xml:space="preserve">ZK;</w:t>
      </w:r>
    </w:p>
    <w:p>
      <w:pPr>
        <w:pStyle w:val="Compact"/>
        <w:numPr>
          <w:ilvl w:val="0"/>
          <w:numId w:val="1044"/>
        </w:numPr>
      </w:pPr>
      <w:r>
        <w:t xml:space="preserve">OCPD;</w:t>
      </w:r>
    </w:p>
    <w:p>
      <w:pPr>
        <w:pStyle w:val="Compact"/>
        <w:numPr>
          <w:ilvl w:val="0"/>
          <w:numId w:val="1044"/>
        </w:numPr>
      </w:pPr>
      <w:r>
        <w:t xml:space="preserve">cargo insurance;</w:t>
      </w:r>
    </w:p>
    <w:p>
      <w:pPr>
        <w:pStyle w:val="Compact"/>
        <w:numPr>
          <w:ilvl w:val="0"/>
          <w:numId w:val="1044"/>
        </w:numPr>
      </w:pPr>
      <w:r>
        <w:t xml:space="preserve">ответственность перевозчиков;</w:t>
      </w:r>
    </w:p>
    <w:p>
      <w:pPr>
        <w:pStyle w:val="Compact"/>
        <w:numPr>
          <w:ilvl w:val="0"/>
          <w:numId w:val="1044"/>
        </w:numPr>
      </w:pPr>
      <w:r>
        <w:t xml:space="preserve">страхование рисков;</w:t>
      </w:r>
    </w:p>
    <w:p>
      <w:pPr>
        <w:pStyle w:val="Compact"/>
        <w:numPr>
          <w:ilvl w:val="0"/>
          <w:numId w:val="1044"/>
        </w:numPr>
      </w:pPr>
      <w:r>
        <w:t xml:space="preserve">страхование имущества бизнеса;</w:t>
      </w:r>
    </w:p>
    <w:p>
      <w:pPr>
        <w:pStyle w:val="Compact"/>
        <w:numPr>
          <w:ilvl w:val="0"/>
          <w:numId w:val="1044"/>
        </w:numPr>
      </w:pPr>
      <w:r>
        <w:t xml:space="preserve">жизнь и здоровье для B2B-сегмента.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что-не-развивать"/>
    <w:p>
      <w:pPr>
        <w:pStyle w:val="Heading2"/>
      </w:pPr>
      <w:r>
        <w:t xml:space="preserve">Что НЕ развивать</w:t>
      </w:r>
    </w:p>
    <w:p>
      <w:pPr>
        <w:pStyle w:val="Compact"/>
        <w:numPr>
          <w:ilvl w:val="0"/>
          <w:numId w:val="1045"/>
        </w:numPr>
      </w:pPr>
      <w:r>
        <w:t xml:space="preserve">имущество физлиц;</w:t>
      </w:r>
    </w:p>
    <w:p>
      <w:pPr>
        <w:pStyle w:val="Compact"/>
        <w:numPr>
          <w:ilvl w:val="0"/>
          <w:numId w:val="1045"/>
        </w:numPr>
      </w:pPr>
      <w:r>
        <w:t xml:space="preserve">массовый retail;</w:t>
      </w:r>
    </w:p>
    <w:p>
      <w:pPr>
        <w:pStyle w:val="Compact"/>
        <w:numPr>
          <w:ilvl w:val="0"/>
          <w:numId w:val="1045"/>
        </w:numPr>
      </w:pPr>
      <w:r>
        <w:t xml:space="preserve">low-margin продукты;</w:t>
      </w:r>
    </w:p>
    <w:p>
      <w:pPr>
        <w:pStyle w:val="Compact"/>
        <w:numPr>
          <w:ilvl w:val="0"/>
          <w:numId w:val="1045"/>
        </w:numPr>
      </w:pPr>
      <w:r>
        <w:t xml:space="preserve">сложные польские продукты без локальной команды.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продажи"/>
    <w:p>
      <w:pPr>
        <w:pStyle w:val="Heading1"/>
      </w:pPr>
      <w:r>
        <w:t xml:space="preserve">11. Продажи</w:t>
      </w:r>
    </w:p>
    <w:bookmarkStart w:id="69" w:name="основная-модель"/>
    <w:p>
      <w:pPr>
        <w:pStyle w:val="Heading2"/>
      </w:pPr>
      <w:r>
        <w:t xml:space="preserve">Основная модель</w:t>
      </w:r>
    </w:p>
    <w:p>
      <w:pPr>
        <w:pStyle w:val="Compact"/>
        <w:numPr>
          <w:ilvl w:val="0"/>
          <w:numId w:val="1046"/>
        </w:numPr>
      </w:pPr>
      <w:r>
        <w:t xml:space="preserve">прямые B2B-продажи;</w:t>
      </w:r>
    </w:p>
    <w:p>
      <w:pPr>
        <w:pStyle w:val="Compact"/>
        <w:numPr>
          <w:ilvl w:val="0"/>
          <w:numId w:val="1046"/>
        </w:numPr>
      </w:pPr>
      <w:r>
        <w:t xml:space="preserve">relationship sales;</w:t>
      </w:r>
    </w:p>
    <w:p>
      <w:pPr>
        <w:pStyle w:val="Compact"/>
        <w:numPr>
          <w:ilvl w:val="0"/>
          <w:numId w:val="1046"/>
        </w:numPr>
      </w:pPr>
      <w:r>
        <w:t xml:space="preserve">networking;</w:t>
      </w:r>
    </w:p>
    <w:p>
      <w:pPr>
        <w:pStyle w:val="Compact"/>
        <w:numPr>
          <w:ilvl w:val="0"/>
          <w:numId w:val="1046"/>
        </w:numPr>
      </w:pPr>
      <w:r>
        <w:t xml:space="preserve">IT как усиление продаж.</w:t>
      </w:r>
    </w:p>
    <w:p>
      <w:r>
        <w:pict>
          <v:rect style="width:0;height:1.5pt" o:hralign="center" o:hrstd="t" o:hr="t"/>
        </w:pict>
      </w:r>
    </w:p>
    <w:bookmarkEnd w:id="69"/>
    <w:bookmarkStart w:id="70" w:name="главная-проблема"/>
    <w:p>
      <w:pPr>
        <w:pStyle w:val="Heading2"/>
      </w:pPr>
      <w:r>
        <w:t xml:space="preserve">Главная проблема</w:t>
      </w:r>
    </w:p>
    <w:p>
      <w:pPr>
        <w:pStyle w:val="FirstParagraph"/>
      </w:pPr>
      <w:r>
        <w:t xml:space="preserve">Компания пока:</w:t>
      </w:r>
    </w:p>
    <w:p>
      <w:pPr>
        <w:pStyle w:val="Compact"/>
        <w:numPr>
          <w:ilvl w:val="0"/>
          <w:numId w:val="1047"/>
        </w:numPr>
      </w:pPr>
      <w:r>
        <w:t xml:space="preserve">практически не продаёт;</w:t>
      </w:r>
    </w:p>
    <w:p>
      <w:pPr>
        <w:pStyle w:val="Compact"/>
        <w:numPr>
          <w:ilvl w:val="0"/>
          <w:numId w:val="1047"/>
        </w:numPr>
      </w:pPr>
      <w:r>
        <w:t xml:space="preserve">а сопровождает существующих клиентов.</w:t>
      </w:r>
    </w:p>
    <w:p>
      <w:r>
        <w:pict>
          <v:rect style="width:0;height:1.5pt" o:hralign="center" o:hrstd="t" o:hr="t"/>
        </w:pict>
      </w:r>
    </w:p>
    <w:bookmarkEnd w:id="70"/>
    <w:bookmarkStart w:id="71" w:name="ключевая-ошибка-которой-нужно-избежать"/>
    <w:p>
      <w:pPr>
        <w:pStyle w:val="Heading2"/>
      </w:pPr>
      <w:r>
        <w:t xml:space="preserve">Ключевая ошибка, которой нужно избежать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48"/>
        </w:numPr>
      </w:pPr>
      <w:r>
        <w:t xml:space="preserve">пытаться строить IT без sales.</w:t>
      </w:r>
    </w:p>
    <w:p>
      <w:pPr>
        <w:pStyle w:val="FirstParagraph"/>
      </w:pPr>
      <w:r>
        <w:t xml:space="preserve">Правильная модель:</w:t>
      </w:r>
    </w:p>
    <w:p>
      <w:pPr>
        <w:pStyle w:val="BodyText"/>
      </w:pPr>
      <w:r>
        <w:t xml:space="preserve">Sales-first + IT-enabled.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партнёрская-модель"/>
    <w:p>
      <w:pPr>
        <w:pStyle w:val="Heading1"/>
      </w:pPr>
      <w:r>
        <w:t xml:space="preserve">12. Партнёрская модель</w:t>
      </w:r>
    </w:p>
    <w:p>
      <w:pPr>
        <w:pStyle w:val="FirstParagraph"/>
      </w:pPr>
      <w:r>
        <w:t xml:space="preserve">Рекомендуемая модель:</w:t>
      </w:r>
    </w:p>
    <w:p>
      <w:pPr>
        <w:pStyle w:val="BodyText"/>
      </w:pPr>
      <w:r>
        <w:t xml:space="preserve">Не обычные страховые агенты.</w:t>
      </w:r>
    </w:p>
    <w:p>
      <w:pPr>
        <w:pStyle w:val="BodyText"/>
      </w:pPr>
      <w:r>
        <w:t xml:space="preserve">А:</w:t>
      </w:r>
    </w:p>
    <w:p>
      <w:pPr>
        <w:pStyle w:val="Compact"/>
        <w:numPr>
          <w:ilvl w:val="0"/>
          <w:numId w:val="1049"/>
        </w:numPr>
      </w:pPr>
      <w:r>
        <w:t xml:space="preserve">грузоперевозчики;</w:t>
      </w:r>
    </w:p>
    <w:p>
      <w:pPr>
        <w:pStyle w:val="Compact"/>
        <w:numPr>
          <w:ilvl w:val="0"/>
          <w:numId w:val="1049"/>
        </w:numPr>
      </w:pPr>
      <w:r>
        <w:t xml:space="preserve">логисты;</w:t>
      </w:r>
    </w:p>
    <w:p>
      <w:pPr>
        <w:pStyle w:val="Compact"/>
        <w:numPr>
          <w:ilvl w:val="0"/>
          <w:numId w:val="1049"/>
        </w:numPr>
      </w:pPr>
      <w:r>
        <w:t xml:space="preserve">транспортные компании;</w:t>
      </w:r>
    </w:p>
    <w:p>
      <w:pPr>
        <w:pStyle w:val="Compact"/>
        <w:numPr>
          <w:ilvl w:val="0"/>
          <w:numId w:val="1049"/>
        </w:numPr>
      </w:pPr>
      <w:r>
        <w:t xml:space="preserve">таможенные брокеры;</w:t>
      </w:r>
    </w:p>
    <w:p>
      <w:pPr>
        <w:pStyle w:val="Compact"/>
        <w:numPr>
          <w:ilvl w:val="0"/>
          <w:numId w:val="1049"/>
        </w:numPr>
      </w:pPr>
      <w:r>
        <w:t xml:space="preserve">сервисы для перевозчиков;</w:t>
      </w:r>
    </w:p>
    <w:p>
      <w:pPr>
        <w:pStyle w:val="Compact"/>
        <w:numPr>
          <w:ilvl w:val="0"/>
          <w:numId w:val="1049"/>
        </w:numPr>
      </w:pPr>
      <w:r>
        <w:t xml:space="preserve">транспортные ассоциации;</w:t>
      </w:r>
    </w:p>
    <w:p>
      <w:pPr>
        <w:pStyle w:val="Compact"/>
        <w:numPr>
          <w:ilvl w:val="0"/>
          <w:numId w:val="1049"/>
        </w:numPr>
      </w:pPr>
      <w:r>
        <w:t xml:space="preserve">сервисные компании.</w:t>
      </w:r>
    </w:p>
    <w:p>
      <w:r>
        <w:pict>
          <v:rect style="width:0;height:1.5pt" o:hralign="center" o:hrstd="t" o:hr="t"/>
        </w:pict>
      </w:r>
    </w:p>
    <w:bookmarkEnd w:id="73"/>
    <w:bookmarkStart w:id="74" w:name="бренд"/>
    <w:p>
      <w:pPr>
        <w:pStyle w:val="Heading1"/>
      </w:pPr>
      <w:r>
        <w:t xml:space="preserve">13. Бренд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Не стать:</w:t>
      </w:r>
    </w:p>
    <w:p>
      <w:pPr>
        <w:pStyle w:val="Compact"/>
        <w:numPr>
          <w:ilvl w:val="0"/>
          <w:numId w:val="1050"/>
        </w:numPr>
      </w:pPr>
      <w:r>
        <w:t xml:space="preserve">«ещё одним польским брокером».</w:t>
      </w:r>
    </w:p>
    <w:p>
      <w:pPr>
        <w:pStyle w:val="FirstParagraph"/>
      </w:pPr>
      <w:r>
        <w:t xml:space="preserve">А стать:</w:t>
      </w:r>
    </w:p>
    <w:p>
      <w:pPr>
        <w:pStyle w:val="Compact"/>
        <w:numPr>
          <w:ilvl w:val="0"/>
          <w:numId w:val="1051"/>
        </w:numPr>
      </w:pPr>
      <w:r>
        <w:t xml:space="preserve">узнаваемой cross-border платформой для перевозчиков.</w:t>
      </w:r>
    </w:p>
    <w:p>
      <w:pPr>
        <w:pStyle w:val="FirstParagraph"/>
      </w:pPr>
      <w:r>
        <w:t xml:space="preserve">Основные инструменты:</w:t>
      </w:r>
    </w:p>
    <w:p>
      <w:pPr>
        <w:pStyle w:val="Compact"/>
        <w:numPr>
          <w:ilvl w:val="0"/>
          <w:numId w:val="1052"/>
        </w:numPr>
      </w:pPr>
      <w:r>
        <w:t xml:space="preserve">отраслевой контент;</w:t>
      </w:r>
    </w:p>
    <w:p>
      <w:pPr>
        <w:pStyle w:val="Compact"/>
        <w:numPr>
          <w:ilvl w:val="0"/>
          <w:numId w:val="1052"/>
        </w:numPr>
      </w:pPr>
      <w:r>
        <w:t xml:space="preserve">SEO;</w:t>
      </w:r>
    </w:p>
    <w:p>
      <w:pPr>
        <w:pStyle w:val="Compact"/>
        <w:numPr>
          <w:ilvl w:val="0"/>
          <w:numId w:val="1052"/>
        </w:numPr>
      </w:pPr>
      <w:r>
        <w:t xml:space="preserve">Telegram;</w:t>
      </w:r>
    </w:p>
    <w:p>
      <w:pPr>
        <w:pStyle w:val="Compact"/>
        <w:numPr>
          <w:ilvl w:val="0"/>
          <w:numId w:val="1052"/>
        </w:numPr>
      </w:pPr>
      <w:r>
        <w:t xml:space="preserve">LinkedIn;</w:t>
      </w:r>
    </w:p>
    <w:p>
      <w:pPr>
        <w:pStyle w:val="Compact"/>
        <w:numPr>
          <w:ilvl w:val="0"/>
          <w:numId w:val="1052"/>
        </w:numPr>
      </w:pPr>
      <w:r>
        <w:t xml:space="preserve">кейсы;</w:t>
      </w:r>
    </w:p>
    <w:p>
      <w:pPr>
        <w:pStyle w:val="Compact"/>
        <w:numPr>
          <w:ilvl w:val="0"/>
          <w:numId w:val="1052"/>
        </w:numPr>
      </w:pPr>
      <w:r>
        <w:t xml:space="preserve">digital reputation;</w:t>
      </w:r>
    </w:p>
    <w:p>
      <w:pPr>
        <w:pStyle w:val="Compact"/>
        <w:numPr>
          <w:ilvl w:val="0"/>
          <w:numId w:val="1052"/>
        </w:numPr>
      </w:pPr>
      <w:r>
        <w:t xml:space="preserve">B2B networking.</w:t>
      </w:r>
    </w:p>
    <w:p>
      <w:r>
        <w:pict>
          <v:rect style="width:0;height:1.5pt" o:hralign="center" o:hrstd="t" o:hr="t"/>
        </w:pict>
      </w:r>
    </w:p>
    <w:bookmarkEnd w:id="74"/>
    <w:bookmarkStart w:id="75" w:name="автоматизация"/>
    <w:p>
      <w:pPr>
        <w:pStyle w:val="Heading1"/>
      </w:pPr>
      <w:r>
        <w:t xml:space="preserve">14. Автоматизация</w:t>
      </w:r>
    </w:p>
    <w:p>
      <w:pPr>
        <w:pStyle w:val="FirstParagraph"/>
      </w:pPr>
      <w:r>
        <w:t xml:space="preserve">Основной стек:</w:t>
      </w:r>
    </w:p>
    <w:p>
      <w:pPr>
        <w:pStyle w:val="Compact"/>
        <w:numPr>
          <w:ilvl w:val="0"/>
          <w:numId w:val="1053"/>
        </w:numPr>
      </w:pPr>
      <w:r>
        <w:t xml:space="preserve">Bitrix24;</w:t>
      </w:r>
    </w:p>
    <w:p>
      <w:pPr>
        <w:pStyle w:val="Compact"/>
        <w:numPr>
          <w:ilvl w:val="0"/>
          <w:numId w:val="1053"/>
        </w:numPr>
      </w:pPr>
      <w:r>
        <w:t xml:space="preserve">клиентские кабинеты;</w:t>
      </w:r>
    </w:p>
    <w:p>
      <w:pPr>
        <w:pStyle w:val="Compact"/>
        <w:numPr>
          <w:ilvl w:val="0"/>
          <w:numId w:val="1053"/>
        </w:numPr>
      </w:pPr>
      <w:r>
        <w:t xml:space="preserve">партнёрские кабинеты;</w:t>
      </w:r>
    </w:p>
    <w:p>
      <w:pPr>
        <w:pStyle w:val="Compact"/>
        <w:numPr>
          <w:ilvl w:val="0"/>
          <w:numId w:val="1053"/>
        </w:numPr>
      </w:pPr>
      <w:r>
        <w:t xml:space="preserve">CRM;</w:t>
      </w:r>
    </w:p>
    <w:p>
      <w:pPr>
        <w:pStyle w:val="Compact"/>
        <w:numPr>
          <w:ilvl w:val="0"/>
          <w:numId w:val="1053"/>
        </w:numPr>
      </w:pPr>
      <w:r>
        <w:t xml:space="preserve">Telegram;</w:t>
      </w:r>
    </w:p>
    <w:p>
      <w:pPr>
        <w:pStyle w:val="Compact"/>
        <w:numPr>
          <w:ilvl w:val="0"/>
          <w:numId w:val="1053"/>
        </w:numPr>
      </w:pPr>
      <w:r>
        <w:t xml:space="preserve">API.</w:t>
      </w:r>
    </w:p>
    <w:p>
      <w:pPr>
        <w:pStyle w:val="FirstParagraph"/>
      </w:pPr>
      <w:r>
        <w:t xml:space="preserve">Главный риск:</w:t>
      </w:r>
    </w:p>
    <w:p>
      <w:pPr>
        <w:pStyle w:val="Compact"/>
        <w:numPr>
          <w:ilvl w:val="0"/>
          <w:numId w:val="1054"/>
        </w:numPr>
      </w:pPr>
      <w:r>
        <w:t xml:space="preserve">уход в endless IT-development.</w:t>
      </w:r>
    </w:p>
    <w:p>
      <w:pPr>
        <w:pStyle w:val="FirstParagraph"/>
      </w:pPr>
      <w:r>
        <w:t xml:space="preserve">Автоматизировать необходимо:</w:t>
      </w:r>
    </w:p>
    <w:p>
      <w:pPr>
        <w:pStyle w:val="Compact"/>
        <w:numPr>
          <w:ilvl w:val="0"/>
          <w:numId w:val="1055"/>
        </w:numPr>
      </w:pPr>
      <w:r>
        <w:t xml:space="preserve">только процессы с подтверждённым revenue.</w:t>
      </w:r>
    </w:p>
    <w:p>
      <w:r>
        <w:pict>
          <v:rect style="width:0;height:1.5pt" o:hralign="center" o:hrstd="t" o:hr="t"/>
        </w:pict>
      </w:r>
    </w:p>
    <w:bookmarkEnd w:id="75"/>
    <w:bookmarkStart w:id="76" w:name="lean-модель-компании"/>
    <w:p>
      <w:pPr>
        <w:pStyle w:val="Heading1"/>
      </w:pPr>
      <w:r>
        <w:t xml:space="preserve">15. Lean-модель компании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56"/>
        </w:numPr>
      </w:pPr>
      <w:r>
        <w:t xml:space="preserve">минимум постоянных расходов;</w:t>
      </w:r>
    </w:p>
    <w:p>
      <w:pPr>
        <w:pStyle w:val="Compact"/>
        <w:numPr>
          <w:ilvl w:val="0"/>
          <w:numId w:val="1056"/>
        </w:numPr>
      </w:pPr>
      <w:r>
        <w:t xml:space="preserve">максимум аутсорса;</w:t>
      </w:r>
    </w:p>
    <w:p>
      <w:pPr>
        <w:pStyle w:val="Compact"/>
        <w:numPr>
          <w:ilvl w:val="0"/>
          <w:numId w:val="1056"/>
        </w:numPr>
      </w:pPr>
      <w:r>
        <w:t xml:space="preserve">минимальный overhead;</w:t>
      </w:r>
    </w:p>
    <w:p>
      <w:pPr>
        <w:pStyle w:val="Compact"/>
        <w:numPr>
          <w:ilvl w:val="0"/>
          <w:numId w:val="1056"/>
        </w:numPr>
      </w:pPr>
      <w:r>
        <w:t xml:space="preserve">sales-first;</w:t>
      </w:r>
    </w:p>
    <w:p>
      <w:pPr>
        <w:pStyle w:val="Compact"/>
        <w:numPr>
          <w:ilvl w:val="0"/>
          <w:numId w:val="1056"/>
        </w:numPr>
      </w:pPr>
      <w:r>
        <w:t xml:space="preserve">автоматизация;</w:t>
      </w:r>
    </w:p>
    <w:p>
      <w:pPr>
        <w:pStyle w:val="Compact"/>
        <w:numPr>
          <w:ilvl w:val="0"/>
          <w:numId w:val="1056"/>
        </w:numPr>
      </w:pPr>
      <w:r>
        <w:t xml:space="preserve">гибкость.</w:t>
      </w:r>
    </w:p>
    <w:p>
      <w:r>
        <w:pict>
          <v:rect style="width:0;height:1.5pt" o:hralign="center" o:hrstd="t" o:hr="t"/>
        </w:pict>
      </w:r>
    </w:p>
    <w:bookmarkEnd w:id="76"/>
    <w:bookmarkStart w:id="77" w:name="swot-анализ"/>
    <w:p>
      <w:pPr>
        <w:pStyle w:val="Heading1"/>
      </w:pPr>
      <w:r>
        <w:t xml:space="preserve">16. SWOT-анализ</w:t>
      </w:r>
    </w:p>
    <w:bookmarkEnd w:id="77"/>
    <w:bookmarkStart w:id="78" w:name="strengths-сильные-стороны"/>
    <w:p>
      <w:pPr>
        <w:pStyle w:val="Heading1"/>
      </w:pPr>
      <w:r>
        <w:t xml:space="preserve">Strengths — Сильные стороны</w:t>
      </w:r>
    </w:p>
    <w:p>
      <w:pPr>
        <w:pStyle w:val="Compact"/>
        <w:numPr>
          <w:ilvl w:val="0"/>
          <w:numId w:val="1057"/>
        </w:numPr>
      </w:pPr>
      <w:r>
        <w:t xml:space="preserve">международная специализация;</w:t>
      </w:r>
    </w:p>
    <w:p>
      <w:pPr>
        <w:pStyle w:val="Compact"/>
        <w:numPr>
          <w:ilvl w:val="0"/>
          <w:numId w:val="1057"/>
        </w:numPr>
      </w:pPr>
      <w:r>
        <w:t xml:space="preserve">понимание логистики СНГ/ЕС;</w:t>
      </w:r>
    </w:p>
    <w:p>
      <w:pPr>
        <w:pStyle w:val="Compact"/>
        <w:numPr>
          <w:ilvl w:val="0"/>
          <w:numId w:val="1057"/>
        </w:numPr>
      </w:pPr>
      <w:r>
        <w:t xml:space="preserve">опыт cross-border страхования;</w:t>
      </w:r>
    </w:p>
    <w:p>
      <w:pPr>
        <w:pStyle w:val="Compact"/>
        <w:numPr>
          <w:ilvl w:val="0"/>
          <w:numId w:val="1057"/>
        </w:numPr>
      </w:pPr>
      <w:r>
        <w:t xml:space="preserve">гибкость;</w:t>
      </w:r>
    </w:p>
    <w:p>
      <w:pPr>
        <w:pStyle w:val="Compact"/>
        <w:numPr>
          <w:ilvl w:val="0"/>
          <w:numId w:val="1057"/>
        </w:numPr>
      </w:pPr>
      <w:r>
        <w:t xml:space="preserve">цифровая модель;</w:t>
      </w:r>
    </w:p>
    <w:p>
      <w:pPr>
        <w:pStyle w:val="Compact"/>
        <w:numPr>
          <w:ilvl w:val="0"/>
          <w:numId w:val="1057"/>
        </w:numPr>
      </w:pPr>
      <w:r>
        <w:t xml:space="preserve">низкая себестоимость выпуска;</w:t>
      </w:r>
    </w:p>
    <w:p>
      <w:pPr>
        <w:pStyle w:val="Compact"/>
        <w:numPr>
          <w:ilvl w:val="0"/>
          <w:numId w:val="1057"/>
        </w:numPr>
      </w:pPr>
      <w:r>
        <w:t xml:space="preserve">опыт работы с международными перевозчиками;</w:t>
      </w:r>
    </w:p>
    <w:p>
      <w:pPr>
        <w:pStyle w:val="Compact"/>
        <w:numPr>
          <w:ilvl w:val="0"/>
          <w:numId w:val="1057"/>
        </w:numPr>
      </w:pPr>
      <w:r>
        <w:t xml:space="preserve">существующая клиентская база.</w:t>
      </w:r>
    </w:p>
    <w:p>
      <w:r>
        <w:pict>
          <v:rect style="width:0;height:1.5pt" o:hralign="center" o:hrstd="t" o:hr="t"/>
        </w:pict>
      </w:r>
    </w:p>
    <w:bookmarkEnd w:id="78"/>
    <w:bookmarkStart w:id="79" w:name="weaknesses-слабые-стороны"/>
    <w:p>
      <w:pPr>
        <w:pStyle w:val="Heading1"/>
      </w:pPr>
      <w:r>
        <w:t xml:space="preserve">Weaknesses — Слабые стороны</w:t>
      </w:r>
    </w:p>
    <w:p>
      <w:pPr>
        <w:pStyle w:val="Compact"/>
        <w:numPr>
          <w:ilvl w:val="0"/>
          <w:numId w:val="1058"/>
        </w:numPr>
      </w:pPr>
      <w:r>
        <w:t xml:space="preserve">критическая зависимость от одного человека;</w:t>
      </w:r>
    </w:p>
    <w:p>
      <w:pPr>
        <w:pStyle w:val="Compact"/>
        <w:numPr>
          <w:ilvl w:val="0"/>
          <w:numId w:val="1058"/>
        </w:numPr>
      </w:pPr>
      <w:r>
        <w:t xml:space="preserve">отсутствие локального польского sales;</w:t>
      </w:r>
    </w:p>
    <w:p>
      <w:pPr>
        <w:pStyle w:val="Compact"/>
        <w:numPr>
          <w:ilvl w:val="0"/>
          <w:numId w:val="1058"/>
        </w:numPr>
      </w:pPr>
      <w:r>
        <w:t xml:space="preserve">отсутствие лидогенерации;</w:t>
      </w:r>
    </w:p>
    <w:p>
      <w:pPr>
        <w:pStyle w:val="Compact"/>
        <w:numPr>
          <w:ilvl w:val="0"/>
          <w:numId w:val="1058"/>
        </w:numPr>
      </w:pPr>
      <w:r>
        <w:t xml:space="preserve">отсутствие собственной брокерской инфраструктуры;</w:t>
      </w:r>
    </w:p>
    <w:p>
      <w:pPr>
        <w:pStyle w:val="Compact"/>
        <w:numPr>
          <w:ilvl w:val="0"/>
          <w:numId w:val="1058"/>
        </w:numPr>
      </w:pPr>
      <w:r>
        <w:t xml:space="preserve">зависимость от внешних брокеров;</w:t>
      </w:r>
    </w:p>
    <w:p>
      <w:pPr>
        <w:pStyle w:val="Compact"/>
        <w:numPr>
          <w:ilvl w:val="0"/>
          <w:numId w:val="1058"/>
        </w:numPr>
      </w:pPr>
      <w:r>
        <w:t xml:space="preserve">отсутствие польскоязычной операционной команды;</w:t>
      </w:r>
    </w:p>
    <w:p>
      <w:pPr>
        <w:pStyle w:val="Compact"/>
        <w:numPr>
          <w:ilvl w:val="0"/>
          <w:numId w:val="1058"/>
        </w:numPr>
      </w:pPr>
      <w:r>
        <w:t xml:space="preserve">отсутствие сильного бренда;</w:t>
      </w:r>
    </w:p>
    <w:p>
      <w:pPr>
        <w:pStyle w:val="Compact"/>
        <w:numPr>
          <w:ilvl w:val="0"/>
          <w:numId w:val="1058"/>
        </w:numPr>
      </w:pPr>
      <w:r>
        <w:t xml:space="preserve">медленные процессы;</w:t>
      </w:r>
    </w:p>
    <w:p>
      <w:pPr>
        <w:pStyle w:val="Compact"/>
        <w:numPr>
          <w:ilvl w:val="0"/>
          <w:numId w:val="1058"/>
        </w:numPr>
      </w:pPr>
      <w:r>
        <w:t xml:space="preserve">отсутствие SLA.</w:t>
      </w:r>
    </w:p>
    <w:p>
      <w:r>
        <w:pict>
          <v:rect style="width:0;height:1.5pt" o:hralign="center" o:hrstd="t" o:hr="t"/>
        </w:pict>
      </w:r>
    </w:p>
    <w:bookmarkEnd w:id="79"/>
    <w:bookmarkStart w:id="80" w:name="opportunities-возможности"/>
    <w:p>
      <w:pPr>
        <w:pStyle w:val="Heading1"/>
      </w:pPr>
      <w:r>
        <w:t xml:space="preserve">Opportunities — Возможности</w:t>
      </w:r>
    </w:p>
    <w:p>
      <w:pPr>
        <w:pStyle w:val="Compact"/>
        <w:numPr>
          <w:ilvl w:val="0"/>
          <w:numId w:val="1059"/>
        </w:numPr>
      </w:pPr>
      <w:r>
        <w:t xml:space="preserve">создание собственного польского брокера;</w:t>
      </w:r>
    </w:p>
    <w:p>
      <w:pPr>
        <w:pStyle w:val="Compact"/>
        <w:numPr>
          <w:ilvl w:val="0"/>
          <w:numId w:val="1059"/>
        </w:numPr>
      </w:pPr>
      <w:r>
        <w:t xml:space="preserve">рост международной логистики;</w:t>
      </w:r>
    </w:p>
    <w:p>
      <w:pPr>
        <w:pStyle w:val="Compact"/>
        <w:numPr>
          <w:ilvl w:val="0"/>
          <w:numId w:val="1059"/>
        </w:numPr>
      </w:pPr>
      <w:r>
        <w:t xml:space="preserve">развитие cross-border ecosystem;</w:t>
      </w:r>
    </w:p>
    <w:p>
      <w:pPr>
        <w:pStyle w:val="Compact"/>
        <w:numPr>
          <w:ilvl w:val="0"/>
          <w:numId w:val="1059"/>
        </w:numPr>
      </w:pPr>
      <w:r>
        <w:t xml:space="preserve">развитие cargo insurance;</w:t>
      </w:r>
    </w:p>
    <w:p>
      <w:pPr>
        <w:pStyle w:val="Compact"/>
        <w:numPr>
          <w:ilvl w:val="0"/>
          <w:numId w:val="1059"/>
        </w:numPr>
      </w:pPr>
      <w:r>
        <w:t xml:space="preserve">развитие OCPD;</w:t>
      </w:r>
    </w:p>
    <w:p>
      <w:pPr>
        <w:pStyle w:val="Compact"/>
        <w:numPr>
          <w:ilvl w:val="0"/>
          <w:numId w:val="1059"/>
        </w:numPr>
      </w:pPr>
      <w:r>
        <w:t xml:space="preserve">построение B2B-платформы;</w:t>
      </w:r>
    </w:p>
    <w:p>
      <w:pPr>
        <w:pStyle w:val="Compact"/>
        <w:numPr>
          <w:ilvl w:val="0"/>
          <w:numId w:val="1059"/>
        </w:numPr>
      </w:pPr>
      <w:r>
        <w:t xml:space="preserve">digitalization;</w:t>
      </w:r>
    </w:p>
    <w:p>
      <w:pPr>
        <w:pStyle w:val="Compact"/>
        <w:numPr>
          <w:ilvl w:val="0"/>
          <w:numId w:val="1059"/>
        </w:numPr>
      </w:pPr>
      <w:r>
        <w:t xml:space="preserve">партнёрские сети;</w:t>
      </w:r>
    </w:p>
    <w:p>
      <w:pPr>
        <w:pStyle w:val="Compact"/>
        <w:numPr>
          <w:ilvl w:val="0"/>
          <w:numId w:val="1059"/>
        </w:numPr>
      </w:pPr>
      <w:r>
        <w:t xml:space="preserve">работа с перевозчиками ЕС/СНГ.</w:t>
      </w:r>
    </w:p>
    <w:p>
      <w:r>
        <w:pict>
          <v:rect style="width:0;height:1.5pt" o:hralign="center" o:hrstd="t" o:hr="t"/>
        </w:pict>
      </w:r>
    </w:p>
    <w:bookmarkEnd w:id="80"/>
    <w:bookmarkStart w:id="81" w:name="threats-угрозы"/>
    <w:p>
      <w:pPr>
        <w:pStyle w:val="Heading1"/>
      </w:pPr>
      <w:r>
        <w:t xml:space="preserve">Threats — Угрозы</w:t>
      </w:r>
    </w:p>
    <w:p>
      <w:pPr>
        <w:pStyle w:val="Compact"/>
        <w:numPr>
          <w:ilvl w:val="0"/>
          <w:numId w:val="1060"/>
        </w:numPr>
      </w:pPr>
      <w:r>
        <w:t xml:space="preserve">потеря ключевых клиентов;</w:t>
      </w:r>
    </w:p>
    <w:p>
      <w:pPr>
        <w:pStyle w:val="Compact"/>
        <w:numPr>
          <w:ilvl w:val="0"/>
          <w:numId w:val="1060"/>
        </w:numPr>
      </w:pPr>
      <w:r>
        <w:t xml:space="preserve">выгорание ключевого человека;</w:t>
      </w:r>
    </w:p>
    <w:p>
      <w:pPr>
        <w:pStyle w:val="Compact"/>
        <w:numPr>
          <w:ilvl w:val="0"/>
          <w:numId w:val="1060"/>
        </w:numPr>
      </w:pPr>
      <w:r>
        <w:t xml:space="preserve">зависимость от внешних брокеров;</w:t>
      </w:r>
    </w:p>
    <w:p>
      <w:pPr>
        <w:pStyle w:val="Compact"/>
        <w:numPr>
          <w:ilvl w:val="0"/>
          <w:numId w:val="1060"/>
        </w:numPr>
      </w:pPr>
      <w:r>
        <w:t xml:space="preserve">изменение регулирования;</w:t>
      </w:r>
    </w:p>
    <w:p>
      <w:pPr>
        <w:pStyle w:val="Compact"/>
        <w:numPr>
          <w:ilvl w:val="0"/>
          <w:numId w:val="1060"/>
        </w:numPr>
      </w:pPr>
      <w:r>
        <w:t xml:space="preserve">высокая конкуренция польского рынка;</w:t>
      </w:r>
    </w:p>
    <w:p>
      <w:pPr>
        <w:pStyle w:val="Compact"/>
        <w:numPr>
          <w:ilvl w:val="0"/>
          <w:numId w:val="1060"/>
        </w:numPr>
      </w:pPr>
      <w:r>
        <w:t xml:space="preserve">языковой барьер;</w:t>
      </w:r>
    </w:p>
    <w:p>
      <w:pPr>
        <w:pStyle w:val="Compact"/>
        <w:numPr>
          <w:ilvl w:val="0"/>
          <w:numId w:val="1060"/>
        </w:numPr>
      </w:pPr>
      <w:r>
        <w:t xml:space="preserve">отсутствие локального networking;</w:t>
      </w:r>
    </w:p>
    <w:p>
      <w:pPr>
        <w:pStyle w:val="Compact"/>
        <w:numPr>
          <w:ilvl w:val="0"/>
          <w:numId w:val="1060"/>
        </w:numPr>
      </w:pPr>
      <w:r>
        <w:t xml:space="preserve">демпинг;</w:t>
      </w:r>
    </w:p>
    <w:p>
      <w:pPr>
        <w:pStyle w:val="Compact"/>
        <w:numPr>
          <w:ilvl w:val="0"/>
          <w:numId w:val="1060"/>
        </w:numPr>
      </w:pPr>
      <w:r>
        <w:t xml:space="preserve">рост overhead.</w:t>
      </w:r>
    </w:p>
    <w:p>
      <w:r>
        <w:pict>
          <v:rect style="width:0;height:1.5pt" o:hralign="center" o:hrstd="t" o:hr="t"/>
        </w:pict>
      </w:r>
    </w:p>
    <w:bookmarkEnd w:id="81"/>
    <w:bookmarkStart w:id="82" w:name="roadmap-на-12-месяцев"/>
    <w:p>
      <w:pPr>
        <w:pStyle w:val="Heading1"/>
      </w:pPr>
      <w:r>
        <w:t xml:space="preserve">17. Roadmap на 12 месяцев</w:t>
      </w:r>
    </w:p>
    <w:bookmarkEnd w:id="82"/>
    <w:bookmarkStart w:id="86" w:name="этап-1-03-месяца"/>
    <w:p>
      <w:pPr>
        <w:pStyle w:val="Heading1"/>
      </w:pPr>
      <w:r>
        <w:t xml:space="preserve">Этап 1 — 0–3 месяца</w:t>
      </w:r>
    </w:p>
    <w:bookmarkStart w:id="83" w:name="цели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1"/>
        </w:numPr>
      </w:pPr>
      <w:r>
        <w:t xml:space="preserve">перестать быть только lead-transfer моделью;</w:t>
      </w:r>
    </w:p>
    <w:p>
      <w:pPr>
        <w:pStyle w:val="Compact"/>
        <w:numPr>
          <w:ilvl w:val="0"/>
          <w:numId w:val="1061"/>
        </w:numPr>
      </w:pPr>
      <w:r>
        <w:t xml:space="preserve">усилить продажи;</w:t>
      </w:r>
    </w:p>
    <w:p>
      <w:pPr>
        <w:pStyle w:val="Compact"/>
        <w:numPr>
          <w:ilvl w:val="0"/>
          <w:numId w:val="1061"/>
        </w:numPr>
      </w:pPr>
      <w:r>
        <w:t xml:space="preserve">построить операционную базу.</w:t>
      </w:r>
    </w:p>
    <w:bookmarkEnd w:id="83"/>
    <w:bookmarkStart w:id="84" w:name="действия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2"/>
        </w:numPr>
      </w:pPr>
      <w:r>
        <w:t xml:space="preserve">нанять B2B sales;</w:t>
      </w:r>
    </w:p>
    <w:p>
      <w:pPr>
        <w:pStyle w:val="Compact"/>
        <w:numPr>
          <w:ilvl w:val="0"/>
          <w:numId w:val="1062"/>
        </w:numPr>
      </w:pPr>
      <w:r>
        <w:t xml:space="preserve">нанять 2 операторов;</w:t>
      </w:r>
    </w:p>
    <w:p>
      <w:pPr>
        <w:pStyle w:val="Compact"/>
        <w:numPr>
          <w:ilvl w:val="0"/>
          <w:numId w:val="1062"/>
        </w:numPr>
      </w:pPr>
      <w:r>
        <w:t xml:space="preserve">внедрить SLA;</w:t>
      </w:r>
    </w:p>
    <w:p>
      <w:pPr>
        <w:pStyle w:val="Compact"/>
        <w:numPr>
          <w:ilvl w:val="0"/>
          <w:numId w:val="1062"/>
        </w:numPr>
      </w:pPr>
      <w:r>
        <w:t xml:space="preserve">построить lead-flow;</w:t>
      </w:r>
    </w:p>
    <w:p>
      <w:pPr>
        <w:pStyle w:val="Compact"/>
        <w:numPr>
          <w:ilvl w:val="0"/>
          <w:numId w:val="1062"/>
        </w:numPr>
      </w:pPr>
      <w:r>
        <w:t xml:space="preserve">запустить полноценный сайт;</w:t>
      </w:r>
    </w:p>
    <w:p>
      <w:pPr>
        <w:pStyle w:val="Compact"/>
        <w:numPr>
          <w:ilvl w:val="0"/>
          <w:numId w:val="1062"/>
        </w:numPr>
      </w:pPr>
      <w:r>
        <w:t xml:space="preserve">усилить renewals.</w:t>
      </w:r>
    </w:p>
    <w:bookmarkEnd w:id="84"/>
    <w:bookmarkStart w:id="85" w:name="kpi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3"/>
        </w:numPr>
      </w:pPr>
      <w:r>
        <w:t xml:space="preserve">ответ ≤15 минут;</w:t>
      </w:r>
    </w:p>
    <w:p>
      <w:pPr>
        <w:pStyle w:val="Compact"/>
        <w:numPr>
          <w:ilvl w:val="0"/>
          <w:numId w:val="1063"/>
        </w:numPr>
      </w:pPr>
      <w:r>
        <w:t xml:space="preserve">CRM coverage 100%;</w:t>
      </w:r>
    </w:p>
    <w:p>
      <w:pPr>
        <w:pStyle w:val="Compact"/>
        <w:numPr>
          <w:ilvl w:val="0"/>
          <w:numId w:val="1063"/>
        </w:numPr>
      </w:pPr>
      <w:r>
        <w:t xml:space="preserve">3–5 новых партнёров;</w:t>
      </w:r>
    </w:p>
    <w:p>
      <w:pPr>
        <w:pStyle w:val="Compact"/>
        <w:numPr>
          <w:ilvl w:val="0"/>
          <w:numId w:val="1063"/>
        </w:numPr>
      </w:pPr>
      <w:r>
        <w:t xml:space="preserve">10–15 встреч в месяц.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этап-2-36-месяцев"/>
    <w:p>
      <w:pPr>
        <w:pStyle w:val="Heading1"/>
      </w:pPr>
      <w:r>
        <w:t xml:space="preserve">Этап 2 — 3–6 месяцев</w:t>
      </w:r>
    </w:p>
    <w:bookmarkStart w:id="87" w:name="цели-1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4"/>
        </w:numPr>
      </w:pPr>
      <w:r>
        <w:t xml:space="preserve">начать строить собственную брокерскую инфраструктуру.</w:t>
      </w:r>
    </w:p>
    <w:bookmarkEnd w:id="87"/>
    <w:bookmarkStart w:id="88" w:name="действия-1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5"/>
        </w:numPr>
      </w:pPr>
      <w:r>
        <w:t xml:space="preserve">развитие отношений со страховыми;</w:t>
      </w:r>
    </w:p>
    <w:p>
      <w:pPr>
        <w:pStyle w:val="Compact"/>
        <w:numPr>
          <w:ilvl w:val="0"/>
          <w:numId w:val="1065"/>
        </w:numPr>
      </w:pPr>
      <w:r>
        <w:t xml:space="preserve">построение собственной продуктовой линейки;</w:t>
      </w:r>
    </w:p>
    <w:p>
      <w:pPr>
        <w:pStyle w:val="Compact"/>
        <w:numPr>
          <w:ilvl w:val="0"/>
          <w:numId w:val="1065"/>
        </w:numPr>
      </w:pPr>
      <w:r>
        <w:t xml:space="preserve">развитие cargo;</w:t>
      </w:r>
    </w:p>
    <w:p>
      <w:pPr>
        <w:pStyle w:val="Compact"/>
        <w:numPr>
          <w:ilvl w:val="0"/>
          <w:numId w:val="1065"/>
        </w:numPr>
      </w:pPr>
      <w:r>
        <w:t xml:space="preserve">запуск партнёрской сети;</w:t>
      </w:r>
    </w:p>
    <w:p>
      <w:pPr>
        <w:pStyle w:val="Compact"/>
        <w:numPr>
          <w:ilvl w:val="0"/>
          <w:numId w:val="1065"/>
        </w:numPr>
      </w:pPr>
      <w:r>
        <w:t xml:space="preserve">reputation marketing.</w:t>
      </w:r>
    </w:p>
    <w:bookmarkEnd w:id="88"/>
    <w:bookmarkStart w:id="89" w:name="kpi-1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6"/>
        </w:numPr>
      </w:pPr>
      <w:r>
        <w:t xml:space="preserve">10–15 партнёров;</w:t>
      </w:r>
    </w:p>
    <w:p>
      <w:pPr>
        <w:pStyle w:val="Compact"/>
        <w:numPr>
          <w:ilvl w:val="0"/>
          <w:numId w:val="1066"/>
        </w:numPr>
      </w:pPr>
      <w:r>
        <w:t xml:space="preserve">5–8 новых B2B клиентов;</w:t>
      </w:r>
    </w:p>
    <w:p>
      <w:pPr>
        <w:pStyle w:val="Compact"/>
        <w:numPr>
          <w:ilvl w:val="0"/>
          <w:numId w:val="1066"/>
        </w:numPr>
      </w:pPr>
      <w:r>
        <w:t xml:space="preserve">retention &gt;80%;</w:t>
      </w:r>
    </w:p>
    <w:p>
      <w:pPr>
        <w:pStyle w:val="Compact"/>
        <w:numPr>
          <w:ilvl w:val="0"/>
          <w:numId w:val="1066"/>
        </w:numPr>
      </w:pPr>
      <w:r>
        <w:t xml:space="preserve">рост выручки 30–50%.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этап-3-612-месяцев"/>
    <w:p>
      <w:pPr>
        <w:pStyle w:val="Heading1"/>
      </w:pPr>
      <w:r>
        <w:t xml:space="preserve">Этап 3 — 6–12 месяцев</w:t>
      </w:r>
    </w:p>
    <w:bookmarkStart w:id="91" w:name="цели-2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7"/>
        </w:numPr>
      </w:pPr>
      <w:r>
        <w:t xml:space="preserve">переход к собственной брокерской модели;</w:t>
      </w:r>
    </w:p>
    <w:p>
      <w:pPr>
        <w:pStyle w:val="Compact"/>
        <w:numPr>
          <w:ilvl w:val="0"/>
          <w:numId w:val="1067"/>
        </w:numPr>
      </w:pPr>
      <w:r>
        <w:t xml:space="preserve">усиление локального присутствия.</w:t>
      </w:r>
    </w:p>
    <w:bookmarkEnd w:id="91"/>
    <w:bookmarkStart w:id="92" w:name="действия-2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8"/>
        </w:numPr>
      </w:pPr>
      <w:r>
        <w:t xml:space="preserve">локальный польский специалист;</w:t>
      </w:r>
    </w:p>
    <w:p>
      <w:pPr>
        <w:pStyle w:val="Compact"/>
        <w:numPr>
          <w:ilvl w:val="0"/>
          <w:numId w:val="1068"/>
        </w:numPr>
      </w:pPr>
      <w:r>
        <w:t xml:space="preserve">полуавтоматизация;</w:t>
      </w:r>
    </w:p>
    <w:p>
      <w:pPr>
        <w:pStyle w:val="Compact"/>
        <w:numPr>
          <w:ilvl w:val="0"/>
          <w:numId w:val="1068"/>
        </w:numPr>
      </w:pPr>
      <w:r>
        <w:t xml:space="preserve">усиление sales;</w:t>
      </w:r>
    </w:p>
    <w:p>
      <w:pPr>
        <w:pStyle w:val="Compact"/>
        <w:numPr>
          <w:ilvl w:val="0"/>
          <w:numId w:val="1068"/>
        </w:numPr>
      </w:pPr>
      <w:r>
        <w:t xml:space="preserve">стандартизация процессов.</w:t>
      </w:r>
    </w:p>
    <w:bookmarkEnd w:id="92"/>
    <w:bookmarkStart w:id="93" w:name="kpi-2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9"/>
        </w:numPr>
      </w:pPr>
      <w:r>
        <w:t xml:space="preserve">20–25 крупных клиентов;</w:t>
      </w:r>
    </w:p>
    <w:p>
      <w:pPr>
        <w:pStyle w:val="Compact"/>
        <w:numPr>
          <w:ilvl w:val="0"/>
          <w:numId w:val="1069"/>
        </w:numPr>
      </w:pPr>
      <w:r>
        <w:t xml:space="preserve">12–18 партнёров;</w:t>
      </w:r>
    </w:p>
    <w:p>
      <w:pPr>
        <w:pStyle w:val="Compact"/>
        <w:numPr>
          <w:ilvl w:val="0"/>
          <w:numId w:val="1069"/>
        </w:numPr>
      </w:pPr>
      <w:r>
        <w:t xml:space="preserve">50–100 мелких перевозчиков;</w:t>
      </w:r>
    </w:p>
    <w:p>
      <w:pPr>
        <w:pStyle w:val="Compact"/>
        <w:numPr>
          <w:ilvl w:val="0"/>
          <w:numId w:val="1069"/>
        </w:numPr>
      </w:pPr>
      <w:r>
        <w:t xml:space="preserve">500+ физлиц;</w:t>
      </w:r>
    </w:p>
    <w:p>
      <w:pPr>
        <w:pStyle w:val="Compact"/>
        <w:numPr>
          <w:ilvl w:val="0"/>
          <w:numId w:val="1069"/>
        </w:numPr>
      </w:pPr>
      <w:r>
        <w:t xml:space="preserve">retention &gt;85%.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главные-риски"/>
    <w:p>
      <w:pPr>
        <w:pStyle w:val="Heading1"/>
      </w:pPr>
      <w:r>
        <w:t xml:space="preserve">18. Главные риски</w:t>
      </w:r>
    </w:p>
    <w:bookmarkStart w:id="100" w:name="основные-company-killers"/>
    <w:p>
      <w:pPr>
        <w:pStyle w:val="Heading2"/>
      </w:pPr>
      <w:r>
        <w:t xml:space="preserve">Основные company-killers</w:t>
      </w:r>
    </w:p>
    <w:bookmarkStart w:id="95" w:name="Xc0cfea554e50d9deb7374b1cc86b5b0a5c4e959"/>
    <w:p>
      <w:pPr>
        <w:pStyle w:val="Heading3"/>
      </w:pPr>
      <w:r>
        <w:t xml:space="preserve">1. Критическая зависимость от одного человека</w:t>
      </w:r>
    </w:p>
    <w:p>
      <w:pPr>
        <w:pStyle w:val="FirstParagraph"/>
      </w:pPr>
      <w:r>
        <w:t xml:space="preserve">Главный риск компании.</w:t>
      </w:r>
    </w:p>
    <w:p>
      <w:r>
        <w:pict>
          <v:rect style="width:0;height:1.5pt" o:hralign="center" o:hrstd="t" o:hr="t"/>
        </w:pict>
      </w:r>
    </w:p>
    <w:bookmarkEnd w:id="95"/>
    <w:bookmarkStart w:id="96" w:name="X97bafdc1f65797650a59db03493de760e886841"/>
    <w:p>
      <w:pPr>
        <w:pStyle w:val="Heading3"/>
      </w:pPr>
      <w:r>
        <w:t xml:space="preserve">2. Попытка слишком рано стать полноценным большим брокером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0"/>
        </w:numPr>
      </w:pPr>
      <w:r>
        <w:t xml:space="preserve">overhead;</w:t>
      </w:r>
    </w:p>
    <w:p>
      <w:pPr>
        <w:pStyle w:val="Compact"/>
        <w:numPr>
          <w:ilvl w:val="0"/>
          <w:numId w:val="1070"/>
        </w:numPr>
      </w:pPr>
      <w:r>
        <w:t xml:space="preserve">расходы;</w:t>
      </w:r>
    </w:p>
    <w:p>
      <w:pPr>
        <w:pStyle w:val="Compact"/>
        <w:numPr>
          <w:ilvl w:val="0"/>
          <w:numId w:val="1070"/>
        </w:numPr>
      </w:pPr>
      <w:r>
        <w:t xml:space="preserve">бюрократия.</w:t>
      </w:r>
    </w:p>
    <w:p>
      <w:r>
        <w:pict>
          <v:rect style="width:0;height:1.5pt" o:hralign="center" o:hrstd="t" o:hr="t"/>
        </w:pict>
      </w:r>
    </w:p>
    <w:bookmarkEnd w:id="96"/>
    <w:bookmarkStart w:id="97" w:name="уход-в-it-вместо-продаж"/>
    <w:p>
      <w:pPr>
        <w:pStyle w:val="Heading3"/>
      </w:pPr>
      <w:r>
        <w:t xml:space="preserve">3. Уход в IT вместо продаж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1"/>
        </w:numPr>
      </w:pPr>
      <w:r>
        <w:t xml:space="preserve">отсутствие revenue engine.</w:t>
      </w:r>
    </w:p>
    <w:p>
      <w:r>
        <w:pict>
          <v:rect style="width:0;height:1.5pt" o:hralign="center" o:hrstd="t" o:hr="t"/>
        </w:pict>
      </w:r>
    </w:p>
    <w:bookmarkEnd w:id="97"/>
    <w:bookmarkStart w:id="98" w:name="X3c85365761a43d7d996564621897871e8b1d521"/>
    <w:p>
      <w:pPr>
        <w:pStyle w:val="Heading3"/>
      </w:pPr>
      <w:r>
        <w:t xml:space="preserve">4. Отсутствие локального польского присутствия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2"/>
        </w:numPr>
      </w:pPr>
      <w:r>
        <w:t xml:space="preserve">невозможность масштабирования.</w:t>
      </w:r>
    </w:p>
    <w:p>
      <w:r>
        <w:pict>
          <v:rect style="width:0;height:1.5pt" o:hralign="center" o:hrstd="t" o:hr="t"/>
        </w:pict>
      </w:r>
    </w:p>
    <w:bookmarkEnd w:id="98"/>
    <w:bookmarkStart w:id="99" w:name="зависимость-от-внешних-брокеров"/>
    <w:p>
      <w:pPr>
        <w:pStyle w:val="Heading3"/>
      </w:pPr>
      <w:r>
        <w:t xml:space="preserve">5. Зависимость от внешних брокеров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3"/>
        </w:numPr>
      </w:pPr>
      <w:r>
        <w:t xml:space="preserve">потеря контроля над клиентом.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2" w:name="главный-стратегический-вывод"/>
    <w:p>
      <w:pPr>
        <w:pStyle w:val="Heading1"/>
      </w:pPr>
      <w:r>
        <w:t xml:space="preserve">19. Главный стратегический вывод</w:t>
      </w:r>
    </w:p>
    <w:p>
      <w:pPr>
        <w:pStyle w:val="FirstParagraph"/>
      </w:pPr>
      <w:r>
        <w:t xml:space="preserve">SINEDIS должна развиваться не как:</w:t>
      </w:r>
    </w:p>
    <w:p>
      <w:pPr>
        <w:pStyle w:val="Compact"/>
        <w:numPr>
          <w:ilvl w:val="0"/>
          <w:numId w:val="1074"/>
        </w:numPr>
      </w:pPr>
      <w:r>
        <w:t xml:space="preserve">lead-generation структура;</w:t>
      </w:r>
    </w:p>
    <w:p>
      <w:pPr>
        <w:pStyle w:val="Compact"/>
        <w:numPr>
          <w:ilvl w:val="0"/>
          <w:numId w:val="1074"/>
        </w:numPr>
      </w:pPr>
      <w:r>
        <w:t xml:space="preserve">посредник между клиентом и брокером.</w:t>
      </w:r>
    </w:p>
    <w:p>
      <w:pPr>
        <w:pStyle w:val="FirstParagraph"/>
      </w:pPr>
      <w:r>
        <w:t xml:space="preserve">А как:</w:t>
      </w:r>
    </w:p>
    <w:p>
      <w:pPr>
        <w:pStyle w:val="Compact"/>
        <w:numPr>
          <w:ilvl w:val="0"/>
          <w:numId w:val="1075"/>
        </w:numPr>
      </w:pPr>
      <w:r>
        <w:t xml:space="preserve">собственная специализированная B2B-платформа страхования международной логистики.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76"/>
        </w:numPr>
      </w:pPr>
      <w:r>
        <w:t xml:space="preserve">международные перевозчики;</w:t>
      </w:r>
    </w:p>
    <w:p>
      <w:pPr>
        <w:pStyle w:val="Compact"/>
        <w:numPr>
          <w:ilvl w:val="0"/>
          <w:numId w:val="1076"/>
        </w:numPr>
      </w:pPr>
      <w:r>
        <w:t xml:space="preserve">cross-border insurance;</w:t>
      </w:r>
    </w:p>
    <w:p>
      <w:pPr>
        <w:pStyle w:val="Compact"/>
        <w:numPr>
          <w:ilvl w:val="0"/>
          <w:numId w:val="1076"/>
        </w:numPr>
      </w:pPr>
      <w:r>
        <w:t xml:space="preserve">cargo;</w:t>
      </w:r>
    </w:p>
    <w:p>
      <w:pPr>
        <w:pStyle w:val="Compact"/>
        <w:numPr>
          <w:ilvl w:val="0"/>
          <w:numId w:val="1076"/>
        </w:numPr>
      </w:pPr>
      <w:r>
        <w:t xml:space="preserve">ответственность перевозчиков;</w:t>
      </w:r>
    </w:p>
    <w:p>
      <w:pPr>
        <w:pStyle w:val="Compact"/>
        <w:numPr>
          <w:ilvl w:val="0"/>
          <w:numId w:val="1076"/>
        </w:numPr>
      </w:pPr>
      <w:r>
        <w:t xml:space="preserve">B2B;</w:t>
      </w:r>
    </w:p>
    <w:p>
      <w:pPr>
        <w:pStyle w:val="Compact"/>
        <w:numPr>
          <w:ilvl w:val="0"/>
          <w:numId w:val="1076"/>
        </w:numPr>
      </w:pPr>
      <w:r>
        <w:t xml:space="preserve">digital infrastructure;</w:t>
      </w:r>
    </w:p>
    <w:p>
      <w:pPr>
        <w:pStyle w:val="Compact"/>
        <w:numPr>
          <w:ilvl w:val="0"/>
          <w:numId w:val="1076"/>
        </w:numPr>
      </w:pPr>
      <w:r>
        <w:t xml:space="preserve">lean operational model;</w:t>
      </w:r>
    </w:p>
    <w:p>
      <w:pPr>
        <w:pStyle w:val="Compact"/>
        <w:numPr>
          <w:ilvl w:val="0"/>
          <w:numId w:val="1076"/>
        </w:numPr>
      </w:pPr>
      <w:r>
        <w:t xml:space="preserve">локальное польское присутствие.</w:t>
      </w:r>
    </w:p>
    <w:p>
      <w:pPr>
        <w:pStyle w:val="FirstParagraph"/>
      </w:pPr>
      <w:r>
        <w:t xml:space="preserve">Это соответствует:</w:t>
      </w:r>
    </w:p>
    <w:p>
      <w:pPr>
        <w:pStyle w:val="Compact"/>
        <w:numPr>
          <w:ilvl w:val="0"/>
          <w:numId w:val="1077"/>
        </w:numPr>
      </w:pPr>
      <w:r>
        <w:t xml:space="preserve">текущим компетенциям;</w:t>
      </w:r>
    </w:p>
    <w:p>
      <w:pPr>
        <w:pStyle w:val="Compact"/>
        <w:numPr>
          <w:ilvl w:val="0"/>
          <w:numId w:val="1077"/>
        </w:numPr>
      </w:pPr>
      <w:r>
        <w:t xml:space="preserve">сильным сторонам;</w:t>
      </w:r>
    </w:p>
    <w:p>
      <w:pPr>
        <w:pStyle w:val="Compact"/>
        <w:numPr>
          <w:ilvl w:val="0"/>
          <w:numId w:val="1077"/>
        </w:numPr>
      </w:pPr>
      <w:r>
        <w:t xml:space="preserve">возможностям роста;</w:t>
      </w:r>
    </w:p>
    <w:p>
      <w:pPr>
        <w:pStyle w:val="Compact"/>
        <w:numPr>
          <w:ilvl w:val="0"/>
          <w:numId w:val="1077"/>
        </w:numPr>
      </w:pPr>
      <w:r>
        <w:t xml:space="preserve">международной модели бизнеса.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2026-05-06T14:42:20Z</dcterms:created>
  <dcterms:modified xsi:type="dcterms:W3CDTF">2026-05-06T14:42:20Z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