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0B2545"/>
          <w:sz w:val="44"/>
        </w:rPr>
        <w:t>Архитектура pair-energy RNN модели</w:t>
      </w:r>
    </w:p>
    <w:p>
      <w:pPr>
        <w:spacing w:after="240"/>
      </w:pPr>
      <w:r>
        <w:rPr>
          <w:color w:val="555555"/>
          <w:sz w:val="24"/>
        </w:rPr>
        <w:t>CrystalPairEnergyRNNNet в pipeline-ветке проекта crystal_rnn</w:t>
      </w:r>
    </w:p>
    <w:p>
      <w:pPr>
        <w:spacing w:after="320"/>
      </w:pPr>
      <w:r>
        <w:rPr>
          <w:b/>
        </w:rPr>
        <w:t xml:space="preserve">Назначение: </w:t>
      </w:r>
      <w:r>
        <w:t>краткое инженерное описание текущей energy-path архитектуры, ее входов, выхода, обучения и ASE-инференса.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  <w:shd w:fill="F4F6F9"/>
          </w:tcPr>
          <w:p>
            <w:pPr>
              <w:spacing w:after="80"/>
            </w:pPr>
            <w:r>
              <w:rPr>
                <w:b/>
              </w:rPr>
              <w:t>Ключевая идея</w:t>
            </w:r>
            <w:r>
              <w:br/>
              <w:t>Модель не предсказывает силу напрямую. Общая RNN-сеть применяется к истории относительных pair-векторов атомных пар и выдает скалярную локальную pair-energy. Ускорения получаются дифференцированием этой энергии по текущим pair-векторам, а при полном инференсе вклад пары рассеивается на два атома с противоположными знаками.</w:t>
            </w:r>
          </w:p>
        </w:tc>
      </w:tr>
    </w:tbl>
    <w:p/>
    <w:p>
      <w:pPr>
        <w:pStyle w:val="Heading1"/>
      </w:pPr>
      <w:r>
        <w:t>1. Где находится код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Файл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CrystalPairEnergyRNNNet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base_classes/edge_rnn_predictor.py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Основной класс energy модели; наследует интерфейс pair-force модели.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_EvenPairEnergyRNN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base_classes/edge_rnn_predictor.py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Внутренняя RNN, возвращающая orientation-even scalar pair energy.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find_edge_rnn_models.py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find_edge_rnn_models.py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Поиск моделей, обучение, rollout-оценка S(q,w), сохранение .pth.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CopperFieldRNNCalculator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ase_copper_calculator.py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ASE-калькулятор: перевод дискретных ускорений в ASE forces и выдача E_pot.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run_ase_copper_nvt.py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run_ase_copper_nvt.py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NVT-инференс через ASE Bussi thermostat и запись траектории/диагностик.</w:t>
            </w:r>
          </w:p>
        </w:tc>
      </w:tr>
    </w:tbl>
    <w:p/>
    <w:p>
      <w:pPr>
        <w:pStyle w:val="Heading1"/>
      </w:pPr>
      <w:r>
        <w:t>2. Физическая параметризация</w:t>
      </w:r>
    </w:p>
    <w:p>
      <w:pPr>
        <w:pStyle w:val="ListBullet"/>
      </w:pPr>
      <w:r>
        <w:t>Вход модели строится не из абсолютных координат, а из относительных pair-векторов между центральным атомом и его соседями.</w:t>
      </w:r>
    </w:p>
    <w:p>
      <w:pPr>
        <w:pStyle w:val="ListBullet"/>
      </w:pPr>
      <w:r>
        <w:t>Соседи задаются фиксированным stencil по равновесным положениям в локальном 3x3x3 блоке. Для текущей Cu FCC схемы используется две координационные оболочки: 12 ближайших и 6 следующих соседей, всего 18 соседей на атом.</w:t>
      </w:r>
    </w:p>
    <w:p>
      <w:pPr>
        <w:pStyle w:val="ListBullet"/>
      </w:pPr>
      <w:r>
        <w:t>Для каждого атома элементарной ячейки строится история pair-векторов. При unit_cell_atoms = 4 это 4 x 18 независимых ориентированных пар на локальный блок.</w:t>
      </w:r>
    </w:p>
    <w:p>
      <w:pPr>
        <w:pStyle w:val="ListBullet"/>
      </w:pPr>
      <w:r>
        <w:t>Pair-вектор нормируется на параметр решетки a0, поэтому входные признаки имеют безразмерный масштаб порядка единицы.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Величина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Форма / значение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Смысл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patch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(sequence, 3, 3, 3, unit_cell_atoms, 3)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История смещений локального 3x3x3 блока.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features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(batch, atoms, neighbors, sequence, 3)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История относительных pair-векторов.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flat_features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(batch * atoms * neighbors, sequence, 3)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Форма, подаваемая во внутреннюю RNN.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текущий best режим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sequence = 3, atoms = 4, neighbors = 18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Фактическая рабочая Cu 333 конфигурация.</w:t>
            </w:r>
          </w:p>
        </w:tc>
      </w:tr>
    </w:tbl>
    <w:p/>
    <w:p>
      <w:pPr>
        <w:pStyle w:val="Heading1"/>
      </w:pPr>
      <w:r>
        <w:t>3. Внутренняя RNN-сеть</w:t>
      </w:r>
    </w:p>
    <w:p>
      <w:r>
        <w:t>Внутри CrystalPairEnergyRNNNet используется _EvenPairEnergyRNN. Она применяет один общий recurrent-блок к каждой ориентированной паре. Тип recurrent-блока выбирается параметром: RNN, GRU или LSTM. Текущая лучшая серия использовала обычный RNN, bidirectional=True, hidden_size=128, rnn_layers=1 и readout_mode=final-hidden.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Слой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Форма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RNN/GRU/LSTM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(N_pairs, sequence, 3) -&gt; recurrent_width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Обрабатывает историю относительного pair-вектора.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Readout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last-output или final-hidden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Для best energy модели используется final-hidden; при bidirectional склеиваются forward/backward hidden states.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Linear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recurrent_width -&gt; recurrent_width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Первый слой MLP-head.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ELU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recurrent_width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Нелинейность в head.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Linear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recurrent_width -&gt; 1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Скалярная raw pair-energy.</w:t>
            </w:r>
          </w:p>
        </w:tc>
      </w:tr>
    </w:tbl>
    <w:p/>
    <w:p>
      <w:pPr>
        <w:pStyle w:val="Heading1"/>
      </w:pPr>
      <w:r>
        <w:t>4. Even-симметрия энергии</w:t>
      </w:r>
    </w:p>
    <w:p>
      <w:r>
        <w:t>Чтобы энергия пары не зависела от выбранной ориентации пары, сеть явно симметризуется по обращению pair-вектора:</w:t>
      </w:r>
    </w:p>
    <w:p>
      <w:pPr>
        <w:jc w:val="center"/>
      </w:pPr>
      <w:r>
        <w:rPr>
          <w:i/>
        </w:rPr>
        <w:t>U(x_history) = 0.5 * (g(x_history) + g(-x_history))</w:t>
      </w:r>
    </w:p>
    <w:p>
      <w:r>
        <w:t>Это важное отличие от pair-force модели, где используется нечетная антисимметризация векторного вклада. В energy-модели скалярная энергия четная, а противоположные силы возникают уже после дифференцирования и pair-scatter на полном кристалле.</w:t>
      </w:r>
    </w:p>
    <w:p>
      <w:pPr>
        <w:pStyle w:val="Heading1"/>
      </w:pPr>
      <w:r>
        <w:t>5. Как из энергии получается ускорение</w:t>
      </w:r>
    </w:p>
    <w:p>
      <w:r>
        <w:t>Для каждой пары вычисляется скалярная энергия U. Затем PyTorch autograd берет градиент суммы энергий по входным features. Вклад в ускорение центрального атома берется из градиента по последнему временному слою, то есть по текущему pair-вектору:</w:t>
      </w:r>
    </w:p>
    <w:p>
      <w:pPr>
        <w:jc w:val="center"/>
      </w:pPr>
      <w:r>
        <w:rPr>
          <w:i/>
        </w:rPr>
        <w:t>a_pair = dU / dx_current / a0</w:t>
      </w:r>
    </w:p>
    <w:p>
      <w:r>
        <w:t>В коде это соответствует gradient[..., -1, :] / lattice_parameter. Центральное ускорение локального блока получается суммой по соседям. На полном кристалле используется unique-pair scatter: каждая пара учитывается один раз, один атом получает +a_pair, второй -a_pair.</w:t>
      </w:r>
    </w:p>
    <w:p>
      <w:pPr>
        <w:pStyle w:val="ListBullet"/>
      </w:pPr>
      <w:r>
        <w:t>Суммарная сила по системе зануляется конструктивно, потому что пары рассеиваются с противоположными знаками.</w:t>
      </w:r>
    </w:p>
    <w:p>
      <w:pPr>
        <w:pStyle w:val="ListBullet"/>
      </w:pPr>
      <w:r>
        <w:t>Поле становится потенциальным относительно текущих pair-features при фиксированном history context.</w:t>
      </w:r>
    </w:p>
    <w:p>
      <w:pPr>
        <w:pStyle w:val="ListBullet"/>
      </w:pPr>
      <w:r>
        <w:t>Энергия остается history-dependent: RNN видит несколько кадров, поэтому это эффективная динамическая энергия, а не статический межатомный потенциал в классическом смысле.</w:t>
      </w:r>
    </w:p>
    <w:p>
      <w:pPr>
        <w:pStyle w:val="Heading1"/>
      </w:pPr>
      <w:r>
        <w:t>6. Обучение</w:t>
      </w:r>
    </w:p>
    <w:p>
      <w:r>
        <w:t>Обучение идет через тот же интерфейс train_crystal_blocks, что и для pair-force. Для режима training_target=force целевой тензор берется из force_acceleration_blocks, то есть из сил LAMMPS, переведенных в дискретные ускорения модели. Сама сеть учится не по энергии, а по силам/ускорениям, полученным как градиент ее энергии.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Loss-компонент</w:t>
            </w:r>
          </w:p>
        </w:tc>
        <w:tc>
          <w:tcPr>
            <w:tcW w:type="dxa" w:w="62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L_mse_acc_norm</w:t>
            </w:r>
          </w:p>
        </w:tc>
        <w:tc>
          <w:tcPr>
            <w:tcW w:type="dxa" w:w="62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Основная MSE ошибка нормализованных ускорений.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power_mean_loss</w:t>
            </w:r>
          </w:p>
        </w:tc>
        <w:tc>
          <w:tcPr>
            <w:tcW w:type="dxa" w:w="62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Штрафует сдвиг средней мощности &lt;a * v&gt; относительно reference.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acceleration_over_rms_loss</w:t>
            </w:r>
          </w:p>
        </w:tc>
        <w:tc>
          <w:tcPr>
            <w:tcW w:type="dxa" w:w="62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Штрафует завышение RMS ускорений относительно reference.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acceleration_under_rms_loss</w:t>
            </w:r>
          </w:p>
        </w:tc>
        <w:tc>
          <w:tcPr>
            <w:tcW w:type="dxa" w:w="62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Мягко штрафует занижение RMS ускорений.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q_power_loss</w:t>
            </w:r>
          </w:p>
        </w:tc>
        <w:tc>
          <w:tcPr>
            <w:tcW w:type="dxa" w:w="62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Опциональный q-resolved штраф мощности; в текущем best preset обычно выключен.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curl_loss</w:t>
            </w:r>
          </w:p>
        </w:tc>
        <w:tc>
          <w:tcPr>
            <w:tcW w:type="dxa" w:w="62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Опциональный штраф на непотенциальность; для energy модели менее центральный, так как поле уже берется из энергии.</w:t>
            </w:r>
          </w:p>
        </w:tc>
      </w:tr>
    </w:tbl>
    <w:p/>
    <w:p>
      <w:r>
        <w:t>Текущий рекомендованный поиск для best pair-energy модели: 90000 кадров обучения, RNN final-hidden, hidden_size=128, rnn_layers=1, bidirectional, neighbor_shells=2, training_target=force, acceleration_normalization=global, power_mean_loss_weight=0.1, acceleration_over_rms_loss_weight=0.1, acceleration_under_rms_loss_weight=0.01.</w:t>
      </w:r>
    </w:p>
    <w:p>
      <w:pPr>
        <w:pStyle w:val="Heading1"/>
      </w:pPr>
      <w:r>
        <w:t>7. ASE-инференс и энергия</w:t>
      </w:r>
    </w:p>
    <w:p>
      <w:r>
        <w:t>ASE-калькулятор определяет backend pair-energy по сохраненному объекту модели. Для каждого шага он поддерживает history последних кадров, строит ускорения full-crystal через predict_full_accelerations, затем переводит дискретные ускорения в ASE forces:</w:t>
      </w:r>
    </w:p>
    <w:p>
      <w:pPr>
        <w:jc w:val="center"/>
      </w:pPr>
      <w:r>
        <w:rPr>
          <w:i/>
        </w:rPr>
        <w:t>F = m * a_discrete / dt^2</w:t>
      </w:r>
    </w:p>
    <w:p>
      <w:r>
        <w:t>Для energy backend дополнительно вызывается predict_full_potential_energy: энергии уникальных пар суммируются и переводятся в eV тем же масштабом mass * (amu Angstrom / ps^2 -&gt; eV / Angstrom) / dt^2. Поэтому в постпроцессинге direct E_tot = E_pot_model + E_kin становится основной энергетической диагностикой.</w:t>
      </w:r>
    </w:p>
    <w:p>
      <w:pPr>
        <w:pStyle w:val="Heading1"/>
      </w:pPr>
      <w:r>
        <w:t>8. Что эта архитектура гарантирует и чего нет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Свойство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Локальность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Да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Модель использует 3x3x3 блок и две координационные оболочки.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Инвариантность к переносу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Да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Входы - относительные pair-векторы, абсолютные координаты не подаются.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Newton third law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Да при pair_scatter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Одна пара дает противоположные вклады двум атомам.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Нулевая суммарная сила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Да при pair_scatter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Следует из scatter +a и -a.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Потенциальность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Частично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Силы берутся из градиента энергии при фиксированной истории.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Обычная статическая энергия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Нет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RNN использует историю, поэтому энергия эффективная и динамическая.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Перенос 333 -&gt; 1055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Предполагаемый режим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Проверяется через full-crystal patch inference и S(q,w)/energy diagnostics.</w:t>
            </w:r>
          </w:p>
        </w:tc>
      </w:tr>
    </w:tbl>
    <w:p/>
    <w:p>
      <w:pPr>
        <w:pStyle w:val="Heading1"/>
      </w:pPr>
      <w:r>
        <w:t>9. Текущий рекомендуемый pipeline</w:t>
      </w:r>
    </w:p>
    <w:p>
      <w:pPr>
        <w:pStyle w:val="ListNumber"/>
      </w:pPr>
      <w:r>
        <w:t>Подготовить force-enabled data333_force.npz из LAMMPS dump.</w:t>
      </w:r>
    </w:p>
    <w:p>
      <w:pPr>
        <w:pStyle w:val="ListNumber"/>
      </w:pPr>
      <w:r>
        <w:t>Запустить pipelines/pair_energy/cluster/submit_search.py для серии моделей.</w:t>
      </w:r>
    </w:p>
    <w:p>
      <w:pPr>
        <w:pStyle w:val="ListNumber"/>
      </w:pPr>
      <w:r>
        <w:t>Выбрать модель по S(q,w), velocity/acceleration diagnostics и энергетическим проверкам.</w:t>
      </w:r>
    </w:p>
    <w:p>
      <w:pPr>
        <w:pStyle w:val="ListNumber"/>
      </w:pPr>
      <w:r>
        <w:t>Запустить pipelines/pair_energy/cluster/submit_inference_1055.py на data1055.npz.</w:t>
      </w:r>
    </w:p>
    <w:p>
      <w:pPr>
        <w:pStyle w:val="ListNumber"/>
      </w:pPr>
      <w:r>
        <w:t>Смотреть S(q,w), temperature trace, velocity histograms, phase power/acceleration, canonical checks, sound speed, path-energy и direct E_tot/Cv diagnostics.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  <w:shd w:fill="F4F6F9"/>
          </w:tcPr>
          <w:p>
            <w:pPr>
              <w:spacing w:after="80"/>
            </w:pPr>
            <w:r>
              <w:rPr>
                <w:b/>
              </w:rPr>
              <w:t>Практическая интерпретация</w:t>
            </w:r>
            <w:r>
              <w:br/>
              <w:t>Energy-path модель хороша не тем, что она знает настоящую потенциальную энергию меди, а тем, что она встраивает в RNN-предсказатель сильные физические ограничения: локальность, pair-симметрию, нулевую суммарную силу и force-from-energy параметризацию. Это должно уменьшать систематический нагрев и делать ASE-инференс стабильнее, чем у прямого force predictor.</w:t>
            </w:r>
          </w:p>
        </w:tc>
      </w:tr>
    </w:tbl>
    <w:p/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crystal_rnn pipeline | pair-energy architecture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contextualSpacing/>
    </w:pPr>
    <w:rPr>
      <w:rFonts w:ascii="Calibri" w:hAnsi="Calibri" w:eastAsia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contextualSpacing/>
    </w:pPr>
    <w:rPr>
      <w:rFonts w:ascii="Calibri" w:hAnsi="Calibri" w:eastAsia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