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permissão especial</w:t>
      </w:r>
      <w:r>
        <w:rPr>
          <w:rFonts w:ascii="Segoe UI" w:hAnsi="Segoe UI"/>
          <w:b w:val="0"/>
          <w:i w:val="0"/>
        </w:rPr>
        <w:t xml:space="preserve"> — não cadastra, não confere, e a devolução dele espera conferência. É de propósito: permissão por digitação seria permissão por engano de digitação. Para dar acesso ao painel, use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/>
          <w:i w:val="0"/>
        </w:rPr>
        <w:t>Perfis:</w:t>
      </w:r>
      <w:r>
        <w:rPr>
          <w:rFonts w:ascii="Segoe UI" w:hAnsi="Segoe UI"/>
          <w:b w:val="0"/>
          <w:i w:val="0"/>
        </w:rPr>
        <w:t xml:space="preserve"> Admin faz os cadastros e as correções. Conferente confere a devolução na chegada do galpão. Gestor, Gerente, Motorista e Promotor contam na rua — a contagem deles nasce </w:t>
      </w:r>
      <w:r>
        <w:rPr>
          <w:rFonts w:ascii="Segoe UI" w:hAnsi="Segoe UI"/>
          <w:b w:val="0"/>
          <w:i w:val="0"/>
        </w:rPr>
        <w:t>AGUARDANDO</w:t>
      </w:r>
      <w:r>
        <w:rPr>
          <w:rFonts w:ascii="Segoe UI" w:hAnsi="Segoe UI"/>
          <w:b w:val="0"/>
          <w:i w:val="0"/>
        </w:rPr>
        <w:t xml:space="preserve"> e só vira saldo depois da conferência. Quem entra no painel não depende mais do perfil: é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>, usuário por usuário.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Na devolução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depende do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no cadastro daquela pessoa. Admin entra sempre e não lança movimento — quem corrige não deve ser quem conta.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