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saída, devolução e conferência de caixas retornáveis — e por que o saldo do cliente só baixa quando o galpão confere.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devoluções conferidas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A contagem feita dentro do cliente não mexe no saldo dele. Só a conferência na chegada baixa — e a diferença entre as duas contagens vira registro, não discussão.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Devolução lançada por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nasce com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. Devolução lançada pelo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ou pelo </w:t>
      </w:r>
      <w:r>
        <w:rPr>
          <w:rFonts w:ascii="Segoe UI" w:hAnsi="Segoe UI"/>
          <w:b/>
          <w:i w:val="0"/>
        </w:rPr>
        <w:t>escritório</w:t>
      </w:r>
      <w:r>
        <w:rPr>
          <w:rFonts w:ascii="Segoe UI" w:hAnsi="Segoe UI"/>
          <w:b w:val="0"/>
          <w:i w:val="0"/>
        </w:rPr>
        <w:t xml:space="preserve"> já nasce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>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É isso que desfaz o impasse antigo: quem conta dentro do cliente não dá baixa em si mesmo.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Quem tem rota vinculada vê </w:t>
      </w:r>
      <w:r>
        <w:rPr>
          <w:rFonts w:ascii="Segoe UI" w:hAnsi="Segoe UI"/>
          <w:b/>
          <w:i w:val="0"/>
        </w:rPr>
        <w:t>Rota de hoje</w:t>
      </w:r>
      <w:r>
        <w:rPr>
          <w:rFonts w:ascii="Segoe UI" w:hAnsi="Segoe UI"/>
          <w:b w:val="0"/>
          <w:i w:val="0"/>
        </w:rPr>
        <w:t xml:space="preserve"> no topo. Escolhida a rota, </w:t>
      </w:r>
      <w:r>
        <w:rPr>
          <w:rFonts w:ascii="Segoe UI" w:hAnsi="Segoe UI"/>
          <w:b w:val="0"/>
          <w:i/>
        </w:rPr>
        <w:t>Sai 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já vêm com o caminhão, e a lista de clientes fica só com os pontos daquela rota. A escolha fica salva no aparelho — não precisa repetir a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Escolhe o nome na lista, digita o PIN, entra.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Mesmo login, com usuário de perfil ADMIN.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 PIN do administrador. O sistema nasce com </w:t>
      </w:r>
      <w:r>
        <w:rPr>
          <w:rFonts w:ascii="Consolas" w:hAnsi="Consolas"/>
          <w:b w:val="0"/>
          <w:i w:val="0"/>
          <w:sz w:val="19"/>
        </w:rPr>
        <w:t>1234</w:t>
      </w:r>
      <w:r>
        <w:rPr>
          <w:rFonts w:ascii="Segoe UI" w:hAnsi="Segoe UI"/>
          <w:b w:val="0"/>
          <w:i w:val="0"/>
        </w:rPr>
        <w:t xml:space="preserve"> e o endereço é público.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/>
          <w:i w:val="0"/>
        </w:rPr>
        <w:t>Sai de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Vai para</w:t>
      </w:r>
      <w:r>
        <w:rPr>
          <w:rFonts w:ascii="Segoe UI" w:hAnsi="Segoe UI"/>
          <w:b w:val="0"/>
          <w:i w:val="0"/>
        </w:rPr>
        <w:t xml:space="preserve"> (o cliente), a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e, se houver, o número do </w:t>
      </w:r>
      <w:r>
        <w:rPr>
          <w:rFonts w:ascii="Segoe UI" w:hAnsi="Segoe UI"/>
          <w:b/>
          <w:i w:val="0"/>
        </w:rPr>
        <w:t>Romaneio / NF</w:t>
      </w:r>
      <w:r>
        <w:rPr>
          <w:rFonts w:ascii="Segoe UI" w:hAnsi="Segoe UI"/>
          <w:b w:val="0"/>
          <w:i w:val="0"/>
        </w:rPr>
        <w:t>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Quando a carga sai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, aparecem também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Placa do veículo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Rota</w:t>
      </w:r>
      <w:r>
        <w:rPr>
          <w:rFonts w:ascii="Segoe UI" w:hAnsi="Segoe UI"/>
          <w:b w:val="0"/>
          <w:i w:val="0"/>
        </w:rPr>
        <w:t>, os três obrigatórios: é ali que a caixa entra em circulação, e é a última hora em que dá para registrar quem levou e por onde. A rota tem sugestão das cadastradas, mas aceita qualquer nome digitado — carga sem rota é pior do que rota escrita à mão.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Use a aba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: em </w:t>
      </w:r>
      <w:r>
        <w:rPr>
          <w:rFonts w:ascii="Segoe UI" w:hAnsi="Segoe UI"/>
          <w:b w:val="0"/>
          <w:i/>
        </w:rPr>
        <w:t>Devolvidas por</w:t>
      </w:r>
      <w:r>
        <w:rPr>
          <w:rFonts w:ascii="Segoe UI" w:hAnsi="Segoe UI"/>
          <w:b w:val="0"/>
          <w:i w:val="0"/>
        </w:rPr>
        <w:t xml:space="preserve"> escolha o cliente, em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o destino das caixas. A tela mostra o saldo atual do cliente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na rua fica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Não é desconfiança: é o que faz a diferença encontrada na chegada ter um número de origem e um responsável.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Devolvidas por</w:t>
      </w:r>
      <w:r>
        <w:rPr>
          <w:rFonts w:ascii="Segoe UI" w:hAnsi="Segoe UI"/>
          <w:b w:val="0"/>
          <w:i w:val="0"/>
        </w:rPr>
        <w:t xml:space="preserve"> — o cliente onde você está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Recebidas em</w:t>
      </w:r>
      <w:r>
        <w:rPr>
          <w:rFonts w:ascii="Segoe UI" w:hAnsi="Segoe UI"/>
          <w:b w:val="0"/>
          <w:i w:val="0"/>
        </w:rPr>
        <w:t xml:space="preserve"> — o galpão ou a filial que vai receber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Quantidade contada</w:t>
      </w:r>
      <w:r>
        <w:rPr>
          <w:rFonts w:ascii="Segoe UI" w:hAnsi="Segoe UI"/>
          <w:b w:val="0"/>
          <w:i w:val="0"/>
        </w:rPr>
        <w:t xml:space="preserve"> — o que você contou de fato, por tipo de caixa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Saldo</w:t>
      </w:r>
      <w:r>
        <w:rPr>
          <w:rFonts w:ascii="Segoe UI" w:hAnsi="Segoe UI"/>
          <w:b w:val="0"/>
          <w:i w:val="0"/>
        </w:rPr>
        <w:t xml:space="preserve"> você confere quantas caixas o cliente ainda tem em aberto.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O conferente é o único perfil de campo que enxerga a aba </w:t>
      </w:r>
      <w:r>
        <w:rPr>
          <w:rFonts w:ascii="Segoe UI" w:hAnsi="Segoe UI"/>
          <w:b/>
          <w:i w:val="0"/>
        </w:rPr>
        <w:t>Conferência</w:t>
      </w:r>
      <w:r>
        <w:rPr>
          <w:rFonts w:ascii="Segoe UI" w:hAnsi="Segoe UI"/>
          <w:b w:val="0"/>
          <w:i w:val="0"/>
        </w:rPr>
        <w:t xml:space="preserve"> — e é ali que o saldo se move de verdade.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Abra a lista de pendentes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Cada linha traz a data, o tipo de caixa, quem contou e uma etiqueta </w:t>
      </w:r>
      <w:r>
        <w:rPr>
          <w:rFonts w:ascii="Consolas" w:hAnsi="Consolas"/>
          <w:b/>
          <w:color w:val="8A6100"/>
          <w:sz w:val="18"/>
        </w:rPr>
        <w:t>declarado 60</w:t>
      </w:r>
      <w:r>
        <w:rPr>
          <w:rFonts w:ascii="Segoe UI" w:hAnsi="Segoe UI"/>
          <w:b w:val="0"/>
          <w:i w:val="0"/>
        </w:rPr>
        <w:t xml:space="preserve"> com o número que veio do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Conte o que chegou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Preencha </w:t>
      </w:r>
      <w:r>
        <w:rPr>
          <w:rFonts w:ascii="Segoe UI" w:hAnsi="Segoe UI"/>
          <w:b/>
          <w:i w:val="0"/>
        </w:rPr>
        <w:t>Contei na chegada</w:t>
      </w:r>
      <w:r>
        <w:rPr>
          <w:rFonts w:ascii="Segoe UI" w:hAnsi="Segoe UI"/>
          <w:b w:val="0"/>
          <w:i w:val="0"/>
        </w:rPr>
        <w:t xml:space="preserve"> com o número real do caminhão — não repita o declarado.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Confirmar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do cliente baixa pelo número que você contou. Havendo diferença, ela é gravada como divergência, com o seu nome e o horário.</w:t>
      </w:r>
    </w:p>
    <w:p>
      <w:r>
        <w:rPr>
          <w:rFonts w:ascii="Segoe UI" w:hAnsi="Segoe UI"/>
          <w:b w:val="0"/>
          <w:i w:val="0"/>
        </w:rPr>
        <w:t>Digitar o declarado só para “fechar” apaga exatamente a informação que o app existe para capturar. Se chegou diferente, registre diferente.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cinco abas: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 e na conferência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da conferência,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>Nome, perfil, PIN e local padrão. Um PIN por pessoa, nunca um PIN de função compartilhado entre vários: é o nome de quem contou que dá peso à divergência.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>, pelo botão na lista — não se apaga. O histórico de movimentos aponta para o usuário, e apagar deixaria lançamento órfão. Inativo some das listas e não consegue mais entrar; reativar devolve o acesso.</w:t>
      </w:r>
    </w:p>
    <w:p>
      <w:pPr>
        <w:pStyle w:val="Heading1"/>
      </w:pPr>
      <w:r>
        <w:t>Lançamento manual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ponto de partida de cada cliente no dia em que o app entra no ar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DEVOLUÇÃO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CONFERÊNCIA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SALDO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PAINEL E EXTRATOS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LANÇAR E CADASTRAR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GALPAO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 — só quando confirmada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Estados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ESTADO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CONFIRMADO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Já valeu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AGUARDANDO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Contado no cliente, esperando o galpão conferir. Ainda não mexeu no saldo.</w:t>
            </w:r>
          </w:p>
        </w:tc>
      </w:tr>
    </w:tbl>
    <w:p>
      <w:pPr>
        <w:spacing w:after="40"/>
      </w:pP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PIN e local padrão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Assinaturas e fotos ficam no armazenamento do Supabase, e o link aparece no extrato e na conferência.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</w:t>
      </w:r>
      <w:r>
        <w:rPr>
          <w:rFonts w:ascii="Consolas" w:hAnsi="Consolas"/>
          <w:b w:val="0"/>
          <w:i w:val="0"/>
          <w:sz w:val="19"/>
        </w:rPr>
        <w:t>node teste/teste_api.js</w:t>
      </w:r>
      <w:r>
        <w:rPr>
          <w:rFonts w:ascii="Segoe UI" w:hAnsi="Segoe UI"/>
          <w:b w:val="0"/>
          <w:i w:val="0"/>
        </w:rPr>
        <w:t>, que executa as regras contra um banco falso em memória — sem rede e sem chave — e confere 63 pontos, incluindo o caminho da divergência e o cálculo de idade.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