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/>
          <w:i w:val="0"/>
        </w:rPr>
        <w:t>Sai de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Vai para</w:t>
      </w:r>
      <w:r>
        <w:rPr>
          <w:rFonts w:ascii="Segoe UI" w:hAnsi="Segoe UI"/>
          <w:b w:val="0"/>
          <w:i w:val="0"/>
        </w:rPr>
        <w:t xml:space="preserve"> (o cliente), a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e, se houver, o número do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>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Quando a carga sai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, aparecem também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Placa do veículo</w:t>
      </w:r>
      <w:r>
        <w:rPr>
          <w:rFonts w:ascii="Segoe UI" w:hAnsi="Segoe UI"/>
          <w:b w:val="0"/>
          <w:i w:val="0"/>
        </w:rPr>
        <w:t>, e os dois são obrigatórios: é ali que a caixa entra em circulação, e é a última hora em que dá para registrar quem levou.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