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Quando a carga sai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, aparecem também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Placa do veículo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Rota</w:t>
      </w:r>
      <w:r>
        <w:rPr>
          <w:rFonts w:ascii="Segoe UI" w:hAnsi="Segoe UI"/>
          <w:b w:val="0"/>
          <w:i w:val="0"/>
        </w:rPr>
        <w:t>, os três obrigatórios: é ali que a caixa entra em circulação, e é a última hora em que dá para registrar quem levou e por onde. A rota tem sugestão das cadastradas, mas aceita qualquer nome digitado — carga sem rota é pior do que rota escrita à mão.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>, pelo botão na lista — não se apaga. O histórico de movimentos aponta para o usuário, e apagar deixaria lançamento órfão. Inativo some das listas e não consegue mais entrar; reativar devolve o acesso.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